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sz w:val="36"/>
          <w:szCs w:val="36"/>
        </w:rPr>
        <w:t xml:space="preserve">Requisitos funcionales y no funcionales</w:t>
      </w:r>
    </w:p>
    <w:p>
      <w:pPr>
        <w:spacing w:after="120"/>
        <w:jc w:val="center"/>
      </w:pPr>
      <w:r>
        <w:rPr>
          <w:sz w:val="26"/>
          <w:szCs w:val="26"/>
        </w:rPr>
        <w:t xml:space="preserve">Proyecto AEPG — Especificación derivada del código</w:t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Generado: 2/5/2026, 15:39:18</w:t>
      </w:r>
    </w:p>
    <w:p>
      <w:pPr>
        <w:spacing w:after="200"/>
      </w:pPr>
      <w:r>
        <w:rPr>
          <w:sz w:val="22"/>
          <w:szCs w:val="22"/>
        </w:rPr>
        <w:t xml:space="preserve">Este documento describe los requisitos funcionales y no funcionales inferidos del comportamiento actual del código del proyecto (aplicación React en client/ y API Express en server/index.js). No sustituye acuerdos formales con stakeholders: refleja lo implementado y advertencias donde la seguridad u homogeneidad del API no son uniformes.</w:t>
      </w:r>
    </w:p>
    <w:p>
      <w:pPr>
        <w:pStyle w:val="Heading1"/>
        <w:spacing w:after="160" w:before="120"/>
      </w:pPr>
      <w:r>
        <w:rPr>
          <w:b/>
          <w:bCs/>
        </w:rPr>
        <w:t xml:space="preserve">Requisitos funcionales</w:t>
      </w:r>
    </w:p>
    <w:tbl>
      <w:tblPr>
        <w:tblW w:type="pct" w:w="100%"/>
        <w:tblBorders>
          <w:top w:val="single" w:color="666666" w:sz="1"/>
          <w:left w:val="single" w:color="666666" w:sz="1"/>
          <w:bottom w:val="single" w:color="666666" w:sz="1"/>
          <w:right w:val="single" w:color="666666" w:sz="1"/>
          <w:insideH w:val="single" w:color="BBBBBB" w:sz="1"/>
          <w:insideV w:val="single" w:color="BBBBBB" w:sz="1"/>
        </w:tblBorders>
      </w:tblPr>
      <w:tblGrid>
        <w:gridCol w:w="1100"/>
        <w:gridCol w:w="1300"/>
        <w:gridCol w:w="3600"/>
        <w:gridCol w:w="5000"/>
      </w:tblGrid>
      <w:tr>
        <w:trPr>
          <w:tblHeader/>
        </w:trPr>
        <w:tc>
          <w:tcPr>
            <w:shd w:fill="D9EAD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2"/>
                <w:szCs w:val="22"/>
              </w:rPr>
              <w:t xml:space="preserve">CÓDIGO</w:t>
            </w:r>
          </w:p>
        </w:tc>
        <w:tc>
          <w:tcPr>
            <w:shd w:fill="D9EAD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2"/>
                <w:szCs w:val="22"/>
              </w:rPr>
              <w:t xml:space="preserve">TIPO REQUISITO</w:t>
            </w:r>
          </w:p>
        </w:tc>
        <w:tc>
          <w:tcPr>
            <w:shd w:fill="D9EAD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2"/>
                <w:szCs w:val="22"/>
              </w:rPr>
              <w:t xml:space="preserve">NOMBRE DEL REQUISITO FUNCIONAL</w:t>
            </w:r>
          </w:p>
        </w:tc>
        <w:tc>
          <w:tcPr>
            <w:shd w:fill="D9EAD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2"/>
                <w:szCs w:val="22"/>
              </w:rPr>
              <w:t xml:space="preserve">DESCRIPCIÓN DEL REQUISITO FUNCIONAL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RF-001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Autenticación, sesión y recuperación de contraseña.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El sistema permite el acceso mediante credenciales frente a la tabla de usuarios, emite un JWT de sesión, rechaza cuentas inactivas y ofrece flujo de restablecimiento de contraseña por correo (implementación en server/index.js y persistencia de sesión en client/src/App.js).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1.1 Inicio de sesión.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1.1. El usuario introduce correo electrónico y contraseña; la API valida el hash con bcrypt y devuelve token y datos básicos del usuario si las credenciales son correctas (POST /login).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1.2 Sesión basada en JWT.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1.2. El token JWT incluye email, nombre y rol; tiene caducidad configurada (8 horas en la implementación actual) y se envía en la cabecera Authorization: Bearer en las peticiones del cliente.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1.3 Rechazo de usuarios inactivos.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1.3. Las cuentas marcadas como inactivas no pueden completar el inicio de sesión; la API responde indicando que la cuenta está desactivada.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1.4 Persistencia de sesión en el navegador.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1.4. El cliente almacena el JWT y el objeto usuario en localStorage y configura Axios para adjuntar automáticamente el Bearer token.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1.5 Cierre de sesión.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1.5. El usuario puede cerrar sesión; se eliminan token y datos locales y se limpia la cabecera de autorización en Axios.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1.6 Solicitud de recuperación de contraseña.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1.6. Permite solicitar un enlace de restablecimiento mediante correo; se genera un token de un solo uso almacenado de forma segura con tiempo de expiración (POST /auth/forgot-password, tabla password_reset_tokens).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1.7 Restablecimiento de contraseña con token.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1.7. Con un token válido el usuario define una nueva contraseña cumpliendo las reglas del servidor; el token queda invalidado tras el uso (POST /auth/reset-password).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1.8 Roles reconocidos en cuentas.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1.8. Los roles aplicables a usuarios de aplicación incluyen admin, rrhh, contratacion y produccion; el cliente normaliza el rol en minúsculas para menús y visibilidad.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RF-002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Gestión de usuarios del sistema (rol administrador).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El administrador gestiona cuentas de acceso al sistema con auditoría de alta y modificación, políticas de contraseña en servidor y controles en interfaz (GestionUsuarios.jsx); las rutas CRUD de usuarios exigen JWT y rol admin.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2.1 Listado de usuarios.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2.1. Consulta de todos los usuarios con campos de auditoría (creado por, fechas de creación y actualización, estado activo/inactivo) mediante GET /usuarios.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2.2 Alta de usuario.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2.2. Creación de cuenta con validación de correo, rol permitido y política de contraseña fuerte; la contraseña se almacena con hash bcrypt (POST /create-usuario).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2.3 Edición de usuario.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2.3. Actualización de datos personales, rol, estado activo y contraseña opcional; puede cambiarse el correo identificando la cuenta anterior en la URL (PUT /update-usuario/:email).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2.4 Eliminación de usuario.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2.4. Eliminación definitiva del registro en base de datos por correo clave (DELETE /delete-usuario/:email).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2.5 Formulario de alta y edición en interfaz.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2.5. Modal con validación en cliente: confirmación de contraseña, campos obligatorios y selector de estado Activo/Inactivo.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2.6 Visualización de actores de auditoría.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2.6. En la tabla, los campos de auditoría muestran el nombre de la persona cuando el correo coincide con un usuario cargado; si no hay coincidencia se muestra un texto genérico.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2.7 Resaltado de usuarios inactivos.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2.7. Las filas correspondientes a usuarios inactivos se muestran con fondo distintivo para lectura rápida.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2.8 Activar o desactivar desde la tabla.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2.8. Interruptor por fila para cambiar el estado sin abrir el modal de edición; se impide que el usuario en sesión se desactive a sí mismo.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RF-003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Gestión de contratos.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El sistema mantiene contratos en base de datos y un módulo unificado en cliente (GestionContratos.jsx) con resumen, listados, vencimientos, renovaciones y exportaciones. La protección por JWT no es uniforme en todas las rutas del servidor según el código vigente.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3.1 Alta de contrato autenticada.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3.1. Registro de contratos en la tabla contratos_generales; la creación exige JWT y rol administrador o contratación (POST /create-contrato).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3.2 Consulta del listado de contratos.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3.2. Obtención del conjunto de contratos mediante GET /contratos; en la implementación actual esta ruta no aplica verificarToken en el servidor.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3.3 Actualización y borrado de contratos.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3.3. Modificación y eliminación por identificador de contrato (PUT /update-contrato, DELETE /delete-contrato/:numero_contrato); en el código revisado no figura verificarToken en estas rutas.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3.4 Interfaz integral de contratación.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3.4. Un solo componente agrupa resumen, contratos, vista de vencimientos, renovaciones y reportes, sincronizado con el menú lateral de contratación.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3.5 Lógica de vencimientos y alertas en cliente.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3.5. Cálculo de estados (activo, por vencer, vencido), KPIs, priorización de colas y mensajes de alerta según fechas de los contratos cargados.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3.6 Exportación de informes.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3.6. Exportación de datos filtrados a Excel (formato con cabecera corporativa), CSV con codificación adecuada para Excel en español y PDF tabular.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3.7 Recordatorio por correo electrónico.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3.7. Endpoint para disparar envío de recordatorio relacionado con un contrato e integración de correo (POST /send-contrato-reminder); la ruta analizada no incluye verificarToken.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3.8 Acceso a vencimientos desde la interfaz.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3.8. La entrada de Vencimientos puede estar oculta en menú y pestañas pero la vista sigue siendo alcanzable desde acciones internas del módulo.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RF-004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Gestión de empleados.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Altas, ediciones, listados, historial laboral y borrados sobre la entidad de empleados consumidos desde GestionEmpleados.jsx. Varias rutas de empleados no aplican verificarToken en el servidor, por lo que la seguridad efectiva depende del entorno de red.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4.1 Registro de empleado.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4.1. Alta de fichas de personal mediante POST /create-empleado.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4.2 Actualización de empleado.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4.2. Modificación de datos existentes mediante PUT /update-empleado.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4.3 Listado y consulta.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4.3. Obtención del censo de empleados (GET /empleados) y consulta de historial laboral por carnet de identidad (GET /historial-laboral/:carnet_identidad).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4.4 Eliminación de empleado.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4.4. Borrado de la ficha por carnet de identidad (DELETE /delete-empleado/:carnet_identidad).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4.5 Interfaz de administración de empleados.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4.5. Pantalla dedicada en Recursos Humanos para mantener los datos operativos enlazados con las rutas anteriores.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4.6 Visibilidad por rol en menú.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4.6. El módulo de empleados se muestra a usuarios administrador o rrhh según las reglas de App.js.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RF-005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Bajas, reactivaciones y cambios de cargo.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Flujos específicos de ciclo de vida del empleado protegidos por JWT y roles administrador o rrhh.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5.1 Registro de baja.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5.1. Registrar la baja de un empleado según las reglas del backend (POST /empleado-baja).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5.2 Reactivación.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5.2. Reactivar empleados dados de baja cuando corresponda (POST /empleado-reactivar).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5.3 Cambio de cargo.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5.3. Registrar cambios de puesto vinculados al historial laboral y auditoría prevista en servidor (POST /empleado-cambio-cargo).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RF-006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Informes de Recursos Humanos.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Consultas agregadas para supervisión de plantilla y estructura; acceso con JWT para administrador o rrhh.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6.1 Reporte de personal.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6.1. Generación o consulta del informe de personal (GET /reporte-personal).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6.2 Reporte consolidado por departamentos.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6.2. Información consolidada por departamentos para análisis de RRHH (GET /reporte-consolidado-departamentos).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RF-007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Vacaciones, turnos de trabajo y grupos.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Mantenimiento de catálogos y registros de planificación de personal con patrón CRUD sobre las rutas dedicadas en servidor.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7.1 Vacaciones.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7.1. Alta, listado, actualización y borrado de registros de vacaciones (rutas /vacaciones y variantes create/update/delete).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7.2 Turnos de trabajo.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7.2. Gestión de turnos (rutas /turnos-trabajo con operaciones CRUD).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7.3 Grupos de trabajo.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7.3. Gestión de grupos (rutas /grupos-trabajo con operaciones CRUD).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7.4 Miembros de un grupo.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7.4. Alta, listado y eliminación de integrantes de un grupo (GET/POST/DELETE bajo /grupo-trabajo/:id_grupo/miembros).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RF-008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Asistencia grupal.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Registro de asistencia asociada a grupos de trabajo con validaciones en servidor para la coherencia de datos.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8.1 Consulta y mantenimiento.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8.1. Listado y operaciones CRUD sobre asistencia grupal (GET /asistencia-grupal y rutas create/update/delete asociadas).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8.2 Control de número de asistentes.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8.2. El servidor valida que el número de presentes no supere el tamaño del grupo en operaciones de alta o edición.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RF-009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Formación y desempeño laboral.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Conjunto de submódulos de RRHH para certificaciones, formación, evaluaciones de desempeño, objetivos y remuneraciones, cada uno con patrón de listado y CRUD en API.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9.1 Certificaciones.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9.1. Gestión de certificaciones del personal (rutas /certificaciones).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9.2 Cursos.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9.2. Gestión de cursos y formación (/cursos).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9.3 Evaluación de capacitación.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9.3. Registro de evaluaciones ligadas a capacitación (/evalcapacitacion).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9.4 Evaluaciones.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9.4. Evaluaciones generales de desempeño (/evaluaciones).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9.5 Objetivos.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9.5. Seguimiento de objetivos (/objetivos).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9.6 Salarios.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9.6. Registro y mantenimiento de información salarial (/salarios).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RF-010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Seguridad e higiene laboral.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Registros diferenciados de seguridad industrial y del ámbito de seguridad en RRHH.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10.1 Seguridad industrial.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10.1. CRUD sobre registros expuestos en /segseguridad.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10.2 Seguridad (RRHH).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10.2. CRUD sobre registros expuestos en /seguridad.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RF-011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Estructura organizacional.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Definición de cargos y departamentos y relación empleado–departamento.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11.1 Cargos.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11.1. CRUD de cargos (/cargos, create-cargo, update-cargo, delete-cargo).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11.2 Departamentos.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11.2. CRUD de departamentos (/departamentos y rutas afines).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11.3 Asignación a departamento.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11.3. Asignación de empleados a departamentos (POST /asignar-empleado-departamento).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RF-012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Sanciones, reconocimientos y jubilaciones.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Trazabilidad de medidas disciplinarias, reconocimientos y procesos de egreso o jubilación.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12.1 Sanciones.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12.1. CRUD de sanciones a empleados (/sanciones-empleado).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12.2 Reconocimientos.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12.2. CRUD de reconocimientos (/reconocimientos-empleado).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12.3 Jubilaciones y egresos.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12.3. CRUD asociado a jubilaciones-empleado.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RF-013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Certificados médicos y evaluaciones médicas.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Salud ocupacional ampliada accesible desde API a administrador, rrhh y produccion según autorizarRol en servidor.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13.1 Certificados médicos.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13.1. Listado y CRUD (/certificados-medicos y rutas create/update/delete certificado médico).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13.2 Evaluaciones médicas.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13.2. Listado y CRUD (/evaluaciones-medicas y rutas create/update/delete evaluación médica).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RF-014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Producción pecuaria y histórico.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Registro operativo diario de sacrificio, matadero y leche, más vista de histórico agregado; rutas protegidas por JWT para administrador o produccion.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14.1 Sacrificio vacuno.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14.1. Consulta y mantenimiento por fecha con exportación a Excel desde interfaz (/sacrificio, SacrificioVacuno.jsx).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14.2 Matadero en vivo.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14.2. Registro diario de métricas de matadero (/matadero, MataderoVivo.jsx).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14.3 Producción de leche.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14.3. CRUD de registros lecheros por fecha (/leche, Leche.jsx).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14.4 Histórico de producción.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14.4. Consulta agregada de histórico solo lectura en diseño actual (GET /produccion-historico, ProduccionHistorico.jsx).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RF-015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Asistencias individuales.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CRUD de asistencias en servidor con autorización para administrador y produccion; la pantalla puede aparecer en menú de RRHH según App.js, lo que puede generar errores para usuarios solo rrhh.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15.1 Mantenimiento de asistencias.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15.1. Listado y operaciones CRUD (/asistencias, create-asistencia, update-asistencia, delete-asistencia).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15.2 Coherencia menú frente a API.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15.2. Si el menú muestra Asistencias a rol rrhh pero el backend restringe las rutas a admin y produccion, el usuario rrhh podría ver la pantalla y recibir respuestas 403.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RF-016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Marco visual y navegación de la aplicación.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Interfaz tipo dashboard con barra lateral, área principal y panel informativo; la navegación entre módulos es por estado interno, sin react-router en el árbol principal.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16.1 Distribución general.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16.1. Layout con sidebar de marca, zona de contenido y columna de información con etiqueta de módulo, fecha y hora.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16.2 Menús por rol.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16.2. Contratación, Recursos Humanos y Producción se despliegan según rol; administrador ve el conjunto de funciones habilitadas.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16.3 Carga inicial.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16.3. Indicador de carga mientras se determina si existe sesión válida en localStorage.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16.4 Pantalla inicial tras login.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16.4. Administrador cae en usuarios; contratación en contratos; rrhh en empleados; producción en sacrificio según la lógica de App.js.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RF-017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Demostración CRUD sobre tabla1.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Superficie de ejemplo o legado sin autenticación en rutas analizadas; debe deshabilitarse o protegerse en despliegues reales.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17.1 Operaciones sin JWT.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17.1. Lectura GET /tabla1 y altas, ediciones y borrados POST /create, PUT /update, DELETE /delete/:id sobre la tabla1.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</w:rPr>
        <w:t xml:space="preserve">Requisitos no funcionales</w:t>
      </w:r>
    </w:p>
    <w:tbl>
      <w:tblPr>
        <w:tblW w:type="pct" w:w="100%"/>
        <w:tblBorders>
          <w:top w:val="single" w:color="666666" w:sz="1"/>
          <w:left w:val="single" w:color="666666" w:sz="1"/>
          <w:bottom w:val="single" w:color="666666" w:sz="1"/>
          <w:right w:val="single" w:color="666666" w:sz="1"/>
          <w:insideH w:val="single" w:color="BBBBBB" w:sz="1"/>
          <w:insideV w:val="single" w:color="BBBBBB" w:sz="1"/>
        </w:tblBorders>
      </w:tblPr>
      <w:tblGrid>
        <w:gridCol w:w="1100"/>
        <w:gridCol w:w="1300"/>
        <w:gridCol w:w="3600"/>
        <w:gridCol w:w="5000"/>
      </w:tblGrid>
      <w:tr>
        <w:trPr>
          <w:tblHeader/>
        </w:trPr>
        <w:tc>
          <w:tcPr>
            <w:shd w:fill="D9EAD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2"/>
                <w:szCs w:val="22"/>
              </w:rPr>
              <w:t xml:space="preserve">CÓDIGO</w:t>
            </w:r>
          </w:p>
        </w:tc>
        <w:tc>
          <w:tcPr>
            <w:shd w:fill="D9EAD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2"/>
                <w:szCs w:val="22"/>
              </w:rPr>
              <w:t xml:space="preserve">TIPO REQUISITO</w:t>
            </w:r>
          </w:p>
        </w:tc>
        <w:tc>
          <w:tcPr>
            <w:shd w:fill="D9EAD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2"/>
                <w:szCs w:val="22"/>
              </w:rPr>
              <w:t xml:space="preserve">NOMBRE DEL REQUISITO NO FUNCIONAL</w:t>
            </w:r>
          </w:p>
        </w:tc>
        <w:tc>
          <w:tcPr>
            <w:shd w:fill="D9EAD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2"/>
                <w:szCs w:val="22"/>
              </w:rPr>
              <w:t xml:space="preserve">DESCRIPCIÓN DEL REQUISITO NO FUNCIONAL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RNF-001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No 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Seguridad de credenciales y validación de cuentas.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Propiedades observables del sistema relativas a cómo se guardan y validan las credenciales de aplicación.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1.1 Almacenamiento de contraseñas.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1.1. Las contraseñas de usuarios se persisten como hash bcrypt, no en texto plano.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1.2 Lista cerrada de roles y validaciones.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1.2. El servidor valida correo, fortaleza de contraseña y roles permitidos al crear o actualizar usuarios.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1.3 Secreto JWT configurable.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1.3. Si no se define JWT_SECRET en entorno, el código usa un valor por defecto embebido; en producción debe configurarse un secreto propio.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RNF-002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No 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Autorización en API y superficie expuesta.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El modelo previsto combina JWT en cabecera Bearer con listas de roles por ruta; parte del código no aplica verificarToken de forma uniforme.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2.1 Patrón estándar.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2.1. Muchas rutas sensibles usan verificarToken seguido de autorizarRol con la lista de roles permitidos.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2.2 Contratos y recordatorios.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2.2. Creación de contrato exige JWT y rol; listado, actualización, borrado y envío de recordatorio carecen de verificarToken en la revisión del código.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2.3 Empleados y demo tabla1.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2.3. Gran parte del CRUD de empleados y todo el CRUD de tabla1 están expuestos sin JWT en servidor.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2.4 Implicación.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2.4. La seguridad efectiva frente a amenazas externas depende del aislamiento de red, firewall o VPN si no se corrige la política de middleware.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RNF-003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No 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Rendimiento y volumen de datos.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Comportamiento ante conjuntos de datos grandes inferido del uso de consultas sin paginación explícita en la mayoría de listados.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3.1 Consultas completas.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3.1. Los listados típicos devuelven el conjunto completo de filas desde MySQL sin LIMIT orientado a interfaz.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3.2 Tablas anchas en cliente.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3.2. Pantallas como sacrificio emplean tablas muy anchas con scroll horizontal y cabeceras fijas donde se implementó.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RNF-004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No 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Fiabilidad de datos y arranque.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El servidor ejecuta comprobaciones al iniciar para alinear esquema con el código.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4.1 Migraciones perezosas.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4.1. Creación o alteración de tablas y columnas ausentes (tokens de reset, auditoría de usuarios, correo en contratos, etc.).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4.2 Errores heterogéneos.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4.2. La API puede responder con JSON estructurado o mensajes de error en texto según la ruta; el cliente suele mostrar SweetAlert2.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RNF-005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No 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Integración de correo electrónico.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Envío de mensajes transaccionales mediante Nodemailer con configuración por variables de entorno.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5.1 SMTP y modo desarrollo.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5.1. Soporte para servidor SMTP real o transporte alternativo en desarrollo; reintentos y variables SMTP_* y APP_BASE_URL documentadas en servidor.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5.2 Reset de contraseña y recordatorios.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5.2. Los flujos que envían correo dependen de esta integración y de la validez del buzón configurado.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RNF-006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No 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Usabilidad e idioma.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Características de experiencia de usuario consolidadas en el cliente.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6.1 Interfaz en español.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6.1. Etiquetas y mensajes orientados a usuarios hispanohablantes con Bootstrap y hoja de estilos propia.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6.2 Retroalimentación.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6.2. Uso de diálogos SweetAlert2 para confirmaciones y errores.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6.3 Diseño diferenciado por módulo.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6.3. Contratos y sacrificio priorizan tarjetas y rejillas más elaboradas frente a formularios CRUD más simples en otros módulos.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RNF-007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No 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Operación y despliegue.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Acoplamientos típicos de entorno de desarrollo que deben externalizarse en producción.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7.1 Base de datos.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7.1. Conexión MySQL definida en código (host, usuario, base); conviene parametrizar por entorno.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7.2 URL del API en cliente.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7.2. Las llamadas Axios apuntan a http://localhost:3001 salvo refactorización a variables de entorno del build.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7.3 Puerto del servidor API.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7.3. El proceso Express escucha en el puerto 3001 en la configuración habitual del proyecto.</w:t>
            </w:r>
          </w:p>
        </w:tc>
      </w:tr>
      <w:tr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RNF-008</w:t>
            </w:r>
          </w:p>
        </w:tc>
        <w:tc>
          <w:tcPr>
            <w:vMerge w:val="restart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No funcional.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Mantenibilidad del código.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Estructura del repositorio y deuda técnica observable.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8.1 Monorepo.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8.1. Carpetas client (React) y server (Express) en un mismo repositorio.</w:t>
            </w:r>
          </w:p>
        </w:tc>
      </w:tr>
      <w:tr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Merge w:val="continue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8.2 Convivencia de estilos.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8.2. Rutas modernas con middleware de seguridad coexisten con rutas sin autenticación uniforme y demo tabla1.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2026-05-02T13:39:18.227Z</dcterms:created>
  <dcterms:modified xsi:type="dcterms:W3CDTF">2026-05-02T13:39:18.227Z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