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i w:val="false"/>
          <w:iCs w:val="false"/>
          <w:sz w:val="32"/>
          <w:szCs w:val="32"/>
        </w:rPr>
        <w:t xml:space="preserve">Guion oral — Defensa de tesis</w:t>
      </w:r>
    </w:p>
    <w:p>
      <w:pPr>
        <w:spacing w:after="160"/>
        <w:jc w:val="center"/>
      </w:pPr>
      <w:r>
        <w:rPr>
          <w:b w:val="false"/>
          <w:bCs w:val="false"/>
          <w:i w:val="false"/>
          <w:iCs w:val="false"/>
          <w:sz w:val="24"/>
          <w:szCs w:val="24"/>
        </w:rPr>
        <w:t xml:space="preserve">Sistema de Gestión de Contratos AEPG</w:t>
      </w:r>
    </w:p>
    <w:p>
      <w:pPr>
        <w:spacing w:after="400"/>
        <w:jc w:val="center"/>
      </w:pPr>
      <w:r>
        <w:rPr>
          <w:b w:val="false"/>
          <w:bCs w:val="false"/>
          <w:i/>
          <w:iCs/>
          <w:sz w:val="22"/>
          <w:szCs w:val="22"/>
        </w:rPr>
        <w:t xml:space="preserve">Fecha: 13 de junio de 2026</w:t>
      </w:r>
    </w:p>
    <w:p>
      <w:pPr>
        <w:spacing w:after="300"/>
        <w:jc w:val="left"/>
      </w:pPr>
      <w:r>
        <w:rPr>
          <w:b w:val="false"/>
          <w:bCs w:val="false"/>
          <w:i/>
          <w:iCs/>
          <w:sz w:val="22"/>
          <w:szCs w:val="22"/>
        </w:rPr>
        <w:t xml:space="preserve">Instrucciones: lea cada bloque con naturalidad. No memorice palabra por palabra; use las frases de cierre y la nota "Si profundizan" como ancla. Duración sugerida: 1,5 a 2 minutos por pregunta.</w:t>
      </w:r>
    </w:p>
    <w:p>
      <w:pPr>
        <w:pStyle w:val="Heading1"/>
        <w:spacing w:after="180" w:before="280"/>
        <w:jc w:val="left"/>
      </w:pPr>
      <w:r>
        <w:rPr>
          <w:b/>
          <w:bCs/>
          <w:i w:val="false"/>
          <w:iCs w:val="false"/>
          <w:sz w:val="26"/>
          <w:szCs w:val="26"/>
        </w:rPr>
        <w:t xml:space="preserve">Pregunta 1 — Control de acceso RBAC y seguridad frente al frontend</w:t>
      </w:r>
    </w:p>
    <w:p>
      <w:pPr>
        <w:spacing w:after="160"/>
        <w:jc w:val="left"/>
      </w:pPr>
      <w:r>
        <w:rPr>
          <w:b w:val="false"/>
          <w:bCs w:val="false"/>
          <w:i w:val="false"/>
          <w:iCs w:val="false"/>
          <w:sz w:val="22"/>
          <w:szCs w:val="22"/>
        </w:rPr>
        <w:t xml:space="preserve">Muchas gracias por la pregunta. En nuestro sistema aplicamos un principio muy claro: la pantalla que ve el usuario ayuda, pero no decide quién puede hacer qué. Toda decisión de seguridad la toma el servidor.</w:t>
      </w:r>
    </w:p>
    <w:p>
      <w:pPr>
        <w:spacing w:after="160"/>
        <w:jc w:val="left"/>
      </w:pPr>
      <w:r>
        <w:rPr>
          <w:b w:val="false"/>
          <w:bCs w:val="false"/>
          <w:i w:val="false"/>
          <w:iCs w:val="false"/>
          <w:sz w:val="22"/>
          <w:szCs w:val="22"/>
        </w:rPr>
        <w:t xml:space="preserve">Cuando alguien inicia sesión, el servidor le entrega un token JWT, que es como un pase temporal de ocho horas. Ese pase solo dice quién es la persona: su correo, nombre y rol. Los permisos detallados no van dentro del pase; cada vez que el navegador pide algo al servidor, este consulta en MySQL qué puede hacer ese rol.</w:t>
      </w:r>
    </w:p>
    <w:p>
      <w:pPr>
        <w:spacing w:after="160"/>
        <w:jc w:val="left"/>
      </w:pPr>
      <w:r>
        <w:rPr>
          <w:b w:val="false"/>
          <w:bCs w:val="false"/>
          <w:i w:val="false"/>
          <w:iCs w:val="false"/>
          <w:sz w:val="22"/>
          <w:szCs w:val="22"/>
        </w:rPr>
        <w:t xml:space="preserve">Antes de ejecutar cualquier operación sensible —crear usuarios, aprobar contratos, ver auditoría— el servidor pasa por dos filtros. Primero verifica que el token sea válido, que no esté revocado y que el usuario siga activo. Segundo, comprueba si ese rol tiene permiso para esa acción concreta, por ejemplo contratos.approve para aprobar o usuarios.create para crear usuarios.</w:t>
      </w:r>
    </w:p>
    <w:p>
      <w:pPr>
        <w:spacing w:after="160"/>
        <w:jc w:val="left"/>
      </w:pPr>
      <w:r>
        <w:rPr>
          <w:b w:val="false"/>
          <w:bCs w:val="false"/>
          <w:i w:val="false"/>
          <w:iCs w:val="false"/>
          <w:sz w:val="22"/>
          <w:szCs w:val="22"/>
        </w:rPr>
        <w:t xml:space="preserve">Por eso, aunque alguien intente engañar al sistema modificando el navegador o llamando a la API con Postman sin permiso, recibirá un error 401 o 403. El menú de React solo oculta botones para que la experiencia sea cómoda; la verdadera puerta está en Node.js.</w:t>
      </w:r>
    </w:p>
    <w:p>
      <w:pPr>
        <w:spacing w:after="160"/>
        <w:jc w:val="left"/>
      </w:pPr>
      <w:r>
        <w:rPr>
          <w:b w:val="false"/>
          <w:bCs w:val="false"/>
          <w:i w:val="false"/>
          <w:iCs w:val="false"/>
          <w:sz w:val="22"/>
          <w:szCs w:val="22"/>
        </w:rPr>
        <w:t xml:space="preserve">También evitamos que un usuario se dé más privilegios: solo el administrador crea usuarios, nadie puede cambiar su propio rol, y los roles del sistema están protegidos en la base de datos.</w:t>
      </w:r>
    </w:p>
    <w:p>
      <w:pPr>
        <w:spacing w:after="160"/>
        <w:jc w:val="left"/>
      </w:pPr>
      <w:r>
        <w:rPr>
          <w:b/>
          <w:bCs/>
          <w:i w:val="false"/>
          <w:iCs w:val="false"/>
          <w:sz w:val="22"/>
          <w:szCs w:val="22"/>
        </w:rPr>
        <w:t xml:space="preserve">Cierre: En resumen: el frontend presenta; el backend autoriza. Esa separación es la base de nuestro RBAC.</w:t>
      </w:r>
    </w:p>
    <w:p>
      <w:pPr>
        <w:spacing w:after="280"/>
        <w:jc w:val="left"/>
      </w:pPr>
      <w:r>
        <w:rPr>
          <w:b w:val="false"/>
          <w:bCs w:val="false"/>
          <w:i/>
          <w:iCs/>
          <w:sz w:val="22"/>
          <w:szCs w:val="22"/>
        </w:rPr>
        <w:t xml:space="preserve">Si profundizan: Si desean verlo en código, puedo abrir server/index.js en las funciones verificarToken y autorizarPermiso, alrededor de la línea 840.</w:t>
      </w:r>
    </w:p>
    <w:p>
      <w:pPr>
        <w:pStyle w:val="Heading1"/>
        <w:spacing w:after="180" w:before="280"/>
        <w:jc w:val="left"/>
      </w:pPr>
      <w:r>
        <w:rPr>
          <w:b/>
          <w:bCs/>
          <w:i w:val="false"/>
          <w:iCs w:val="false"/>
          <w:sz w:val="26"/>
          <w:szCs w:val="26"/>
        </w:rPr>
        <w:t xml:space="preserve">Pregunta 2 — Contraseñas y auditoría inmutable</w:t>
      </w:r>
    </w:p>
    <w:p>
      <w:pPr>
        <w:spacing w:after="160"/>
        <w:jc w:val="left"/>
      </w:pPr>
      <w:r>
        <w:rPr>
          <w:b w:val="false"/>
          <w:bCs w:val="false"/>
          <w:i w:val="false"/>
          <w:iCs w:val="false"/>
          <w:sz w:val="22"/>
          <w:szCs w:val="22"/>
        </w:rPr>
        <w:t xml:space="preserve">Para las contraseñas usamos bcrypt, que es el estándar más extendido en aplicaciones web serias.</w:t>
      </w:r>
    </w:p>
    <w:p>
      <w:pPr>
        <w:spacing w:after="160"/>
        <w:jc w:val="left"/>
      </w:pPr>
      <w:r>
        <w:rPr>
          <w:b w:val="false"/>
          <w:bCs w:val="false"/>
          <w:i w:val="false"/>
          <w:iCs w:val="false"/>
          <w:sz w:val="22"/>
          <w:szCs w:val="22"/>
        </w:rPr>
        <w:t xml:space="preserve">Nunca guardamos la contraseña en texto claro. Al crear o cambiar una contraseña, el servidor la transforma con bcrypt usando diez rondas de costo, y solo ese hash queda en la tabla usuarios. Al iniciar sesión, comparamos con bcrypt.compare; si coincide, dejamos pasar.</w:t>
      </w:r>
    </w:p>
    <w:p>
      <w:pPr>
        <w:spacing w:after="160"/>
        <w:jc w:val="left"/>
      </w:pPr>
      <w:r>
        <w:rPr>
          <w:b w:val="false"/>
          <w:bCs w:val="false"/>
          <w:i w:val="false"/>
          <w:iCs w:val="false"/>
          <w:sz w:val="22"/>
          <w:szCs w:val="22"/>
        </w:rPr>
        <w:t xml:space="preserve">Además exigimos contraseña fuerte —mínimo ocho caracteres con mayúscula, minúscula y número—, bloqueamos la cuenta tras cinco intentos fallidos durante quince minutos, y si el usuario cambia su contraseña invalidamos los tokens anteriores.</w:t>
      </w:r>
    </w:p>
    <w:p>
      <w:pPr>
        <w:spacing w:after="160"/>
        <w:jc w:val="left"/>
      </w:pPr>
      <w:r>
        <w:rPr>
          <w:b w:val="false"/>
          <w:bCs w:val="false"/>
          <w:i w:val="false"/>
          <w:iCs w:val="false"/>
          <w:sz w:val="22"/>
          <w:szCs w:val="22"/>
        </w:rPr>
        <w:t xml:space="preserve">Sobre la auditoría: cada acción importante —logins, cambios de rol, aprobaciones, rechazos de contratos— se registra en la tabla audit_events con INSERT únicamente. La aplicación no ofrece botón para borrar ese historial, ni siquiera al administrador. Él puede consultarlo en el módulo de Auditoría, pero no eliminarlo desde la interfaz.</w:t>
      </w:r>
    </w:p>
    <w:p>
      <w:pPr>
        <w:spacing w:after="160"/>
        <w:jc w:val="left"/>
      </w:pPr>
      <w:r>
        <w:rPr>
          <w:b w:val="false"/>
          <w:bCs w:val="false"/>
          <w:i w:val="false"/>
          <w:iCs w:val="false"/>
          <w:sz w:val="22"/>
          <w:szCs w:val="22"/>
        </w:rPr>
        <w:t xml:space="preserve">Debo ser transparente: es inmutabilidad a nivel de aplicación, no un blockchain. Un administrador de base de datos con acceso directo podría alterar filas; en producción eso se controla con permisos de MySQL y respaldos.</w:t>
      </w:r>
    </w:p>
    <w:p>
      <w:pPr>
        <w:spacing w:after="160"/>
        <w:jc w:val="left"/>
      </w:pPr>
      <w:r>
        <w:rPr>
          <w:b/>
          <w:bCs/>
          <w:i w:val="false"/>
          <w:iCs w:val="false"/>
          <w:sz w:val="22"/>
          <w:szCs w:val="22"/>
        </w:rPr>
        <w:t xml:space="preserve">Cierre: La combinación bcrypt más auditoría append-only nos da confidencialidad de credenciales y trazabilidad de operaciones.</w:t>
      </w:r>
    </w:p>
    <w:p>
      <w:pPr>
        <w:spacing w:after="280"/>
        <w:jc w:val="left"/>
      </w:pPr>
      <w:r>
        <w:rPr>
          <w:b w:val="false"/>
          <w:bCs w:val="false"/>
          <w:i/>
          <w:iCs/>
          <w:sz w:val="22"/>
          <w:szCs w:val="22"/>
        </w:rPr>
        <w:t xml:space="preserve">Si profundizan: Puedo mostrar bcrypt.hash en server/index.js línea 1242 y el INSERT de audit_events en server/lib/auditLog.js línea 208.</w:t>
      </w:r>
    </w:p>
    <w:p>
      <w:pPr>
        <w:pStyle w:val="Heading1"/>
        <w:spacing w:after="180" w:before="280"/>
        <w:jc w:val="left"/>
      </w:pPr>
      <w:r>
        <w:rPr>
          <w:b/>
          <w:bCs/>
          <w:i w:val="false"/>
          <w:iCs w:val="false"/>
          <w:sz w:val="26"/>
          <w:szCs w:val="26"/>
        </w:rPr>
        <w:t xml:space="preserve">Pregunta 3 — Pruebas de seguridad e inyección SQL</w:t>
      </w:r>
    </w:p>
    <w:p>
      <w:pPr>
        <w:spacing w:after="160"/>
        <w:jc w:val="left"/>
      </w:pPr>
      <w:r>
        <w:rPr>
          <w:b w:val="false"/>
          <w:bCs w:val="false"/>
          <w:i w:val="false"/>
          <w:iCs w:val="false"/>
          <w:sz w:val="22"/>
          <w:szCs w:val="22"/>
        </w:rPr>
        <w:t xml:space="preserve">Las pruebas de seguridad las planteamos en tres capas, usando OWASP Top 10 como marco de referencia, no como certificación oficial.</w:t>
      </w:r>
    </w:p>
    <w:p>
      <w:pPr>
        <w:spacing w:after="160"/>
        <w:jc w:val="left"/>
      </w:pPr>
      <w:r>
        <w:rPr>
          <w:b w:val="false"/>
          <w:bCs w:val="false"/>
          <w:i w:val="false"/>
          <w:iCs w:val="false"/>
          <w:sz w:val="22"/>
          <w:szCs w:val="22"/>
        </w:rPr>
        <w:t xml:space="preserve">Primero hicimos revisión estática del código: buscamos fallos de autenticación, control de acceso, configuración insegura e inyección. Los hallazgos y correcciones están en docs/INFORME_SEGURIDAD_AEPG.docx.</w:t>
      </w:r>
    </w:p>
    <w:p>
      <w:pPr>
        <w:spacing w:after="160"/>
        <w:jc w:val="left"/>
      </w:pPr>
      <w:r>
        <w:rPr>
          <w:b w:val="false"/>
          <w:bCs w:val="false"/>
          <w:i w:val="false"/>
          <w:iCs w:val="false"/>
          <w:sz w:val="22"/>
          <w:szCs w:val="22"/>
        </w:rPr>
        <w:t xml:space="preserve">Segundo ejecutamos diez pruebas automatizadas con el script security-smoke-test.mjs. Por ejemplo: intentar entrar sin token debe dar 401; poner un token falso debe dar 403; y muy importante, probar inyección SQL en el login con el texto clásico comilla-or-uno-igual-uno debe fallar y devolver credenciales inválidas, no abrir la puerta.</w:t>
      </w:r>
    </w:p>
    <w:p>
      <w:pPr>
        <w:spacing w:after="160"/>
        <w:jc w:val="left"/>
      </w:pPr>
      <w:r>
        <w:rPr>
          <w:b w:val="false"/>
          <w:bCs w:val="false"/>
          <w:i w:val="false"/>
          <w:iCs w:val="false"/>
          <w:sz w:val="22"/>
          <w:szCs w:val="22"/>
        </w:rPr>
        <w:t xml:space="preserve">Tercero, la prevención de inyección SQL no depende solo de la prueba: todo el API usa consultas parametrizadas con mysql2, es decir, los datos del usuario van en placeholders ? separados del SQL.</w:t>
      </w:r>
    </w:p>
    <w:p>
      <w:pPr>
        <w:spacing w:after="160"/>
        <w:jc w:val="left"/>
      </w:pPr>
      <w:r>
        <w:rPr>
          <w:b w:val="false"/>
          <w:bCs w:val="false"/>
          <w:i w:val="false"/>
          <w:iCs w:val="false"/>
          <w:sz w:val="22"/>
          <w:szCs w:val="22"/>
        </w:rPr>
        <w:t xml:space="preserve">Aclaro con honestidad académica: no contratamos un pentest externo con Burp o ZAP sobre todos los endpoints. Lo que tenemos es reproducible, documentado y alineado a buenas prácticas OWASP.</w:t>
      </w:r>
    </w:p>
    <w:p>
      <w:pPr>
        <w:spacing w:after="160"/>
        <w:jc w:val="left"/>
      </w:pPr>
      <w:r>
        <w:rPr>
          <w:b/>
          <w:bCs/>
          <w:i w:val="false"/>
          <w:iCs w:val="false"/>
          <w:sz w:val="22"/>
          <w:szCs w:val="22"/>
        </w:rPr>
        <w:t xml:space="preserve">Cierre: Podemos ejecutar el script en vivo si el servidor está levantado, y ver el JSON de resultados en docs/security-test-results.json.</w:t>
      </w:r>
    </w:p>
    <w:p>
      <w:pPr>
        <w:spacing w:after="280"/>
        <w:jc w:val="left"/>
      </w:pPr>
      <w:r>
        <w:rPr>
          <w:b w:val="false"/>
          <w:bCs w:val="false"/>
          <w:i/>
          <w:iCs/>
          <w:sz w:val="22"/>
          <w:szCs w:val="22"/>
        </w:rPr>
        <w:t xml:space="preserve">Si profundizan: Archivos clave: server/scripts/security-smoke-test.mjs y docs/security-test-results.json.</w:t>
      </w:r>
    </w:p>
    <w:p>
      <w:pPr>
        <w:pStyle w:val="Heading1"/>
        <w:spacing w:after="180" w:before="280"/>
        <w:jc w:val="left"/>
      </w:pPr>
      <w:r>
        <w:rPr>
          <w:b/>
          <w:bCs/>
          <w:i w:val="false"/>
          <w:iCs w:val="false"/>
          <w:sz w:val="26"/>
          <w:szCs w:val="26"/>
        </w:rPr>
        <w:t xml:space="preserve">Pregunta 4 — Consistencia al aprobar contratos</w:t>
      </w:r>
    </w:p>
    <w:p>
      <w:pPr>
        <w:spacing w:after="160"/>
        <w:jc w:val="left"/>
      </w:pPr>
      <w:r>
        <w:rPr>
          <w:b w:val="false"/>
          <w:bCs w:val="false"/>
          <w:i w:val="false"/>
          <w:iCs w:val="false"/>
          <w:sz w:val="22"/>
          <w:szCs w:val="22"/>
        </w:rPr>
        <w:t xml:space="preserve">Antes de responder, preciso el alcance: nuestro sistema gestiona contratos y expedientes digitales; no lleva inventario pecuario ni presupuesto en base de datos.</w:t>
      </w:r>
    </w:p>
    <w:p>
      <w:pPr>
        <w:spacing w:after="160"/>
        <w:jc w:val="left"/>
      </w:pPr>
      <w:r>
        <w:rPr>
          <w:b w:val="false"/>
          <w:bCs w:val="false"/>
          <w:i w:val="false"/>
          <w:iCs w:val="false"/>
          <w:sz w:val="22"/>
          <w:szCs w:val="22"/>
        </w:rPr>
        <w:t xml:space="preserve">La consistencia la garantizamos a nivel de cada contrato. Cada uno es una fila con una máquina de estados: solicitud pendiente, verificación jurídica, aprobación o rechazo.</w:t>
      </w:r>
    </w:p>
    <w:p>
      <w:pPr>
        <w:spacing w:after="160"/>
        <w:jc w:val="left"/>
      </w:pPr>
      <w:r>
        <w:rPr>
          <w:b w:val="false"/>
          <w:bCs w:val="false"/>
          <w:i w:val="false"/>
          <w:iCs w:val="false"/>
          <w:sz w:val="22"/>
          <w:szCs w:val="22"/>
        </w:rPr>
        <w:t xml:space="preserve">Cuando el director aprueba, el código primero pregunta: ¿sigue pendiente? Si otro usuario ya lo resolvió, responde error y no aplica dos veces el mismo cambio. Eso evita doble aprobación sobre un mismo registro.</w:t>
      </w:r>
    </w:p>
    <w:p>
      <w:pPr>
        <w:spacing w:after="160"/>
        <w:jc w:val="left"/>
      </w:pPr>
      <w:r>
        <w:rPr>
          <w:b w:val="false"/>
          <w:bCs w:val="false"/>
          <w:i w:val="false"/>
          <w:iCs w:val="false"/>
          <w:sz w:val="22"/>
          <w:szCs w:val="22"/>
        </w:rPr>
        <w:t xml:space="preserve">Si se aprueban varios contratos a la vez, son operaciones independientes sobre filas distintas; MySQL InnoDB asegura cada UPDATE por separado. No hay tabla compartida de stock que pueda desincronizarse.</w:t>
      </w:r>
    </w:p>
    <w:p>
      <w:pPr>
        <w:spacing w:after="160"/>
        <w:jc w:val="left"/>
      </w:pPr>
      <w:r>
        <w:rPr>
          <w:b w:val="false"/>
          <w:bCs w:val="false"/>
          <w:i w:val="false"/>
          <w:iCs w:val="false"/>
          <w:sz w:val="22"/>
          <w:szCs w:val="22"/>
        </w:rPr>
        <w:t xml:space="preserve">El archivado —copiar documentos, mover al histórico, borrar el activo— hoy es una secuencia de pasos. Reconocemos como mejora futura envolver eso en una transacción SQL explícita.</w:t>
      </w:r>
    </w:p>
    <w:p>
      <w:pPr>
        <w:spacing w:after="160"/>
        <w:jc w:val="left"/>
      </w:pPr>
      <w:r>
        <w:rPr>
          <w:b/>
          <w:bCs/>
          <w:i w:val="false"/>
          <w:iCs w:val="false"/>
          <w:sz w:val="22"/>
          <w:szCs w:val="22"/>
        </w:rPr>
        <w:t xml:space="preserve">Cierre: Para AEPG, donde la concurrencia de aprobaciones es baja, el diseño por estados y validación optimista es adecuado al problema real.</w:t>
      </w:r>
    </w:p>
    <w:p>
      <w:pPr>
        <w:spacing w:after="280"/>
        <w:jc w:val="left"/>
      </w:pPr>
      <w:r>
        <w:rPr>
          <w:b w:val="false"/>
          <w:bCs w:val="false"/>
          <w:i/>
          <w:iCs/>
          <w:sz w:val="22"/>
          <w:szCs w:val="22"/>
        </w:rPr>
        <w:t xml:space="preserve">Si profundizan: Código en server/lib/contratosAprobacion.js, líneas 132-138, donde se verifica aprobacion_estado === pendiente.</w:t>
      </w:r>
    </w:p>
    <w:p>
      <w:pPr>
        <w:pStyle w:val="Heading1"/>
        <w:spacing w:after="180" w:before="280"/>
        <w:jc w:val="left"/>
      </w:pPr>
      <w:r>
        <w:rPr>
          <w:b/>
          <w:bCs/>
          <w:i w:val="false"/>
          <w:iCs w:val="false"/>
          <w:sz w:val="26"/>
          <w:szCs w:val="26"/>
        </w:rPr>
        <w:t xml:space="preserve">Pregunta 5 — Acoplamiento y replicabilidad en otras empresas del grupo</w:t>
      </w:r>
    </w:p>
    <w:p>
      <w:pPr>
        <w:spacing w:after="160"/>
        <w:jc w:val="left"/>
      </w:pPr>
      <w:r>
        <w:rPr>
          <w:b w:val="false"/>
          <w:bCs w:val="false"/>
          <w:i w:val="false"/>
          <w:iCs w:val="false"/>
          <w:sz w:val="22"/>
          <w:szCs w:val="22"/>
        </w:rPr>
        <w:t xml:space="preserve">La solución tiene acoplamiento medio-bajo: la mayor parte es una plataforma de contratación reutilizable; una parte menor es identidad AEPG.</w:t>
      </w:r>
    </w:p>
    <w:p>
      <w:pPr>
        <w:spacing w:after="160"/>
        <w:jc w:val="left"/>
      </w:pPr>
      <w:r>
        <w:rPr>
          <w:b w:val="false"/>
          <w:bCs w:val="false"/>
          <w:i w:val="false"/>
          <w:iCs w:val="false"/>
          <w:sz w:val="22"/>
          <w:szCs w:val="22"/>
        </w:rPr>
        <w:t xml:space="preserve">Lo reutilizable incluye login con JWT, RBAC configurable, flujo solicitar-verificar-aprobar, expediente PDF y Word, recordatorios de vencimiento, correo, auditoría y mensajes internos. Eso es más del setenta por ciento del valor técnico.</w:t>
      </w:r>
    </w:p>
    <w:p>
      <w:pPr>
        <w:spacing w:after="160"/>
        <w:jc w:val="left"/>
      </w:pPr>
      <w:r>
        <w:rPr>
          <w:b w:val="false"/>
          <w:bCs w:val="false"/>
          <w:i w:val="false"/>
          <w:iCs w:val="false"/>
          <w:sz w:val="22"/>
          <w:szCs w:val="22"/>
        </w:rPr>
        <w:t xml:space="preserve">Lo específico de AEPG es el branding, los nombres de roles en código —contratacion, director, abogado—, las semillas iniciales del catálogo de tipos de contrato, y el correo institucional en el archivo .env.</w:t>
      </w:r>
    </w:p>
    <w:p>
      <w:pPr>
        <w:spacing w:after="160"/>
        <w:jc w:val="left"/>
      </w:pPr>
      <w:r>
        <w:rPr>
          <w:b w:val="false"/>
          <w:bCs w:val="false"/>
          <w:i w:val="false"/>
          <w:iCs w:val="false"/>
          <w:sz w:val="22"/>
          <w:szCs w:val="22"/>
        </w:rPr>
        <w:t xml:space="preserve">Para otra empresa del Grupo Empresarial Ganadero con proceso similar, la adaptación sería principalmente configuración: roles en RBAC, catálogos, plantillas de correo y nombre de empresa en variables de entorno. No hay que reescribir el núcleo.</w:t>
      </w:r>
    </w:p>
    <w:p>
      <w:pPr>
        <w:spacing w:after="160"/>
        <w:jc w:val="left"/>
      </w:pPr>
      <w:r>
        <w:rPr>
          <w:b w:val="false"/>
          <w:bCs w:val="false"/>
          <w:i w:val="false"/>
          <w:iCs w:val="false"/>
          <w:sz w:val="22"/>
          <w:szCs w:val="22"/>
        </w:rPr>
        <w:t xml:space="preserve">Multi-empresa en una sola instalación está planificado como fase dos; hoy es single-tenant, una organización por despliegue.</w:t>
      </w:r>
    </w:p>
    <w:p>
      <w:pPr>
        <w:spacing w:after="160"/>
        <w:jc w:val="left"/>
      </w:pPr>
      <w:r>
        <w:rPr>
          <w:b/>
          <w:bCs/>
          <w:i w:val="false"/>
          <w:iCs w:val="false"/>
          <w:sz w:val="22"/>
          <w:szCs w:val="22"/>
        </w:rPr>
        <w:t xml:space="preserve">Cierre: No es un ERP genético integral; es un producto vertical de contratación documental replicable por configuración.</w:t>
      </w:r>
    </w:p>
    <w:p>
      <w:pPr>
        <w:spacing w:after="280"/>
        <w:jc w:val="left"/>
      </w:pPr>
      <w:r>
        <w:rPr>
          <w:b w:val="false"/>
          <w:bCs w:val="false"/>
          <w:i/>
          <w:iCs/>
          <w:sz w:val="22"/>
          <w:szCs w:val="22"/>
        </w:rPr>
        <w:t xml:space="preserve">Si profundizan: Mostrar client/src/components/GestionRoles.jsx para RBAC y CatalogoTiposContrato.jsx para catálogos editables.</w:t>
      </w:r>
    </w:p>
    <w:p>
      <w:pPr>
        <w:pStyle w:val="Heading1"/>
        <w:spacing w:after="180" w:before="280"/>
        <w:jc w:val="left"/>
      </w:pPr>
      <w:r>
        <w:rPr>
          <w:b/>
          <w:bCs/>
          <w:i w:val="false"/>
          <w:iCs w:val="false"/>
          <w:sz w:val="26"/>
          <w:szCs w:val="26"/>
        </w:rPr>
        <w:t xml:space="preserve">Pregunta 6 — Inteligencia artificial predictiva</w:t>
      </w:r>
    </w:p>
    <w:p>
      <w:pPr>
        <w:spacing w:after="160"/>
        <w:jc w:val="left"/>
      </w:pPr>
      <w:r>
        <w:rPr>
          <w:b w:val="false"/>
          <w:bCs w:val="false"/>
          <w:i w:val="false"/>
          <w:iCs w:val="false"/>
          <w:sz w:val="22"/>
          <w:szCs w:val="22"/>
        </w:rPr>
        <w:t xml:space="preserve">Hoy el módulo de alertas es reactivo: avisa N días antes del vencimiento según reglas. La IA sería el siguiente paso: predecir quién tiene riesgo de incumplir o no renovar.</w:t>
      </w:r>
    </w:p>
    <w:p>
      <w:pPr>
        <w:spacing w:after="160"/>
        <w:jc w:val="left"/>
      </w:pPr>
      <w:r>
        <w:rPr>
          <w:b w:val="false"/>
          <w:bCs w:val="false"/>
          <w:i w:val="false"/>
          <w:iCs w:val="false"/>
          <w:sz w:val="22"/>
          <w:szCs w:val="22"/>
        </w:rPr>
        <w:t xml:space="preserve">La ventaja es que el sistema ya acumula datos útiles: historial por proveedor, fechas, rechazos jurídicos, tiempos de aprobación, motivos en auditoría y recordatorios enviados. No partimos de cero.</w:t>
      </w:r>
    </w:p>
    <w:p>
      <w:pPr>
        <w:spacing w:after="160"/>
        <w:jc w:val="left"/>
      </w:pPr>
      <w:r>
        <w:rPr>
          <w:b w:val="false"/>
          <w:bCs w:val="false"/>
          <w:i w:val="false"/>
          <w:iCs w:val="false"/>
          <w:sz w:val="22"/>
          <w:szCs w:val="22"/>
        </w:rPr>
        <w:t xml:space="preserve">Recomendaría modelos explicables para entorno estatal: clasificación con Random Forest o XGBoost para probabilidad de no renovación en noventa días, y análisis de supervivencia para estimar cuándo vencerá la relación contractual. Evitaría deep learning sobre PDFs por costo y poca transparencia.</w:t>
      </w:r>
    </w:p>
    <w:p>
      <w:pPr>
        <w:spacing w:after="160"/>
        <w:jc w:val="left"/>
      </w:pPr>
      <w:r>
        <w:rPr>
          <w:b w:val="false"/>
          <w:bCs w:val="false"/>
          <w:i w:val="false"/>
          <w:iCs w:val="false"/>
          <w:sz w:val="22"/>
          <w:szCs w:val="22"/>
        </w:rPr>
        <w:t xml:space="preserve">Económicamente, priorizar contratos de alto riesgo reduce multas, horas de abogado y contratación, y evita cortes de insumos genéticos por vencimientos no gestionados.</w:t>
      </w:r>
    </w:p>
    <w:p>
      <w:pPr>
        <w:spacing w:after="160"/>
        <w:jc w:val="left"/>
      </w:pPr>
      <w:r>
        <w:rPr>
          <w:b w:val="false"/>
          <w:bCs w:val="false"/>
          <w:i w:val="false"/>
          <w:iCs w:val="false"/>
          <w:sz w:val="22"/>
          <w:szCs w:val="22"/>
        </w:rPr>
        <w:t xml:space="preserve">La integración sería una capa analítica: extraer features de MySQL, entrenar en batch, exponer scores en un dashboard y priorizar recordatorios automáticos.</w:t>
      </w:r>
    </w:p>
    <w:p>
      <w:pPr>
        <w:spacing w:after="160"/>
        <w:jc w:val="left"/>
      </w:pPr>
      <w:r>
        <w:rPr>
          <w:b/>
          <w:bCs/>
          <w:i w:val="false"/>
          <w:iCs w:val="false"/>
          <w:sz w:val="22"/>
          <w:szCs w:val="22"/>
        </w:rPr>
        <w:t xml:space="preserve">Cierre: El sistema actual es la base de datos gobernada; la IA sería inteligencia encima, no un reemplazo del workflow.</w:t>
      </w:r>
    </w:p>
    <w:p>
      <w:pPr>
        <w:spacing w:after="280"/>
        <w:jc w:val="left"/>
      </w:pPr>
      <w:r>
        <w:rPr>
          <w:b w:val="false"/>
          <w:bCs w:val="false"/>
          <w:i/>
          <w:iCs/>
          <w:sz w:val="22"/>
          <w:szCs w:val="22"/>
        </w:rPr>
        <w:t xml:space="preserve">Si profundizan: Módulo actual: server/lib/contratosRecordatorios.js y pestaña Vencimientos en GestionContratos.jsx.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2026-06-13T03:56:14.223Z</dcterms:created>
  <dcterms:modified xsi:type="dcterms:W3CDTF">2026-06-13T03:56:14.223Z</dcterms:modified>
</cp:coreProperties>
</file>

<file path=docProps/custom.xml><?xml version="1.0" encoding="utf-8"?>
<Properties xmlns="http://schemas.openxmlformats.org/officeDocument/2006/custom-properties" xmlns:vt="http://schemas.openxmlformats.org/officeDocument/2006/docPropsVTypes"/>
</file>