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Respuestas para la Oponencia</w:t>
      </w:r>
    </w:p>
    <w:p>
      <w:pPr>
        <w:spacing w:after="300"/>
        <w:jc w:val="center"/>
      </w:pPr>
      <w:r>
        <w:rPr>
          <w:sz w:val="24"/>
          <w:szCs w:val="24"/>
        </w:rPr>
        <w:t xml:space="preserve">Sistema de Gestión de Contratos — AEPG
Empresa Pecuaria Genética Valle del Perú</w:t>
      </w:r>
    </w:p>
    <w:p>
      <w:pPr>
        <w:spacing w:after="400"/>
      </w:pPr>
      <w:r>
        <w:rPr>
          <w:b w:val="false"/>
          <w:bCs w:val="false"/>
          <w:i/>
          <w:iCs/>
          <w:sz w:val="22"/>
          <w:szCs w:val="22"/>
        </w:rPr>
        <w:t xml:space="preserve">Fecha: 13 de junio de 2026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Documento de apoyo para la defensa de tesis. Las respuestas están fundamentadas en el código fuente del repositorio (Node.js/Express, React, MySQL). Complementos: CAPITULO_4_PRUEBAS_SEGURIDAD_ALINEADO.md, GUIA_DEMO_DEFENSA_TESIS.md.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1 — RBAC en backend y prevención de bypass desde React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control de acceso se implementó con defensa en profundidad: React solo oculta acciones; toda autorización efectiva ocurre en el servidor (never trust the client).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Capas: (1) verificarToken — JWT, blacklist, usuario activo; (2) autorizarRol / autorizarPermiso contra rbac_role_permissions en MySQL; (3) permisos NO van en el token, se reconsultan por petición; (4) rbacPathRules.js infiere módulo/acción por ruta.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Prevención de escalamiento: solo admin crea usuarios; no auto-cambio de rol; roles de sistema protegidos; RBAC exige permisos usuarios.*.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Evidencia: server/index.js, server/lib/rbac.js, client/src/context/PermissionsContext.jsx.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2 — Hash de contraseñas e inmutabilidad de auditoría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Contraseñas: bcrypt, factor 10 rounds, solo hash en BD, bcrypt.compare en login, política passwordFuerte (8+ chars, mayúscula, minúscula, número). Bloqueo tras 5 intentos, rate limiting, invalidación JWT al cambiar contraseña.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Auditoría: audit_events append-only (solo INSERT desde app), auditLog.js, contratosAuditoria.js. Admin consulta pero no borra historial desde la UI.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Matiz: inmutabilidad lógica de aplicación, no ledger criptográfico. Mejora futura: triggers en BD o réplica solo lectura.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3 — Pruebas de seguridad, OWASP e inyección SQL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Metodología: (1) revisión estática OWASP Top 10 → INFORME_SEGURIDAD_AEPG.docx; (2) 10 smoke tests → security-smoke-test.mjs, security-test-results.json (10/10 OK); (3) audit-api-auth.mjs.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SEC-04: inyección SQL en login → 401. Consultas parametrizadas mysql2 en todo el API.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Matiz honesto: no pentest externo (Burp/ZAP); no fuzzing exhaustivo; no suite Jest. OWASP es marco de revisión, no certificación.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4 — Consistencia transaccional en aprobaciones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Aclaración: el sistema NO modela inventario ni presupuesto; gestiona ciclo de vida contractual y expediente digital.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Consistencia: máquina de estados por contrato; validación optimista (aprobacion_estado === pendiente) en contratosAprobacion.js; aprobaciones paralelas son UPDATEs independientes por numero_contrato.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Matiz: no hay BEGIN/COMMIT explícitos; archivado multi-paso en contratosArchivo.js. Mejora futura: transacciones SQL.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5 — Acoplamiento AEPG y replicabilidad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Acoplamiento medio-bajo: ~70% plataforma transversal (auth, RBAC, workflow, expediente, recordatorios, auditoría) / ~30% reglas locales (branding AEPG, roles hardcodeados, semillas catálogo).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Replicable en empresas del grupo con proceso similar (contratación → jurídico → director → archivo). Adaptación: RBAC, catálogos, plantillas correo, REACT_APP_EMPRESA_NOMBRE. Multi-empresa: fase 2.</w:t>
      </w:r>
    </w:p>
    <w:p>
      <w:pPr>
        <w:pStyle w:val="Heading1"/>
        <w:spacing w:before="300"/>
      </w:pPr>
      <w:r>
        <w:rPr>
          <w:b/>
          <w:bCs/>
          <w:sz w:val="26"/>
          <w:szCs w:val="26"/>
        </w:rPr>
        <w:t xml:space="preserve">Pregunta 6 — Inteligencia artificial predictiva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Hoy: recordatorios reactivos (contratosRecordatorios.js). Futuro: capa predictiva sobre audit_events, vencimientos, rechazos, tiempos de aprobación.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Modelos recomendados: clasificación supervisada (Random Forest/XGBoost), análisis de supervivencia, detección de anomalías. Evitar deep learning en PDFs (baja explicabilidad).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Beneficios: menos vencimientos no gestionados, priorización de contratos de riesgo, ROI medible.</w:t>
      </w:r>
    </w:p>
    <w:p>
      <w:pPr>
        <w:pStyle w:val="Heading1"/>
        <w:spacing w:before="400"/>
      </w:pPr>
      <w:r>
        <w:rPr>
          <w:b/>
          <w:bCs/>
          <w:sz w:val="26"/>
          <w:szCs w:val="26"/>
        </w:rPr>
        <w:t xml:space="preserve">Recomendaciones para la defensa oral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Citar archivos concretos: rbac.js, security-smoke-test.mjs, contratosAprobacion.js.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Anticipar matices: inmutabilidad lógica, sin pentest formal, sin transacciones SQL explícitas.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Pregunta 4: reconducir al alcance contractual-documental.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Demostración en vivo: ver GUIA_DEMO_DEFENSA_TESIS.md.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2026-06-13T01:38:54.964Z</dcterms:created>
  <dcterms:modified xsi:type="dcterms:W3CDTF">2026-06-13T01:38:54.967Z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