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color w:val="2E74B5"/>
          <w:sz w:val="40"/>
        </w:rPr>
        <w:t>需求规格说明书（差异检查与按钮级强化版）</w:t>
      </w:r>
    </w:p>
    <w:p>
      <w:pPr>
        <w:spacing w:after="200"/>
      </w:pPr>
      <w:r>
        <w:rPr>
          <w:rFonts w:ascii="Calibri" w:hAnsi="Calibri" w:eastAsia="Microsoft YaHei"/>
          <w:color w:val="5A5A5A"/>
          <w:sz w:val="18"/>
        </w:rPr>
        <w:t>源文件: 数据收益分配系统_V1.4_需求规格说明书_增加后端逐资源质量评估.md    生成日期: 2026-07-01</w:t>
      </w:r>
    </w:p>
    <w:p>
      <w:r>
        <w:rPr>
          <w:rFonts w:ascii="Calibri" w:hAnsi="Calibri" w:eastAsia="Microsoft YaHei"/>
          <w:b w:val="0"/>
          <w:i w:val="0"/>
          <w:sz w:val="22"/>
        </w:rPr>
        <w:t>需求规格说明书（差异检查与按钮级强化版）</w:t>
      </w:r>
    </w:p>
    <w:p>
      <w:r>
        <w:rPr>
          <w:rFonts w:ascii="Calibri" w:hAnsi="Calibri" w:eastAsia="Microsoft YaHei"/>
          <w:b w:val="0"/>
          <w:i w:val="0"/>
          <w:sz w:val="22"/>
        </w:rPr>
        <w:t>适用：软著材料、产品开发、测试验收、演示系统建设、算法审计说明</w:t>
      </w:r>
    </w:p>
    <w:p>
      <w:r>
        <w:rPr>
          <w:rFonts w:ascii="Calibri" w:hAnsi="Calibri" w:eastAsia="Microsoft YaHei"/>
          <w:b w:val="0"/>
          <w:i w:val="0"/>
          <w:sz w:val="22"/>
        </w:rPr>
        <w:t>编写日期：2026 年 6 月 17 日</w:t>
      </w:r>
    </w:p>
    <w:p>
      <w:r>
        <w:rPr>
          <w:rFonts w:ascii="Calibri" w:hAnsi="Calibri" w:eastAsia="Microsoft YaHei"/>
          <w:b w:val="0"/>
          <w:i w:val="0"/>
          <w:sz w:val="22"/>
        </w:rPr>
        <w:t>版本定位：在 V1.1 基础上补充附件要求、MD-DShap 默认策略、按钮级需求、导出字段清单和模块级验收用例，并按当前 backend/dvas、ui_prototype/src、db 和 backend/tests 真实内容同步菜单、接口、运行时存储和 P0/P1 边界。</w:t>
      </w:r>
    </w:p>
    <w:p>
      <w:pPr>
        <w:pStyle w:val="Heading1"/>
      </w:pPr>
      <w:r>
        <w:t>1. 文档基本信息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文档名称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V1.4 需求规格说明书（当前代码同步版）》</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系统名称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数据收益分配系统（DVAS，Data Value Allocation System）</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版本号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V1.4.3</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编写日期</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2026 年 6 月 30 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编写人 / 责任人</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项目产品与算法设计组 / 项目负责人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修订依据</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V1.1 需求规格说明书、附件颗粒度要求、导师反馈：需体现差异检查、按钮级需求、MD-DShap、导出字段、模块级验收。</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适用范围</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需求定义、功能开发、测试验收、软著材料编写、演示系统建设、后续版本扩展。</w:t>
            </w:r>
          </w:p>
        </w:tc>
      </w:tr>
    </w:tbl>
    <w:p/>
    <w:p>
      <w:pPr>
        <w:pStyle w:val="Heading2"/>
      </w:pPr>
      <w:r>
        <w:t>1.1 目标读者</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读者</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关注内容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产品负责人</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系统范围、功能边界、版本优先级、业务流程、验收标准。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前端开发人员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页面结构、按钮编号、表单字段、交互状态、异常提示。</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后端开发人员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数据对象、接口输入输出、状态机、日志审计、导出字段。</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算法开发人员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数元计量、质量评估、效用函数、MD-DShap、基线 Shapley 校验。</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测试人员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模块级用例、按钮级验收、异常场景、边界条件、回归要求。</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合规与审计人员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数据边界、算法披露、合同分配规则、审计链路、报告假设。</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软著材料编写人员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系统功能描述、架构说明、用户手册与源代码导出映射。</w:t>
            </w:r>
          </w:p>
        </w:tc>
      </w:tr>
    </w:tbl>
    <w:p/>
    <w:p>
      <w:pPr>
        <w:pStyle w:val="Heading2"/>
      </w:pPr>
      <w:r>
        <w:t>1.2 修订记录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版本</w:t>
            </w:r>
          </w:p>
        </w:tc>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日期</w:t>
            </w:r>
          </w:p>
        </w:tc>
        <w:tc>
          <w:tcPr>
            <w:tcW w:type="dxa" w:w="5348"/>
            <w:shd w:fill="E8EEF5"/>
            <w:tcMar>
              <w:top w:w="80" w:type="dxa"/>
              <w:start w:w="120" w:type="dxa"/>
              <w:bottom w:w="80" w:type="dxa"/>
              <w:end w:w="120" w:type="dxa"/>
            </w:tcMar>
            <w:vAlign w:val="center"/>
          </w:tcPr>
          <w:p>
            <w:pPr>
              <w:spacing w:after="0"/>
            </w:pPr>
            <w:r>
              <w:rPr>
                <w:rFonts w:ascii="Calibri" w:hAnsi="Calibri" w:eastAsia="Microsoft YaHei"/>
                <w:b/>
                <w:i w:val="0"/>
                <w:sz w:val="18"/>
              </w:rPr>
              <w:t>修改内容</w:t>
            </w:r>
          </w:p>
        </w:tc>
        <w:tc>
          <w:tcPr>
            <w:tcW w:type="dxa" w:w="1338"/>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V1.0</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2026-06-16</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建立通用数据收益分配系统需求说明。</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草稿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补充按钮级需求、MD-DShap 算法升级、早期合同分配规则与审计链路。</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待评审</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新增现有项目差异检查与修改清单；将 MD-DShap 设为默认策略；扩展按钮级需求；补全导出字段清单；新增 90 条模块级验收用例；按更新后的左侧导航结构统一菜单层级、入口路径和验收映射。</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2026-06-25</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新增后端逐资源质量评估板块，补充资源级质量结果、包级汇总、接口、导出字段和验收用例。</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本次提交稿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2026-06-26</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同步“合同分配规则”新版口径：合同页仅维护合同比例方案，先划分数据源收益池与非数据主体合同金额，再由 MD-DShap 分配数据源收益池；旧保底/封顶/固定比例约束流转为兼容历史接口。</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本次提交稿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2026-06-28</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按当前 backend/dvas、ui_prototype/src、db 和 backend/tests 重新核对接口、路由、DTO、状态机、运行时存储、合同比例主流程、P1 本地能力和禁用按钮。</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代码同步稿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2026-06-30</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按当前项目真实内容收口：修正版本元数据、收益分配链路顺序、P0/P1 本地扩展边界和数据库/runtime 表述边界。</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当前同步稿</w:t>
            </w:r>
          </w:p>
        </w:tc>
      </w:tr>
    </w:tbl>
    <w:p/>
    <w:p>
      <w:pPr>
        <w:pStyle w:val="Heading2"/>
      </w:pPr>
      <w:r>
        <w:t>1.3 当前代码同步基线（2026-06-30）</w:t>
      </w:r>
    </w:p>
    <w:p>
      <w:r>
        <w:rPr>
          <w:rFonts w:ascii="Calibri" w:hAnsi="Calibri" w:eastAsia="Microsoft YaHei"/>
          <w:b w:val="0"/>
          <w:i w:val="0"/>
          <w:sz w:val="22"/>
        </w:rPr>
        <w:t>本节以当前真实代码为准。若后续章节仍保留候选能力或早期设计说法，与本节冲突时，以本节作为本轮需求同步依据。</w:t>
      </w:r>
    </w:p>
    <w:p>
      <w:pPr>
        <w:pStyle w:val="Heading3"/>
      </w:pPr>
      <w:r>
        <w:t>1.3.1 运行时与接口边界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77"/>
            <w:shd w:fill="E8EEF5"/>
            <w:tcMar>
              <w:top w:w="80" w:type="dxa"/>
              <w:start w:w="120" w:type="dxa"/>
              <w:bottom w:w="80" w:type="dxa"/>
              <w:end w:w="120" w:type="dxa"/>
            </w:tcMar>
            <w:vAlign w:val="center"/>
          </w:tcPr>
          <w:p>
            <w:pPr>
              <w:spacing w:after="0"/>
            </w:pPr>
            <w:r>
              <w:rPr>
                <w:rFonts w:ascii="Calibri" w:hAnsi="Calibri" w:eastAsia="Microsoft YaHei"/>
                <w:b/>
                <w:i w:val="0"/>
                <w:sz w:val="18"/>
              </w:rPr>
              <w:t>主题</w:t>
            </w:r>
          </w:p>
        </w:tc>
        <w:tc>
          <w:tcPr>
            <w:tcW w:type="dxa" w:w="3941"/>
            <w:shd w:fill="E8EEF5"/>
            <w:tcMar>
              <w:top w:w="80" w:type="dxa"/>
              <w:start w:w="120" w:type="dxa"/>
              <w:bottom w:w="80" w:type="dxa"/>
              <w:end w:w="120" w:type="dxa"/>
            </w:tcMar>
            <w:vAlign w:val="center"/>
          </w:tcPr>
          <w:p>
            <w:pPr>
              <w:spacing w:after="0"/>
            </w:pPr>
            <w:r>
              <w:rPr>
                <w:rFonts w:ascii="Calibri" w:hAnsi="Calibri" w:eastAsia="Microsoft YaHei"/>
                <w:b/>
                <w:i w:val="0"/>
                <w:sz w:val="18"/>
              </w:rPr>
              <w:t>当前代码事实</w:t>
            </w:r>
          </w:p>
        </w:tc>
        <w:tc>
          <w:tcPr>
            <w:tcW w:type="dxa" w:w="3942"/>
            <w:shd w:fill="E8EEF5"/>
            <w:tcMar>
              <w:top w:w="80" w:type="dxa"/>
              <w:start w:w="120" w:type="dxa"/>
              <w:bottom w:w="80" w:type="dxa"/>
              <w:end w:w="120" w:type="dxa"/>
            </w:tcMar>
            <w:vAlign w:val="center"/>
          </w:tcPr>
          <w:p>
            <w:pPr>
              <w:spacing w:after="0"/>
            </w:pPr>
            <w:r>
              <w:rPr>
                <w:rFonts w:ascii="Calibri" w:hAnsi="Calibri" w:eastAsia="Microsoft YaHei"/>
                <w:b/>
                <w:i w:val="0"/>
                <w:sz w:val="18"/>
              </w:rPr>
              <w:t>需求同步要求</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P0 runtime storage</w:t>
            </w:r>
          </w:p>
        </w:tc>
        <w:tc>
          <w:tcPr>
            <w:tcW w:type="dxa" w:w="3941"/>
            <w:tcMar>
              <w:top w:w="80" w:type="dxa"/>
              <w:start w:w="120" w:type="dxa"/>
              <w:bottom w:w="80" w:type="dxa"/>
              <w:end w:w="120" w:type="dxa"/>
            </w:tcMar>
            <w:vAlign w:val="top"/>
          </w:tcPr>
          <w:p>
            <w:pPr>
              <w:spacing w:after="0"/>
            </w:pPr>
            <w:r>
              <w:rPr>
                <w:rFonts w:ascii="Calibri" w:hAnsi="Calibri" w:eastAsia="Microsoft YaHei"/>
                <w:b w:val="0"/>
                <w:i w:val="0"/>
                <w:sz w:val="17"/>
              </w:rPr>
              <w:t>后端默认使用 JsonFileRepository 写入本地 JSON state；db/ 是 PostgreSQL 验收/参考 schema。</w:t>
            </w:r>
          </w:p>
        </w:tc>
        <w:tc>
          <w:tcPr>
            <w:tcW w:type="dxa" w:w="3942"/>
            <w:tcMar>
              <w:top w:w="80" w:type="dxa"/>
              <w:start w:w="120" w:type="dxa"/>
              <w:bottom w:w="80" w:type="dxa"/>
              <w:end w:w="120" w:type="dxa"/>
            </w:tcMar>
            <w:vAlign w:val="top"/>
          </w:tcPr>
          <w:p>
            <w:pPr>
              <w:spacing w:after="0"/>
            </w:pPr>
            <w:r>
              <w:rPr>
                <w:rFonts w:ascii="Calibri" w:hAnsi="Calibri" w:eastAsia="Microsoft YaHei"/>
                <w:b w:val="0"/>
                <w:i w:val="0"/>
                <w:sz w:val="17"/>
              </w:rPr>
              <w:t>不得写成 P0 已默认使用 PostgreSQL 正式库；数据库章节必须区分 runtime JSON 对象、PostgreSQL DDL 表和预留映射。</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API 信封</w:t>
            </w:r>
          </w:p>
        </w:tc>
        <w:tc>
          <w:tcPr>
            <w:tcW w:type="dxa" w:w="3941"/>
            <w:tcMar>
              <w:top w:w="80" w:type="dxa"/>
              <w:start w:w="120" w:type="dxa"/>
              <w:bottom w:w="80" w:type="dxa"/>
              <w:end w:w="120" w:type="dxa"/>
            </w:tcMar>
            <w:vAlign w:val="top"/>
          </w:tcPr>
          <w:p>
            <w:pPr>
              <w:spacing w:after="0"/>
            </w:pPr>
            <w:r>
              <w:rPr>
                <w:rFonts w:ascii="Calibri" w:hAnsi="Calibri" w:eastAsia="Microsoft YaHei"/>
                <w:b w:val="0"/>
                <w:i w:val="0"/>
                <w:sz w:val="17"/>
              </w:rPr>
              <w:t>contracts.py 统一返回 success、code、message、trace_id、data；失败返回 field_errors 和嵌套 error。</w:t>
            </w:r>
          </w:p>
        </w:tc>
        <w:tc>
          <w:tcPr>
            <w:tcW w:type="dxa" w:w="3942"/>
            <w:tcMar>
              <w:top w:w="80" w:type="dxa"/>
              <w:start w:w="120" w:type="dxa"/>
              <w:bottom w:w="80" w:type="dxa"/>
              <w:end w:w="120" w:type="dxa"/>
            </w:tcMar>
            <w:vAlign w:val="top"/>
          </w:tcPr>
          <w:p>
            <w:pPr>
              <w:spacing w:after="0"/>
            </w:pPr>
            <w:r>
              <w:rPr>
                <w:rFonts w:ascii="Calibri" w:hAnsi="Calibri" w:eastAsia="Microsoft YaHei"/>
                <w:b w:val="0"/>
                <w:i w:val="0"/>
                <w:sz w:val="17"/>
              </w:rPr>
              <w:t>按标准信封描述 DTO；错误提示应落到字段、前置条件或业务规则。</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HTTP 鉴权</w:t>
            </w:r>
          </w:p>
        </w:tc>
        <w:tc>
          <w:tcPr>
            <w:tcW w:type="dxa" w:w="3941"/>
            <w:tcMar>
              <w:top w:w="80" w:type="dxa"/>
              <w:start w:w="120" w:type="dxa"/>
              <w:bottom w:w="80" w:type="dxa"/>
              <w:end w:w="120" w:type="dxa"/>
            </w:tcMar>
            <w:vAlign w:val="top"/>
          </w:tcPr>
          <w:p>
            <w:pPr>
              <w:spacing w:after="0"/>
            </w:pPr>
            <w:r>
              <w:rPr>
                <w:rFonts w:ascii="Calibri" w:hAnsi="Calibri" w:eastAsia="Microsoft YaHei"/>
                <w:b w:val="0"/>
                <w:i w:val="0"/>
                <w:sz w:val="17"/>
              </w:rPr>
              <w:t>HTTP 业务接口需要 token；本地测试直接调用 handle() 时使用 local_operator。</w:t>
            </w:r>
          </w:p>
        </w:tc>
        <w:tc>
          <w:tcPr>
            <w:tcW w:type="dxa" w:w="3942"/>
            <w:tcMar>
              <w:top w:w="80" w:type="dxa"/>
              <w:start w:w="120" w:type="dxa"/>
              <w:bottom w:w="80" w:type="dxa"/>
              <w:end w:w="120" w:type="dxa"/>
            </w:tcMar>
            <w:vAlign w:val="top"/>
          </w:tcPr>
          <w:p>
            <w:pPr>
              <w:spacing w:after="0"/>
            </w:pPr>
            <w:r>
              <w:rPr>
                <w:rFonts w:ascii="Calibri" w:hAnsi="Calibri" w:eastAsia="Microsoft YaHei"/>
                <w:b w:val="0"/>
                <w:i w:val="0"/>
                <w:sz w:val="17"/>
              </w:rPr>
              <w:t>P0 仍是不强制登录的本地操作员模式；现有登录、用户、角色、权限属于 P1 本地扩展，不写成 P0 必须项。</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后端不可用</w:t>
            </w:r>
          </w:p>
        </w:tc>
        <w:tc>
          <w:tcPr>
            <w:tcW w:type="dxa" w:w="3941"/>
            <w:tcMar>
              <w:top w:w="80" w:type="dxa"/>
              <w:start w:w="120" w:type="dxa"/>
              <w:bottom w:w="80" w:type="dxa"/>
              <w:end w:w="120" w:type="dxa"/>
            </w:tcMar>
            <w:vAlign w:val="top"/>
          </w:tcPr>
          <w:p>
            <w:pPr>
              <w:spacing w:after="0"/>
            </w:pPr>
            <w:r>
              <w:rPr>
                <w:rFonts w:ascii="Calibri" w:hAnsi="Calibri" w:eastAsia="Microsoft YaHei"/>
                <w:b w:val="0"/>
                <w:i w:val="0"/>
                <w:sz w:val="17"/>
              </w:rPr>
              <w:t>前端 httpClient、backendWorkspace 在网络错误或 HTML 响应时进入 backend_unavailable，不使用 mock 伪造成功。</w:t>
            </w:r>
          </w:p>
        </w:tc>
        <w:tc>
          <w:tcPr>
            <w:tcW w:type="dxa" w:w="3942"/>
            <w:tcMar>
              <w:top w:w="80" w:type="dxa"/>
              <w:start w:w="120" w:type="dxa"/>
              <w:bottom w:w="80" w:type="dxa"/>
              <w:end w:w="120" w:type="dxa"/>
            </w:tcMar>
            <w:vAlign w:val="top"/>
          </w:tcPr>
          <w:p>
            <w:pPr>
              <w:spacing w:after="0"/>
            </w:pPr>
            <w:r>
              <w:rPr>
                <w:rFonts w:ascii="Calibri" w:hAnsi="Calibri" w:eastAsia="Microsoft YaHei"/>
                <w:b w:val="0"/>
                <w:i w:val="0"/>
                <w:sz w:val="17"/>
              </w:rPr>
              <w:t>页面需求必须写“后端不可用/接口缺失时展示降级或禁用状态”，不得写成本地 mock 成功。</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PostgreSQL 读模型</w:t>
            </w:r>
          </w:p>
        </w:tc>
        <w:tc>
          <w:tcPr>
            <w:tcW w:type="dxa" w:w="3941"/>
            <w:tcMar>
              <w:top w:w="80" w:type="dxa"/>
              <w:start w:w="120" w:type="dxa"/>
              <w:bottom w:w="80" w:type="dxa"/>
              <w:end w:w="120" w:type="dxa"/>
            </w:tcMar>
            <w:vAlign w:val="top"/>
          </w:tcPr>
          <w:p>
            <w:pPr>
              <w:spacing w:after="0"/>
            </w:pPr>
            <w:r>
              <w:rPr>
                <w:rFonts w:ascii="Calibri" w:hAnsi="Calibri" w:eastAsia="Microsoft YaHei"/>
                <w:b w:val="0"/>
                <w:i w:val="0"/>
                <w:sz w:val="17"/>
              </w:rPr>
              <w:t>PostgresReadService 只读检查健康、项目、状态、审计、报告等，不承担 P0 写入运行时。</w:t>
            </w:r>
          </w:p>
        </w:tc>
        <w:tc>
          <w:tcPr>
            <w:tcW w:type="dxa" w:w="3942"/>
            <w:tcMar>
              <w:top w:w="80" w:type="dxa"/>
              <w:start w:w="120" w:type="dxa"/>
              <w:bottom w:w="80" w:type="dxa"/>
              <w:end w:w="120" w:type="dxa"/>
            </w:tcMar>
            <w:vAlign w:val="top"/>
          </w:tcPr>
          <w:p>
            <w:pPr>
              <w:spacing w:after="0"/>
            </w:pPr>
            <w:r>
              <w:rPr>
                <w:rFonts w:ascii="Calibri" w:hAnsi="Calibri" w:eastAsia="Microsoft YaHei"/>
                <w:b w:val="0"/>
                <w:i w:val="0"/>
                <w:sz w:val="17"/>
              </w:rPr>
              <w:t>PostgreSQL 作为验收 schema 和后续扩展，当前主写路径仍以 JSON state 为准。</w:t>
            </w:r>
          </w:p>
        </w:tc>
      </w:tr>
    </w:tbl>
    <w:p/>
    <w:p>
      <w:pPr>
        <w:pStyle w:val="Heading3"/>
      </w:pPr>
      <w:r>
        <w:t>1.3.2 当前前端导航、路由与按钮状态</w:t>
      </w:r>
    </w:p>
    <w:p>
      <w:pPr>
        <w:keepNext/>
      </w:pPr>
      <w:r>
        <w:rPr>
          <w:rFonts w:ascii="Calibri" w:hAnsi="Calibri" w:eastAsia="Microsoft YaHei"/>
          <w:b/>
          <w:color w:val="1F4D78"/>
          <w:sz w:val="20"/>
        </w:rPr>
        <w:t>1. 系统首页</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NAV_SYS_HOME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SYS-002 选择演示数据、DATA-003 上传 JSON、SYS-004 执行完整链路计算、SYS-005 风险边界、REP-001 报告预览。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首页无二级路由；旧 ProcessPage、RiskPage、OneClickPage 源码不进入当前主路由。</w:t>
            </w:r>
          </w:p>
        </w:tc>
      </w:tr>
    </w:tbl>
    <w:p>
      <w:pPr>
        <w:spacing w:after="40"/>
      </w:pPr>
    </w:p>
    <w:p>
      <w:pPr>
        <w:keepNext/>
      </w:pPr>
      <w:r>
        <w:rPr>
          <w:rFonts w:ascii="Calibri" w:hAnsi="Calibri" w:eastAsia="Microsoft YaHei"/>
          <w:b/>
          <w:color w:val="1F4D78"/>
          <w:sz w:val="20"/>
        </w:rPr>
        <w:t>2. 数据接入管理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演示数据、JSON 上传、预览、失败详情、删除；CSV/XLSX 模板下载和导入为 P1 动作。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只要求演示数据/JSON；CSV/XLSX 不写成 P0 批量导入。</w:t>
            </w:r>
          </w:p>
        </w:tc>
      </w:tr>
    </w:tbl>
    <w:p>
      <w:pPr>
        <w:spacing w:after="40"/>
      </w:pPr>
    </w:p>
    <w:p>
      <w:pPr>
        <w:keepNext/>
      </w:pPr>
      <w:r>
        <w:rPr>
          <w:rFonts w:ascii="Calibri" w:hAnsi="Calibri" w:eastAsia="Microsoft YaHei"/>
          <w:b/>
          <w:color w:val="1F4D78"/>
          <w:sz w:val="20"/>
        </w:rPr>
        <w:t>3. 数据资源管理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查看详情、绑定数据源主体；RES-007 资源摘要导出被禁用。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资源摘要导出不能写成当前 P0 已实现后端导出。</w:t>
            </w:r>
          </w:p>
        </w:tc>
      </w:tr>
    </w:tbl>
    <w:p>
      <w:pPr>
        <w:spacing w:after="40"/>
      </w:pPr>
    </w:p>
    <w:p>
      <w:pPr>
        <w:keepNext/>
      </w:pPr>
      <w:r>
        <w:rPr>
          <w:rFonts w:ascii="Calibri" w:hAnsi="Calibri" w:eastAsia="Microsoft YaHei"/>
          <w:b/>
          <w:color w:val="1F4D78"/>
          <w:sz w:val="20"/>
        </w:rPr>
        <w:t>4. 参与方管理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新增、编辑、停用、关联资源、查看贡献摘要。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非数据主体默认不进入 MD-DShap。</w:t>
            </w:r>
          </w:p>
        </w:tc>
      </w:tr>
    </w:tbl>
    <w:p>
      <w:pPr>
        <w:spacing w:after="40"/>
      </w:pPr>
    </w:p>
    <w:p>
      <w:pPr>
        <w:keepNext/>
      </w:pPr>
      <w:r>
        <w:rPr>
          <w:rFonts w:ascii="Calibri" w:hAnsi="Calibri" w:eastAsia="Microsoft YaHei"/>
          <w:b/>
          <w:color w:val="1F4D78"/>
          <w:sz w:val="20"/>
        </w:rPr>
        <w:t>5. 质量评估管理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配置权重、运行评估、查看二级/资源级结果、重新评估；导出说明和历史版本入口禁用。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当前后端支持 7 个一级指标、17 个二级指标和资源级结果；独立质量导出不是 P0 主出口。</w:t>
            </w:r>
          </w:p>
        </w:tc>
      </w:tr>
    </w:tbl>
    <w:p>
      <w:pPr>
        <w:spacing w:after="40"/>
      </w:pPr>
    </w:p>
    <w:p>
      <w:pPr>
        <w:keepNext/>
      </w:pPr>
      <w:r>
        <w:rPr>
          <w:rFonts w:ascii="Calibri" w:hAnsi="Calibri" w:eastAsia="Microsoft YaHei"/>
          <w:b/>
          <w:color w:val="1F4D78"/>
          <w:sz w:val="20"/>
        </w:rPr>
        <w:t>6. 数元计量管理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执行数元计量、查看明细、报告 CSV 导出入口。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计量依赖质量评估，运行时使用资源质量优先、包级质量兜底策略。</w:t>
            </w:r>
          </w:p>
        </w:tc>
      </w:tr>
    </w:tbl>
    <w:p>
      <w:pPr>
        <w:spacing w:after="40"/>
      </w:pPr>
    </w:p>
    <w:p>
      <w:pPr>
        <w:keepNext/>
      </w:pPr>
      <w:r>
        <w:rPr>
          <w:rFonts w:ascii="Calibri" w:hAnsi="Calibri" w:eastAsia="Microsoft YaHei"/>
          <w:b/>
          <w:color w:val="1F4D78"/>
          <w:sz w:val="20"/>
        </w:rPr>
        <w:t>7. 贡献度与效用计算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trace；导出说明禁用。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效用值是 MD-DShap 输入，不是最终金额。</w:t>
            </w:r>
          </w:p>
        </w:tc>
      </w:tr>
    </w:tbl>
    <w:p>
      <w:pPr>
        <w:spacing w:after="40"/>
      </w:pPr>
    </w:p>
    <w:p>
      <w:pPr>
        <w:keepNext/>
      </w:pPr>
      <w:r>
        <w:rPr>
          <w:rFonts w:ascii="Calibri" w:hAnsi="Calibri" w:eastAsia="Microsoft YaHei"/>
          <w:b/>
          <w:color w:val="1F4D78"/>
          <w:sz w:val="20"/>
        </w:rPr>
        <w:t>8. MD-DShap 计算管理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NAV_ALLOC_MDS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启动任务、查看进度/权重/边际 trace、重新计算、生成算法审计说明；MDS-017 纯算法结果导出禁用，MDS-019 取消任务为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只输出数据源主体权重；BASELINE_SHAPLEY 不能作为最终任务模式。</w:t>
            </w:r>
          </w:p>
        </w:tc>
      </w:tr>
    </w:tbl>
    <w:p>
      <w:pPr>
        <w:spacing w:after="40"/>
      </w:pPr>
    </w:p>
    <w:p>
      <w:pPr>
        <w:keepNext/>
      </w:pPr>
      <w:r>
        <w:rPr>
          <w:rFonts w:ascii="Calibri" w:hAnsi="Calibri" w:eastAsia="Microsoft YaHei"/>
          <w:b/>
          <w:color w:val="1F4D78"/>
          <w:sz w:val="20"/>
        </w:rPr>
        <w:t>9. 合同分配规则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NAV_ALLOC_CONSTRAINT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编辑数据源收益池比例、新增/编辑非数据主体比例、保存方案、清空配置、保存并去模拟。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页面独立存在，主流程维护合同比例方案，不维护旧保底/封顶/固定比例约束。</w:t>
            </w:r>
          </w:p>
        </w:tc>
      </w:tr>
    </w:tbl>
    <w:p>
      <w:pPr>
        <w:spacing w:after="40"/>
      </w:pPr>
    </w:p>
    <w:p>
      <w:pPr>
        <w:keepNext/>
      </w:pPr>
      <w:r>
        <w:rPr>
          <w:rFonts w:ascii="Calibri" w:hAnsi="Calibri" w:eastAsia="Microsoft YaHei"/>
          <w:b/>
          <w:color w:val="1F4D78"/>
          <w:sz w:val="20"/>
        </w:rPr>
        <w:t>10. 收益分配模拟</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执行模拟、锁定方案、导出结果；缺合同比例或权重时展示后端阻断。</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当前主流程调用项目级合同比例模拟；ALLOC-014 复制新版本后端缺失，禁用。</w:t>
            </w:r>
          </w:p>
        </w:tc>
      </w:tr>
    </w:tbl>
    <w:p>
      <w:pPr>
        <w:spacing w:after="40"/>
      </w:pPr>
    </w:p>
    <w:p>
      <w:pPr>
        <w:keepNext/>
      </w:pPr>
      <w:r>
        <w:rPr>
          <w:rFonts w:ascii="Calibri" w:hAnsi="Calibri" w:eastAsia="Microsoft YaHei"/>
          <w:b/>
          <w:color w:val="1F4D78"/>
          <w:sz w:val="20"/>
        </w:rPr>
        <w:t>11. 报告生成与导出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NAV_REPORT_EXPORT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预览、Markdown、CSV、JSON、算法审计、PDF P1、历史报告 P1、下载/归档 P1；REP-009 确认书禁用。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不包含确认书专用导出；PDF 和历史报告是 P1 本地扩展。</w:t>
            </w:r>
          </w:p>
        </w:tc>
      </w:tr>
    </w:tbl>
    <w:p>
      <w:pPr>
        <w:spacing w:after="40"/>
      </w:pPr>
    </w:p>
    <w:p>
      <w:pPr>
        <w:keepNext/>
      </w:pPr>
      <w:r>
        <w:rPr>
          <w:rFonts w:ascii="Calibri" w:hAnsi="Calibri" w:eastAsia="Microsoft YaHei"/>
          <w:b/>
          <w:color w:val="1F4D78"/>
          <w:sz w:val="20"/>
        </w:rPr>
        <w:t>12. 参数配置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查看参数、保存参数版本、配置 MD-DShap 默认值、保存风险提示。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参数保存生成版本和审计。</w:t>
            </w:r>
          </w:p>
        </w:tc>
      </w:tr>
    </w:tbl>
    <w:p>
      <w:pPr>
        <w:spacing w:after="40"/>
      </w:pPr>
    </w:p>
    <w:p>
      <w:pPr>
        <w:keepNext/>
      </w:pPr>
      <w:r>
        <w:rPr>
          <w:rFonts w:ascii="Calibri" w:hAnsi="Calibri" w:eastAsia="Microsoft YaHei"/>
          <w:b/>
          <w:color w:val="1F4D78"/>
          <w:sz w:val="20"/>
        </w:rPr>
        <w:t>13. 用户与权限管理（P1）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NAV_SYSTEM_USER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查询、新增、编辑、禁用、重置密码、角色和权限矩阵。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代码已有 P1 本地接口，但不是 P0 生产 RBAC。</w:t>
            </w:r>
          </w:p>
        </w:tc>
      </w:tr>
    </w:tbl>
    <w:p>
      <w:pPr>
        <w:spacing w:after="40"/>
      </w:pPr>
    </w:p>
    <w:p>
      <w:pPr>
        <w:keepNext/>
      </w:pPr>
      <w:r>
        <w:rPr>
          <w:rFonts w:ascii="Calibri" w:hAnsi="Calibri" w:eastAsia="Microsoft YaHei"/>
          <w:b/>
          <w:color w:val="1F4D78"/>
          <w:sz w:val="20"/>
        </w:rPr>
        <w:t>14. 审计日志管理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当前前端主按钮/状态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查询审计、查看快照详情、导出审计日志。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代码同步结论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审计导出生成 JSONL 报告记录和 checksum。</w:t>
            </w:r>
          </w:p>
        </w:tc>
      </w:tr>
    </w:tbl>
    <w:p>
      <w:pPr>
        <w:spacing w:after="40"/>
      </w:pPr>
    </w:p>
    <w:p>
      <w:pPr>
        <w:pStyle w:val="Heading3"/>
      </w:pPr>
      <w:r>
        <w:t>1.3.3 合同比例、收益分配模拟与 MD-DShap 关系</w:t>
      </w:r>
    </w:p>
    <w:p>
      <w:pPr>
        <w:pStyle w:val="ListNumber"/>
      </w:pPr>
      <w:r>
        <w:rPr>
          <w:rFonts w:ascii="Calibri" w:hAnsi="Calibri" w:eastAsia="Microsoft YaHei"/>
          <w:b w:val="0"/>
          <w:i w:val="0"/>
          <w:sz w:val="22"/>
        </w:rPr>
        <w:t>当前完整链路的收益分配执行条件是：有效数据包、资源已绑定数据源主体、已保存合同比例方案、已完成 MD-DShap 权重。</w:t>
      </w:r>
    </w:p>
    <w:p>
      <w:pPr>
        <w:pStyle w:val="ListNumber"/>
      </w:pPr>
      <w:r>
        <w:rPr>
          <w:rFonts w:ascii="Calibri" w:hAnsi="Calibri" w:eastAsia="Microsoft YaHei"/>
          <w:b w:val="0"/>
          <w:i w:val="0"/>
          <w:sz w:val="22"/>
        </w:rPr>
        <w:t>SYS-004 在缺少合同比例方案时直接返回 DVAS_CONTRACT_RATIO_REQUIRED，不会先运行质量、计量、效用或 MD-DShap 阶段。</w:t>
      </w:r>
    </w:p>
    <w:p>
      <w:pPr>
        <w:pStyle w:val="ListNumber"/>
      </w:pPr>
      <w:r>
        <w:rPr>
          <w:rFonts w:ascii="Calibri" w:hAnsi="Calibri" w:eastAsia="Microsoft YaHei"/>
          <w:b w:val="0"/>
          <w:i w:val="0"/>
          <w:sz w:val="22"/>
        </w:rPr>
        <w:t>合同分配规则页保存的对象为项目合同比例方案：total_revenue、data_provider_pool_ratio、非数据主体 items[]，比例合计必须为 1.000000。</w:t>
      </w:r>
    </w:p>
    <w:p>
      <w:pPr>
        <w:pStyle w:val="ListNumber"/>
      </w:pPr>
      <w:r>
        <w:rPr>
          <w:rFonts w:ascii="Calibri" w:hAnsi="Calibri" w:eastAsia="Microsoft YaHei"/>
          <w:b w:val="0"/>
          <w:i w:val="0"/>
          <w:sz w:val="22"/>
        </w:rPr>
        <w:t>项目级执行接口为 POST /projects/{project_id}/allocation/simulate。它先按合同比例生成非数据主体 CONTRACT_RATIO 金额和数据源收益池，再按 MD_DSHAP_WEIGHT 分配数据源主体收益池。</w:t>
      </w:r>
    </w:p>
    <w:p>
      <w:pPr>
        <w:pStyle w:val="ListNumber"/>
      </w:pPr>
      <w:r>
        <w:rPr>
          <w:rFonts w:ascii="Calibri" w:hAnsi="Calibri" w:eastAsia="Microsoft YaHei"/>
          <w:b w:val="0"/>
          <w:i w:val="0"/>
          <w:sz w:val="22"/>
        </w:rPr>
        <w:t>项目级合同比例路径不生成普通 constraint_apply_trace；金额来源以 allocation_result.amount_source、contract_ratio、base_pool_amount、final_amount 标识。</w:t>
      </w:r>
    </w:p>
    <w:p>
      <w:pPr>
        <w:pStyle w:val="ListNumber"/>
      </w:pPr>
      <w:r>
        <w:rPr>
          <w:rFonts w:ascii="Calibri" w:hAnsi="Calibri" w:eastAsia="Microsoft YaHei"/>
          <w:b w:val="0"/>
          <w:i w:val="0"/>
          <w:sz w:val="22"/>
        </w:rPr>
        <w:t>旧 contract_constraint 接口仍存在，影响旧 /allocation/simulation/run 或 allocation-scenarios 兼容路径；不得写成它会影响当前项目级合同比例主流程。</w:t>
      </w:r>
    </w:p>
    <w:p>
      <w:pPr>
        <w:pStyle w:val="ListNumber"/>
      </w:pPr>
      <w:r>
        <w:rPr>
          <w:rFonts w:ascii="Calibri" w:hAnsi="Calibri" w:eastAsia="Microsoft YaHei"/>
          <w:b w:val="0"/>
          <w:i w:val="0"/>
          <w:sz w:val="22"/>
        </w:rPr>
        <w:t>MD-DShap 是权重计算模块，不直接分配总收益，不处理非数据主体合同金额，不生成付款指令或法律结算比例。</w:t>
      </w:r>
    </w:p>
    <w:p>
      <w:pPr>
        <w:pStyle w:val="Heading3"/>
      </w:pPr>
      <w:r>
        <w:t>1.3.4 当前 P0/P1 与禁用能力</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pPr>
              <w:spacing w:after="0"/>
            </w:pPr>
            <w:r>
              <w:rPr>
                <w:rFonts w:ascii="Calibri" w:hAnsi="Calibri" w:eastAsia="Microsoft YaHei"/>
                <w:b/>
                <w:i w:val="0"/>
                <w:sz w:val="18"/>
              </w:rPr>
              <w:t>能力</w:t>
            </w:r>
          </w:p>
        </w:tc>
        <w:tc>
          <w:tcPr>
            <w:tcW w:type="dxa" w:w="4320"/>
            <w:shd w:fill="E8EEF5"/>
            <w:tcMar>
              <w:top w:w="80" w:type="dxa"/>
              <w:start w:w="120" w:type="dxa"/>
              <w:bottom w:w="80" w:type="dxa"/>
              <w:end w:w="120" w:type="dxa"/>
            </w:tcMar>
            <w:vAlign w:val="center"/>
          </w:tcPr>
          <w:p>
            <w:pPr>
              <w:spacing w:after="0"/>
            </w:pPr>
            <w:r>
              <w:rPr>
                <w:rFonts w:ascii="Calibri" w:hAnsi="Calibri" w:eastAsia="Microsoft YaHei"/>
                <w:b/>
                <w:i w:val="0"/>
                <w:sz w:val="18"/>
              </w:rPr>
              <w:t>当前代码状态</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i w:val="0"/>
                <w:sz w:val="18"/>
              </w:rPr>
              <w:t>需求口径</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CSV/XLSX 模板导入</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后端和前端均存在 P1 本地接口/按钮。</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P1，本轮不写成 P0 必须能力。</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PDF</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POST /projects/{project_id}/reports/pdf 可本地生成 P1 PDF；旧 /reports/pdf 等路径仍未实现。</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P1 本地扩展；P0 报告仍是 Markdown、CSV、JSON、JSONL。</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用户/RBAC</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本地开发账号、角色、权限矩阵和 HTTP token 已存在。</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P1 本地扩展；P0 为本地操作员模式。</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异步任务</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项目 job、MD-DShap job 和取消任务接口存在。</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P1 本地扩展；P0 演示规模同步执行。</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资源摘要导出 RES-007</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前端 guard 明确禁用，后端无 P0 资源摘要导出接口。</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后端缺口/禁用，不列为 P0 已实现。</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纯算法结果导出 MDS-017</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前端 guard 明确禁用。</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使用算法审计导出 MDS-018/REP-006，不写成纯权重导出已实现。</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复制分配方案 ALLOC-014</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前端 guard 明确禁用。</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后端缺口/禁用；锁定后如需修改属于待接入复制新版本能力。</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收益分配确认书 REP-009</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前端 guard 明确禁用。</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后端缺口/禁用，不写成 P0 已生成文件。</w:t>
            </w:r>
          </w:p>
        </w:tc>
      </w:tr>
    </w:tbl>
    <w:p/>
    <w:p>
      <w:pPr>
        <w:pStyle w:val="Heading1"/>
      </w:pPr>
      <w:r>
        <w:t>2. 现有项目差异检查与修改清单</w:t>
      </w:r>
    </w:p>
    <w:p>
      <w:r>
        <w:rPr>
          <w:rFonts w:ascii="Calibri" w:hAnsi="Calibri" w:eastAsia="Microsoft YaHei"/>
          <w:b w:val="0"/>
          <w:i w:val="0"/>
          <w:sz w:val="22"/>
        </w:rPr>
        <w:t>本章用于回应附件要求中的“先检查有哪些环节跟目前项目对不上，再修改”的要求。当前项目状态以第 1.3 节代码同步基线、backend/dvas、ui_prototype/src、db 和 backend/tests 为准；修改要求作为后续文档和验收的直接依据。</w:t>
      </w:r>
    </w:p>
    <w:p>
      <w:pPr>
        <w:keepNext/>
      </w:pPr>
      <w:r>
        <w:rPr>
          <w:rFonts w:ascii="Calibri" w:hAnsi="Calibri" w:eastAsia="Microsoft YaHei"/>
          <w:b/>
          <w:color w:val="1F4D78"/>
          <w:sz w:val="20"/>
        </w:rPr>
        <w:t>1. GAP-001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 P0 未实现登录和 RBAC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部分不对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保留本地操作员，P1 增加权限模块</w:t>
            </w:r>
          </w:p>
        </w:tc>
      </w:tr>
    </w:tbl>
    <w:p>
      <w:pPr>
        <w:spacing w:after="40"/>
      </w:pPr>
    </w:p>
    <w:p>
      <w:pPr>
        <w:keepNext/>
      </w:pPr>
      <w:r>
        <w:rPr>
          <w:rFonts w:ascii="Calibri" w:hAnsi="Calibri" w:eastAsia="Microsoft YaHei"/>
          <w:b/>
          <w:color w:val="1F4D78"/>
          <w:sz w:val="20"/>
        </w:rPr>
        <w:t>2. GAP-002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当前主要 md/csv/json/jsonl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部分不对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生成 Markdown，P1 生成 PDF</w:t>
            </w:r>
          </w:p>
        </w:tc>
      </w:tr>
    </w:tbl>
    <w:p>
      <w:pPr>
        <w:spacing w:after="40"/>
      </w:pPr>
    </w:p>
    <w:p>
      <w:pPr>
        <w:keepNext/>
      </w:pPr>
      <w:r>
        <w:rPr>
          <w:rFonts w:ascii="Calibri" w:hAnsi="Calibri" w:eastAsia="Microsoft YaHei"/>
          <w:b/>
          <w:color w:val="1F4D78"/>
          <w:sz w:val="20"/>
        </w:rPr>
        <w:t>3. GAP-003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当前基础 Shapley/DAUS 为主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不完全对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默认改为 MD-DShap，基础 Shapley 仅作基线</w:t>
            </w:r>
          </w:p>
        </w:tc>
      </w:tr>
    </w:tbl>
    <w:p>
      <w:pPr>
        <w:spacing w:after="40"/>
      </w:pPr>
    </w:p>
    <w:p>
      <w:pPr>
        <w:keepNext/>
      </w:pPr>
      <w:r>
        <w:rPr>
          <w:rFonts w:ascii="Calibri" w:hAnsi="Calibri" w:eastAsia="Microsoft YaHei"/>
          <w:b/>
          <w:color w:val="1F4D78"/>
          <w:sz w:val="20"/>
        </w:rPr>
        <w:t>4. GAP-004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每个按钮需求</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当前只有部分按钮详细说明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全部主要按钮补功能编号、字段、流程、异常、日志、验收</w:t>
            </w:r>
          </w:p>
        </w:tc>
      </w:tr>
    </w:tbl>
    <w:p>
      <w:pPr>
        <w:spacing w:after="40"/>
      </w:pPr>
    </w:p>
    <w:p>
      <w:pPr>
        <w:keepNext/>
      </w:pPr>
      <w:r>
        <w:rPr>
          <w:rFonts w:ascii="Calibri" w:hAnsi="Calibri" w:eastAsia="Microsoft YaHei"/>
          <w:b/>
          <w:color w:val="1F4D78"/>
          <w:sz w:val="20"/>
        </w:rPr>
        <w:t>5. GAP-005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导出字段清单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当前只写文件类型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每个导出文件补字段清单</w:t>
            </w:r>
          </w:p>
        </w:tc>
      </w:tr>
    </w:tbl>
    <w:p>
      <w:pPr>
        <w:spacing w:after="40"/>
      </w:pPr>
    </w:p>
    <w:p>
      <w:pPr>
        <w:ind w:left="259"/>
      </w:pPr>
      <w:r>
        <w:rPr>
          <w:rFonts w:ascii="Calibri" w:hAnsi="Calibri" w:eastAsia="Microsoft YaHei"/>
          <w:b w:val="0"/>
          <w:i/>
          <w:color w:val="5A5A5A"/>
          <w:sz w:val="20"/>
        </w:rPr>
        <w:t>以上五项是本次 V1.2 修订的硬性检查项。后续章节必须能映射到 GAP-001 至 GAP-005，否则视为本轮修订未覆盖附件要求。</w:t>
      </w:r>
    </w:p>
    <w:p>
      <w:pPr>
        <w:pStyle w:val="Heading2"/>
      </w:pPr>
      <w:r>
        <w:t>2.1 差异修改落地原则</w:t>
      </w:r>
    </w:p>
    <w:p>
      <w:pPr>
        <w:pStyle w:val="ListNumber"/>
      </w:pPr>
      <w:r>
        <w:rPr>
          <w:rFonts w:ascii="Calibri" w:hAnsi="Calibri" w:eastAsia="Microsoft YaHei"/>
          <w:b w:val="0"/>
          <w:i w:val="0"/>
          <w:sz w:val="22"/>
        </w:rPr>
        <w:t>P0 不追求生产级鉴权，但必须保留“本地操作员”角色、权限说明和按钮可用性约束，避免文档中出现“无权限模型”的空白。</w:t>
      </w:r>
    </w:p>
    <w:p>
      <w:pPr>
        <w:pStyle w:val="ListNumber"/>
      </w:pPr>
      <w:r>
        <w:rPr>
          <w:rFonts w:ascii="Calibri" w:hAnsi="Calibri" w:eastAsia="Microsoft YaHei"/>
          <w:b w:val="0"/>
          <w:i w:val="0"/>
          <w:sz w:val="22"/>
        </w:rPr>
        <w:t>P0 报告导出以 Markdown、CSV、JSON、JSONL 为主；PDF 明确作为 P1 扩展，不在 P0 伪装实现。</w:t>
      </w:r>
    </w:p>
    <w:p>
      <w:pPr>
        <w:pStyle w:val="ListNumber"/>
      </w:pPr>
      <w:r>
        <w:rPr>
          <w:rFonts w:ascii="Calibri" w:hAnsi="Calibri" w:eastAsia="Microsoft YaHei"/>
          <w:b w:val="0"/>
          <w:i w:val="0"/>
          <w:sz w:val="22"/>
        </w:rPr>
        <w:t>默认算法策略从“基础 Shapley / DAUS 为主”调整为“MD-DShap 为主，基础 Shapley 仅作小规模基线校验”。</w:t>
      </w:r>
    </w:p>
    <w:p>
      <w:pPr>
        <w:pStyle w:val="ListNumber"/>
      </w:pPr>
      <w:r>
        <w:rPr>
          <w:rFonts w:ascii="Calibri" w:hAnsi="Calibri" w:eastAsia="Microsoft YaHei"/>
          <w:b w:val="0"/>
          <w:i w:val="0"/>
          <w:sz w:val="22"/>
        </w:rPr>
        <w:t>主要按钮必须具备功能编号、入口路径、前置条件、页面元素、输入字段、业务规则、操作流程、输出结果、状态变化、权限控制、异常处理、日志记录、验收标准。</w:t>
      </w:r>
    </w:p>
    <w:p>
      <w:pPr>
        <w:pStyle w:val="ListNumber"/>
      </w:pPr>
      <w:r>
        <w:rPr>
          <w:rFonts w:ascii="Calibri" w:hAnsi="Calibri" w:eastAsia="Microsoft YaHei"/>
          <w:b w:val="0"/>
          <w:i w:val="0"/>
          <w:sz w:val="22"/>
        </w:rPr>
        <w:t>每个导出文件必须补字段清单，不能只写文件类型。导出字段应能支撑测试、审计和软著材料说明。</w:t>
      </w:r>
    </w:p>
    <w:p>
      <w:pPr>
        <w:pStyle w:val="Heading1"/>
      </w:pPr>
      <w:r>
        <w:t>3. 系统背景、定位与建设目标</w:t>
      </w:r>
    </w:p>
    <w:p>
      <w:pPr>
        <w:pStyle w:val="Heading2"/>
      </w:pPr>
      <w:r>
        <w:t>3.1 项目背景</w:t>
      </w:r>
    </w:p>
    <w:p>
      <w:r>
        <w:rPr>
          <w:rFonts w:ascii="Calibri" w:hAnsi="Calibri" w:eastAsia="Microsoft YaHei"/>
          <w:b w:val="0"/>
          <w:i w:val="0"/>
          <w:sz w:val="22"/>
        </w:rPr>
        <w:t>在数据资源计量、交易和运营过程中，数据源主体、运营主体、技术服务主体、专家审核主体、中试基地和其他合同主体通常会同时参与一个项目。只靠人工协商，很难说明数据质量、调用量、稀缺性、场景价值、效用贡献和合同比例之间的关系。</w:t>
      </w:r>
    </w:p>
    <w:p>
      <w:r>
        <w:rPr>
          <w:rFonts w:ascii="Calibri" w:hAnsi="Calibri" w:eastAsia="Microsoft YaHei"/>
          <w:b w:val="0"/>
          <w:i w:val="0"/>
          <w:sz w:val="22"/>
        </w:rPr>
        <w:t>本系统用于数据收益分配模拟。系统记录数据资源、参与方、数元计量、质量评估、贡献度、效用函数、MD-DShap 权重、合同比例方案和收益分配结果，并保留计算过程、参数快照和审计日志。</w:t>
      </w:r>
    </w:p>
    <w:p>
      <w:pPr>
        <w:pStyle w:val="Heading2"/>
      </w:pPr>
      <w:r>
        <w:t>3.2 系统定位</w:t>
      </w:r>
    </w:p>
    <w:p>
      <w:r>
        <w:rPr>
          <w:rFonts w:ascii="Calibri" w:hAnsi="Calibri" w:eastAsia="Microsoft YaHei"/>
          <w:b w:val="0"/>
          <w:i w:val="0"/>
          <w:sz w:val="22"/>
        </w:rPr>
        <w:t>系统定位为“数据收益分配模拟与审计说明系统”。系统输出的是收益分配模拟参考，不直接构成法律结算、财务付款、合同履约或主管单位审批结果。最终分配仍需结合合同约定、专家确认、人工审核和主管单位审批。</w:t>
      </w:r>
    </w:p>
    <w:p>
      <w:pPr>
        <w:pStyle w:val="Heading2"/>
      </w:pPr>
      <w:r>
        <w:t>3.3 建设目标</w:t>
      </w:r>
    </w:p>
    <w:p>
      <w:pPr>
        <w:pStyle w:val="ListNumber"/>
      </w:pPr>
      <w:r>
        <w:rPr>
          <w:rFonts w:ascii="Calibri" w:hAnsi="Calibri" w:eastAsia="Microsoft YaHei"/>
          <w:b w:val="0"/>
          <w:i w:val="0"/>
          <w:sz w:val="22"/>
        </w:rPr>
        <w:t>建立数据收益分配模拟的标准业务流程。</w:t>
      </w:r>
    </w:p>
    <w:p>
      <w:pPr>
        <w:pStyle w:val="ListNumber"/>
      </w:pPr>
      <w:r>
        <w:rPr>
          <w:rFonts w:ascii="Calibri" w:hAnsi="Calibri" w:eastAsia="Microsoft YaHei"/>
          <w:b w:val="0"/>
          <w:i w:val="0"/>
          <w:sz w:val="22"/>
        </w:rPr>
        <w:t>支持演示数据和用户上传 JSON 数据的接入、校验和预览。</w:t>
      </w:r>
    </w:p>
    <w:p>
      <w:pPr>
        <w:pStyle w:val="ListNumber"/>
      </w:pPr>
      <w:r>
        <w:rPr>
          <w:rFonts w:ascii="Calibri" w:hAnsi="Calibri" w:eastAsia="Microsoft YaHei"/>
          <w:b w:val="0"/>
          <w:i w:val="0"/>
          <w:sz w:val="22"/>
        </w:rPr>
        <w:t>按左侧导航结构管理系统首页、数据管理、数元贡献度计量、收益分配计算、报告生成与导出和系统管理；在对应页面维护参与方、数据资源、数元计量、质量评估、贡献度、效用值和合同分配规则。</w:t>
      </w:r>
    </w:p>
    <w:p>
      <w:pPr>
        <w:pStyle w:val="ListNumber"/>
      </w:pPr>
      <w:r>
        <w:rPr>
          <w:rFonts w:ascii="Calibri" w:hAnsi="Calibri" w:eastAsia="Microsoft YaHei"/>
          <w:b w:val="0"/>
          <w:i w:val="0"/>
          <w:sz w:val="22"/>
        </w:rPr>
        <w:t>使用 MD-DShap 作为默认贡献权重计算策略，基础 Shapley 作为小规模基线校验策略。</w:t>
      </w:r>
    </w:p>
    <w:p>
      <w:pPr>
        <w:pStyle w:val="ListNumber"/>
      </w:pPr>
      <w:r>
        <w:rPr>
          <w:rFonts w:ascii="Calibri" w:hAnsi="Calibri" w:eastAsia="Microsoft YaHei"/>
          <w:b w:val="0"/>
          <w:i w:val="0"/>
          <w:sz w:val="22"/>
        </w:rPr>
        <w:t>支持按已保存合同比例方案将总收益划分为非数据主体合同金额与数据源收益池，数据源收益池再按 MD-DShap 归一化权重对数据源主体分配。</w:t>
      </w:r>
    </w:p>
    <w:p>
      <w:pPr>
        <w:pStyle w:val="ListNumber"/>
      </w:pPr>
      <w:r>
        <w:rPr>
          <w:rFonts w:ascii="Calibri" w:hAnsi="Calibri" w:eastAsia="Microsoft YaHei"/>
          <w:b w:val="0"/>
          <w:i w:val="0"/>
          <w:sz w:val="22"/>
        </w:rPr>
        <w:t>生成收益分配模拟结果、P0 报告导出文件、数元计量说明和算法审计说明；收益分配确认书专用导出当前为后端缺口/禁用能力，不写入 P0 已实现范围。</w:t>
      </w:r>
    </w:p>
    <w:p>
      <w:pPr>
        <w:pStyle w:val="ListNumber"/>
      </w:pPr>
      <w:r>
        <w:rPr>
          <w:rFonts w:ascii="Calibri" w:hAnsi="Calibri" w:eastAsia="Microsoft YaHei"/>
          <w:b w:val="0"/>
          <w:i w:val="0"/>
          <w:sz w:val="22"/>
        </w:rPr>
        <w:t>保留输入快照、参数快照、计算 trace、输出快照和操作日志。</w:t>
      </w:r>
    </w:p>
    <w:p>
      <w:pPr>
        <w:pStyle w:val="Heading2"/>
      </w:pPr>
      <w:r>
        <w:t>3.4 版本边界</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11"/>
            <w:shd w:fill="E8EEF5"/>
            <w:tcMar>
              <w:top w:w="80" w:type="dxa"/>
              <w:start w:w="120" w:type="dxa"/>
              <w:bottom w:w="80" w:type="dxa"/>
              <w:end w:w="120" w:type="dxa"/>
            </w:tcMar>
            <w:vAlign w:val="center"/>
          </w:tcPr>
          <w:p>
            <w:pPr>
              <w:spacing w:after="0"/>
            </w:pPr>
            <w:r>
              <w:rPr>
                <w:rFonts w:ascii="Calibri" w:hAnsi="Calibri" w:eastAsia="Microsoft YaHei"/>
                <w:b/>
                <w:i w:val="0"/>
                <w:sz w:val="18"/>
              </w:rPr>
              <w:t>版本</w:t>
            </w:r>
          </w:p>
        </w:tc>
        <w:tc>
          <w:tcPr>
            <w:tcW w:type="dxa" w:w="4047"/>
            <w:shd w:fill="E8EEF5"/>
            <w:tcMar>
              <w:top w:w="80" w:type="dxa"/>
              <w:start w:w="120" w:type="dxa"/>
              <w:bottom w:w="80" w:type="dxa"/>
              <w:end w:w="120" w:type="dxa"/>
            </w:tcMar>
            <w:vAlign w:val="center"/>
          </w:tcPr>
          <w:p>
            <w:pPr>
              <w:spacing w:after="0"/>
            </w:pPr>
            <w:r>
              <w:rPr>
                <w:rFonts w:ascii="Calibri" w:hAnsi="Calibri" w:eastAsia="Microsoft YaHei"/>
                <w:b/>
                <w:i w:val="0"/>
                <w:sz w:val="18"/>
              </w:rPr>
              <w:t>必须实现</w:t>
            </w:r>
          </w:p>
        </w:tc>
        <w:tc>
          <w:tcPr>
            <w:tcW w:type="dxa" w:w="3204"/>
            <w:shd w:fill="E8EEF5"/>
            <w:tcMar>
              <w:top w:w="80" w:type="dxa"/>
              <w:start w:w="120" w:type="dxa"/>
              <w:bottom w:w="80" w:type="dxa"/>
              <w:end w:w="120" w:type="dxa"/>
            </w:tcMar>
            <w:vAlign w:val="center"/>
          </w:tcPr>
          <w:p>
            <w:pPr>
              <w:spacing w:after="0"/>
            </w:pPr>
            <w:r>
              <w:rPr>
                <w:rFonts w:ascii="Calibri" w:hAnsi="Calibri" w:eastAsia="Microsoft YaHei"/>
                <w:b/>
                <w:i w:val="0"/>
                <w:sz w:val="18"/>
              </w:rPr>
              <w:t>不要求实现</w:t>
            </w:r>
          </w:p>
        </w:tc>
        <w:tc>
          <w:tcPr>
            <w:tcW w:type="dxa" w:w="1098"/>
            <w:shd w:fill="E8EEF5"/>
            <w:tcMar>
              <w:top w:w="80" w:type="dxa"/>
              <w:start w:w="120" w:type="dxa"/>
              <w:bottom w:w="80" w:type="dxa"/>
              <w:end w:w="120" w:type="dxa"/>
            </w:tcMar>
            <w:vAlign w:val="center"/>
          </w:tcPr>
          <w:p>
            <w:pPr>
              <w:spacing w:after="0"/>
            </w:pPr>
            <w:r>
              <w:rPr>
                <w:rFonts w:ascii="Calibri" w:hAnsi="Calibri" w:eastAsia="Microsoft YaHei"/>
                <w:b/>
                <w:i w:val="0"/>
                <w:sz w:val="18"/>
              </w:rPr>
              <w:t>备注</w:t>
            </w:r>
          </w:p>
        </w:tc>
      </w:tr>
      <w:tr>
        <w:tc>
          <w:tcPr>
            <w:tcW w:type="dxa" w:w="1011"/>
            <w:tcMar>
              <w:top w:w="80" w:type="dxa"/>
              <w:start w:w="120" w:type="dxa"/>
              <w:bottom w:w="80" w:type="dxa"/>
              <w:end w:w="120" w:type="dxa"/>
            </w:tcMar>
            <w:vAlign w:val="top"/>
          </w:tcPr>
          <w:p>
            <w:pPr>
              <w:spacing w:after="0"/>
            </w:pPr>
            <w:r>
              <w:rPr>
                <w:rFonts w:ascii="Calibri" w:hAnsi="Calibri" w:eastAsia="Microsoft YaHei"/>
                <w:b w:val="0"/>
                <w:i w:val="0"/>
                <w:sz w:val="17"/>
              </w:rPr>
              <w:t>P0</w:t>
            </w:r>
          </w:p>
        </w:tc>
        <w:tc>
          <w:tcPr>
            <w:tcW w:type="dxa" w:w="4047"/>
            <w:tcMar>
              <w:top w:w="80" w:type="dxa"/>
              <w:start w:w="120" w:type="dxa"/>
              <w:bottom w:w="80" w:type="dxa"/>
              <w:end w:w="120" w:type="dxa"/>
            </w:tcMar>
            <w:vAlign w:val="top"/>
          </w:tcPr>
          <w:p>
            <w:pPr>
              <w:spacing w:after="0"/>
            </w:pPr>
            <w:r>
              <w:rPr>
                <w:rFonts w:ascii="Calibri" w:hAnsi="Calibri" w:eastAsia="Microsoft YaHei"/>
                <w:b w:val="0"/>
                <w:i w:val="0"/>
                <w:sz w:val="17"/>
              </w:rPr>
              <w:t>本地操作员、演示数据/JSON 上传、质量评估、数元计量、效用计算、MD-DShap、合同分配规则、收益分配模拟、Markdown/CSV/JSON/JSONL 导出、审计日志。</w:t>
            </w:r>
          </w:p>
        </w:tc>
        <w:tc>
          <w:tcPr>
            <w:tcW w:type="dxa" w:w="3204"/>
            <w:tcMar>
              <w:top w:w="80" w:type="dxa"/>
              <w:start w:w="120" w:type="dxa"/>
              <w:bottom w:w="80" w:type="dxa"/>
              <w:end w:w="120" w:type="dxa"/>
            </w:tcMar>
            <w:vAlign w:val="top"/>
          </w:tcPr>
          <w:p>
            <w:pPr>
              <w:spacing w:after="0"/>
            </w:pPr>
            <w:r>
              <w:rPr>
                <w:rFonts w:ascii="Calibri" w:hAnsi="Calibri" w:eastAsia="Microsoft YaHei"/>
                <w:b w:val="0"/>
                <w:i w:val="0"/>
                <w:sz w:val="17"/>
              </w:rPr>
              <w:t>登录、RBAC、PDF、CSV/XLSX 批量导入、异步队列、生产级多租户。</w:t>
            </w:r>
          </w:p>
        </w:tc>
        <w:tc>
          <w:tcPr>
            <w:tcW w:type="dxa" w:w="1098"/>
            <w:tcMar>
              <w:top w:w="80" w:type="dxa"/>
              <w:start w:w="120" w:type="dxa"/>
              <w:bottom w:w="80" w:type="dxa"/>
              <w:end w:w="120" w:type="dxa"/>
            </w:tcMar>
            <w:vAlign w:val="top"/>
          </w:tcPr>
          <w:p>
            <w:pPr>
              <w:spacing w:after="0"/>
            </w:pPr>
            <w:r>
              <w:rPr>
                <w:rFonts w:ascii="Calibri" w:hAnsi="Calibri" w:eastAsia="Microsoft YaHei"/>
                <w:b w:val="0"/>
                <w:i w:val="0"/>
                <w:sz w:val="17"/>
              </w:rPr>
              <w:t>软著演示和本地可跑通版本。</w:t>
            </w:r>
          </w:p>
        </w:tc>
      </w:tr>
      <w:tr>
        <w:tc>
          <w:tcPr>
            <w:tcW w:type="dxa" w:w="1011"/>
            <w:tcMar>
              <w:top w:w="80" w:type="dxa"/>
              <w:start w:w="120" w:type="dxa"/>
              <w:bottom w:w="80" w:type="dxa"/>
              <w:end w:w="120" w:type="dxa"/>
            </w:tcMar>
            <w:vAlign w:val="top"/>
          </w:tcPr>
          <w:p>
            <w:pPr>
              <w:spacing w:after="0"/>
            </w:pPr>
            <w:r>
              <w:rPr>
                <w:rFonts w:ascii="Calibri" w:hAnsi="Calibri" w:eastAsia="Microsoft YaHei"/>
                <w:b w:val="0"/>
                <w:i w:val="0"/>
                <w:sz w:val="17"/>
              </w:rPr>
              <w:t>P1</w:t>
            </w:r>
          </w:p>
        </w:tc>
        <w:tc>
          <w:tcPr>
            <w:tcW w:type="dxa" w:w="4047"/>
            <w:tcMar>
              <w:top w:w="80" w:type="dxa"/>
              <w:start w:w="120" w:type="dxa"/>
              <w:bottom w:w="80" w:type="dxa"/>
              <w:end w:w="120" w:type="dxa"/>
            </w:tcMar>
            <w:vAlign w:val="top"/>
          </w:tcPr>
          <w:p>
            <w:pPr>
              <w:spacing w:after="0"/>
            </w:pPr>
            <w:r>
              <w:rPr>
                <w:rFonts w:ascii="Calibri" w:hAnsi="Calibri" w:eastAsia="Microsoft YaHei"/>
                <w:b w:val="0"/>
                <w:i w:val="0"/>
                <w:sz w:val="17"/>
              </w:rPr>
              <w:t>登录、RBAC、PDF 导出、CSV/XLSX 模板导入、异步任务进度、历史报告管理。</w:t>
            </w:r>
          </w:p>
        </w:tc>
        <w:tc>
          <w:tcPr>
            <w:tcW w:type="dxa" w:w="3204"/>
            <w:tcMar>
              <w:top w:w="80" w:type="dxa"/>
              <w:start w:w="120" w:type="dxa"/>
              <w:bottom w:w="80" w:type="dxa"/>
              <w:end w:w="120" w:type="dxa"/>
            </w:tcMar>
            <w:vAlign w:val="top"/>
          </w:tcPr>
          <w:p>
            <w:pPr>
              <w:spacing w:after="0"/>
            </w:pPr>
            <w:r>
              <w:rPr>
                <w:rFonts w:ascii="Calibri" w:hAnsi="Calibri" w:eastAsia="Microsoft YaHei"/>
                <w:b w:val="0"/>
                <w:i w:val="0"/>
                <w:sz w:val="17"/>
              </w:rPr>
              <w:t>真实付款、电子签章、税务/银行系统。</w:t>
            </w:r>
          </w:p>
        </w:tc>
        <w:tc>
          <w:tcPr>
            <w:tcW w:type="dxa" w:w="1098"/>
            <w:tcMar>
              <w:top w:w="80" w:type="dxa"/>
              <w:start w:w="120" w:type="dxa"/>
              <w:bottom w:w="80" w:type="dxa"/>
              <w:end w:w="120" w:type="dxa"/>
            </w:tcMar>
            <w:vAlign w:val="top"/>
          </w:tcPr>
          <w:p>
            <w:pPr>
              <w:spacing w:after="0"/>
            </w:pPr>
            <w:r>
              <w:rPr>
                <w:rFonts w:ascii="Calibri" w:hAnsi="Calibri" w:eastAsia="Microsoft YaHei"/>
                <w:b w:val="0"/>
                <w:i w:val="0"/>
                <w:sz w:val="17"/>
              </w:rPr>
              <w:t>增强用户管理与报告能力。</w:t>
            </w:r>
          </w:p>
        </w:tc>
      </w:tr>
      <w:tr>
        <w:tc>
          <w:tcPr>
            <w:tcW w:type="dxa" w:w="1011"/>
            <w:tcMar>
              <w:top w:w="80" w:type="dxa"/>
              <w:start w:w="120" w:type="dxa"/>
              <w:bottom w:w="80" w:type="dxa"/>
              <w:end w:w="120" w:type="dxa"/>
            </w:tcMar>
            <w:vAlign w:val="top"/>
          </w:tcPr>
          <w:p>
            <w:pPr>
              <w:spacing w:after="0"/>
            </w:pPr>
            <w:r>
              <w:rPr>
                <w:rFonts w:ascii="Calibri" w:hAnsi="Calibri" w:eastAsia="Microsoft YaHei"/>
                <w:b w:val="0"/>
                <w:i w:val="0"/>
                <w:sz w:val="17"/>
              </w:rPr>
              <w:t>P2</w:t>
            </w:r>
          </w:p>
        </w:tc>
        <w:tc>
          <w:tcPr>
            <w:tcW w:type="dxa" w:w="4047"/>
            <w:tcMar>
              <w:top w:w="80" w:type="dxa"/>
              <w:start w:w="120" w:type="dxa"/>
              <w:bottom w:w="80" w:type="dxa"/>
              <w:end w:w="120" w:type="dxa"/>
            </w:tcMar>
            <w:vAlign w:val="top"/>
          </w:tcPr>
          <w:p>
            <w:pPr>
              <w:spacing w:after="0"/>
            </w:pPr>
            <w:r>
              <w:rPr>
                <w:rFonts w:ascii="Calibri" w:hAnsi="Calibri" w:eastAsia="Microsoft YaHei"/>
                <w:b w:val="0"/>
                <w:i w:val="0"/>
                <w:sz w:val="17"/>
              </w:rPr>
              <w:t>多租户、生产部署、系统集成、外部审计接口。</w:t>
            </w:r>
          </w:p>
        </w:tc>
        <w:tc>
          <w:tcPr>
            <w:tcW w:type="dxa" w:w="3204"/>
            <w:tcMar>
              <w:top w:w="80" w:type="dxa"/>
              <w:start w:w="120" w:type="dxa"/>
              <w:bottom w:w="80" w:type="dxa"/>
              <w:end w:w="120" w:type="dxa"/>
            </w:tcMar>
            <w:vAlign w:val="top"/>
          </w:tcPr>
          <w:p>
            <w:pPr>
              <w:spacing w:after="0"/>
            </w:pPr>
            <w:r>
              <w:rPr>
                <w:rFonts w:ascii="Calibri" w:hAnsi="Calibri" w:eastAsia="Microsoft YaHei"/>
                <w:b w:val="0"/>
                <w:i w:val="0"/>
                <w:sz w:val="17"/>
              </w:rPr>
              <w:t>替代法律结算或主管审批。</w:t>
            </w:r>
          </w:p>
        </w:tc>
        <w:tc>
          <w:tcPr>
            <w:tcW w:type="dxa" w:w="1098"/>
            <w:tcMar>
              <w:top w:w="80" w:type="dxa"/>
              <w:start w:w="120" w:type="dxa"/>
              <w:bottom w:w="80" w:type="dxa"/>
              <w:end w:w="120" w:type="dxa"/>
            </w:tcMar>
            <w:vAlign w:val="top"/>
          </w:tcPr>
          <w:p>
            <w:pPr>
              <w:spacing w:after="0"/>
            </w:pPr>
            <w:r>
              <w:rPr>
                <w:rFonts w:ascii="Calibri" w:hAnsi="Calibri" w:eastAsia="Microsoft YaHei"/>
                <w:b w:val="0"/>
                <w:i w:val="0"/>
                <w:sz w:val="17"/>
              </w:rPr>
              <w:t>生产化扩展。</w:t>
            </w:r>
          </w:p>
        </w:tc>
      </w:tr>
    </w:tbl>
    <w:p/>
    <w:p>
      <w:pPr>
        <w:pStyle w:val="Heading1"/>
      </w:pPr>
      <w:r>
        <w:t>4. 系统范围、边界与角色权限</w:t>
      </w:r>
    </w:p>
    <w:p>
      <w:pPr>
        <w:pStyle w:val="Heading2"/>
      </w:pPr>
      <w:r>
        <w:t>4.1 系统包含范围</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11"/>
            <w:shd w:fill="E8EEF5"/>
            <w:tcMar>
              <w:top w:w="80" w:type="dxa"/>
              <w:start w:w="120" w:type="dxa"/>
              <w:bottom w:w="80" w:type="dxa"/>
              <w:end w:w="120" w:type="dxa"/>
            </w:tcMar>
            <w:vAlign w:val="center"/>
          </w:tcPr>
          <w:p>
            <w:pPr>
              <w:spacing w:after="0"/>
            </w:pPr>
            <w:r>
              <w:rPr>
                <w:rFonts w:ascii="Calibri" w:hAnsi="Calibri" w:eastAsia="Microsoft YaHei"/>
                <w:b/>
                <w:i w:val="0"/>
                <w:sz w:val="18"/>
              </w:rPr>
              <w:t>模块/页面</w:t>
            </w:r>
          </w:p>
        </w:tc>
        <w:tc>
          <w:tcPr>
            <w:tcW w:type="dxa" w:w="1369"/>
            <w:shd w:fill="E8EEF5"/>
            <w:tcMar>
              <w:top w:w="80" w:type="dxa"/>
              <w:start w:w="120" w:type="dxa"/>
              <w:bottom w:w="80" w:type="dxa"/>
              <w:end w:w="120" w:type="dxa"/>
            </w:tcMar>
            <w:vAlign w:val="center"/>
          </w:tcPr>
          <w:p>
            <w:pPr>
              <w:spacing w:after="0"/>
            </w:pPr>
            <w:r>
              <w:rPr>
                <w:rFonts w:ascii="Calibri" w:hAnsi="Calibri" w:eastAsia="Microsoft YaHei"/>
                <w:b/>
                <w:i w:val="0"/>
                <w:sz w:val="18"/>
              </w:rPr>
              <w:t>P0 是否必须</w:t>
            </w:r>
          </w:p>
        </w:tc>
        <w:tc>
          <w:tcPr>
            <w:tcW w:type="dxa" w:w="5480"/>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一级页面，不设二级窗口；页面内部展示项目总览、流程入口、风险提示和一键计算区块。</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JSON、格式校验、失败详情和输入快照。</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展示数据包、字段、模态、样本统计和数据源主体关联；资源摘要导出按钮当前因后端缺口禁用。</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管理数据源主体、运营方、中试基地、技术服务方、专家方和其他合同主体。</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配置质量指标并输出包级质量分、资源级质量分、等级、维度分和证据。</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配置基准价、系数、调用量并计算资源级、参与方级和项目级数元计量结果。</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计算贡献度、归一化贡献、效用函数、效用值和 trace。</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默认权重算法，输出边际贡献、权重、复杂度说明和审计快照。</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读取已保存合同比例方案、MD-DShap 权重和后端汇总结果，执行收益分配模拟、方案锁定和导出。</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配置数据源收益池比例和非数据主体合同比例；不配置保底、封顶、固定比例、最小/最大收益等旧约束。</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输出 Markdown、CSV、JSON、JSONL；PDF 为 P1。</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参数配置</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配置算法默认参数、风险提示文案、精度规则和系统级参数版本。</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P1</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P0 保留本地操作员；P1 实现登录、用户、角色、权限和按钮级权限。</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查询计算 trace、参数快照、输入/输出快照、失败日志和导出记录。</w:t>
            </w:r>
          </w:p>
        </w:tc>
      </w:tr>
    </w:tbl>
    <w:p/>
    <w:p>
      <w:pPr>
        <w:pStyle w:val="Heading2"/>
      </w:pPr>
      <w:r>
        <w:t>4.2 系统不包含范围</w:t>
      </w:r>
    </w:p>
    <w:p>
      <w:pPr>
        <w:pStyle w:val="ListNumber"/>
      </w:pPr>
      <w:r>
        <w:rPr>
          <w:rFonts w:ascii="Calibri" w:hAnsi="Calibri" w:eastAsia="Microsoft YaHei"/>
          <w:b w:val="0"/>
          <w:i w:val="0"/>
          <w:sz w:val="22"/>
        </w:rPr>
        <w:t>不做真实财务付款。</w:t>
      </w:r>
    </w:p>
    <w:p>
      <w:pPr>
        <w:pStyle w:val="ListNumber"/>
      </w:pPr>
      <w:r>
        <w:rPr>
          <w:rFonts w:ascii="Calibri" w:hAnsi="Calibri" w:eastAsia="Microsoft YaHei"/>
          <w:b w:val="0"/>
          <w:i w:val="0"/>
          <w:sz w:val="22"/>
        </w:rPr>
        <w:t>不做法律结算指令。</w:t>
      </w:r>
    </w:p>
    <w:p>
      <w:pPr>
        <w:pStyle w:val="ListNumber"/>
      </w:pPr>
      <w:r>
        <w:rPr>
          <w:rFonts w:ascii="Calibri" w:hAnsi="Calibri" w:eastAsia="Microsoft YaHei"/>
          <w:b w:val="0"/>
          <w:i w:val="0"/>
          <w:sz w:val="22"/>
        </w:rPr>
        <w:t>不替代合同签署、权属确认、主管审批和人工复核。</w:t>
      </w:r>
    </w:p>
    <w:p>
      <w:pPr>
        <w:pStyle w:val="ListNumber"/>
      </w:pPr>
      <w:r>
        <w:rPr>
          <w:rFonts w:ascii="Calibri" w:hAnsi="Calibri" w:eastAsia="Microsoft YaHei"/>
          <w:b w:val="0"/>
          <w:i w:val="0"/>
          <w:sz w:val="22"/>
        </w:rPr>
        <w:t>不接入真实银行账户、税务系统、电子签章系统。</w:t>
      </w:r>
    </w:p>
    <w:p>
      <w:pPr>
        <w:pStyle w:val="ListNumber"/>
      </w:pPr>
      <w:r>
        <w:rPr>
          <w:rFonts w:ascii="Calibri" w:hAnsi="Calibri" w:eastAsia="Microsoft YaHei"/>
          <w:b w:val="0"/>
          <w:i w:val="0"/>
          <w:sz w:val="22"/>
        </w:rPr>
        <w:t>不处理未经脱敏的真实敏感数据。</w:t>
      </w:r>
    </w:p>
    <w:p>
      <w:pPr>
        <w:pStyle w:val="ListNumber"/>
      </w:pPr>
      <w:r>
        <w:rPr>
          <w:rFonts w:ascii="Calibri" w:hAnsi="Calibri" w:eastAsia="Microsoft YaHei"/>
          <w:b w:val="0"/>
          <w:i w:val="0"/>
          <w:sz w:val="22"/>
        </w:rPr>
        <w:t>不做生产级多租户 SaaS。</w:t>
      </w:r>
    </w:p>
    <w:p>
      <w:pPr>
        <w:pStyle w:val="ListNumber"/>
      </w:pPr>
      <w:r>
        <w:rPr>
          <w:rFonts w:ascii="Calibri" w:hAnsi="Calibri" w:eastAsia="Microsoft YaHei"/>
          <w:b w:val="0"/>
          <w:i w:val="0"/>
          <w:sz w:val="22"/>
        </w:rPr>
        <w:t>不将 MD-DShap 权重解释为最终法律分配比例。</w:t>
      </w:r>
    </w:p>
    <w:p>
      <w:pPr>
        <w:pStyle w:val="ListNumber"/>
      </w:pPr>
      <w:r>
        <w:rPr>
          <w:rFonts w:ascii="Calibri" w:hAnsi="Calibri" w:eastAsia="Microsoft YaHei"/>
          <w:b w:val="0"/>
          <w:i w:val="0"/>
          <w:sz w:val="22"/>
        </w:rPr>
        <w:t>不将报告输出解释为资产评估报告或正式审计报告。</w:t>
      </w:r>
    </w:p>
    <w:p>
      <w:pPr>
        <w:pStyle w:val="Heading2"/>
      </w:pPr>
      <w:r>
        <w:t>4.3 角色定义</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0"/>
            <w:shd w:fill="E8EEF5"/>
            <w:tcMar>
              <w:top w:w="80" w:type="dxa"/>
              <w:start w:w="120" w:type="dxa"/>
              <w:bottom w:w="80" w:type="dxa"/>
              <w:end w:w="120" w:type="dxa"/>
            </w:tcMar>
            <w:vAlign w:val="center"/>
          </w:tcPr>
          <w:p>
            <w:pPr>
              <w:spacing w:after="0"/>
            </w:pPr>
            <w:r>
              <w:rPr>
                <w:rFonts w:ascii="Calibri" w:hAnsi="Calibri" w:eastAsia="Microsoft YaHei"/>
                <w:b/>
                <w:i w:val="0"/>
                <w:sz w:val="18"/>
              </w:rPr>
              <w:t>角色</w:t>
            </w:r>
          </w:p>
        </w:tc>
        <w:tc>
          <w:tcPr>
            <w:tcW w:type="dxa" w:w="3640"/>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3640"/>
            <w:shd w:fill="E8EEF5"/>
            <w:tcMar>
              <w:top w:w="80" w:type="dxa"/>
              <w:start w:w="120" w:type="dxa"/>
              <w:bottom w:w="80" w:type="dxa"/>
              <w:end w:w="120" w:type="dxa"/>
            </w:tcMar>
            <w:vAlign w:val="center"/>
          </w:tcPr>
          <w:p>
            <w:pPr>
              <w:spacing w:after="0"/>
            </w:pPr>
            <w:r>
              <w:rPr>
                <w:rFonts w:ascii="Calibri" w:hAnsi="Calibri" w:eastAsia="Microsoft YaHei"/>
                <w:b/>
                <w:i w:val="0"/>
                <w:sz w:val="18"/>
              </w:rPr>
              <w:t>主要权限</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系统管理员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维护系统参数、用户、角色、权限。</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全部配置权限；P1 启用。</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业务管理员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维护数据包、参与方、收益池、场景参数。</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业务数据管理、收益分配模拟、报告导出。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算法审核员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查看质量、效用、MD-DShap 过程。</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算法参数、计算、审计说明查看与导出。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合同审核员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配置合同分配规则、审核分配模拟结果。</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合同比例方案维护、分配结果审核。</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审计员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查看日志、报告、输入快照。</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只读审计、日志导出。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普通查看用户</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查看已确认结果和报告。</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只读权限。</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P0 默认角色，具备演示系统完整操作权限。</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P0 全流程操作权限，但仍需记录操作日志。</w:t>
            </w:r>
          </w:p>
        </w:tc>
      </w:tr>
    </w:tbl>
    <w:p/>
    <w:p>
      <w:pPr>
        <w:pStyle w:val="Heading2"/>
      </w:pPr>
      <w:r>
        <w:t>4.4 权限生效规则</w:t>
      </w:r>
    </w:p>
    <w:p>
      <w:pPr>
        <w:pStyle w:val="ListNumber"/>
      </w:pPr>
      <w:r>
        <w:rPr>
          <w:rFonts w:ascii="Calibri" w:hAnsi="Calibri" w:eastAsia="Microsoft YaHei"/>
          <w:b w:val="0"/>
          <w:i w:val="0"/>
          <w:sz w:val="22"/>
        </w:rPr>
        <w:t>P0 默认启用本地操作员模式，不强制登录。</w:t>
      </w:r>
    </w:p>
    <w:p>
      <w:pPr>
        <w:pStyle w:val="ListNumber"/>
      </w:pPr>
      <w:r>
        <w:rPr>
          <w:rFonts w:ascii="Calibri" w:hAnsi="Calibri" w:eastAsia="Microsoft YaHei"/>
          <w:b w:val="0"/>
          <w:i w:val="0"/>
          <w:sz w:val="22"/>
        </w:rPr>
        <w:t>P1 启用登录后，用户必须登录后访问后台。</w:t>
      </w:r>
    </w:p>
    <w:p>
      <w:pPr>
        <w:pStyle w:val="ListNumber"/>
      </w:pPr>
      <w:r>
        <w:rPr>
          <w:rFonts w:ascii="Calibri" w:hAnsi="Calibri" w:eastAsia="Microsoft YaHei"/>
          <w:b w:val="0"/>
          <w:i w:val="0"/>
          <w:sz w:val="22"/>
        </w:rPr>
        <w:t>同一用户多个角色权限取并集。</w:t>
      </w:r>
    </w:p>
    <w:p>
      <w:pPr>
        <w:pStyle w:val="ListNumber"/>
      </w:pPr>
      <w:r>
        <w:rPr>
          <w:rFonts w:ascii="Calibri" w:hAnsi="Calibri" w:eastAsia="Microsoft YaHei"/>
          <w:b w:val="0"/>
          <w:i w:val="0"/>
          <w:sz w:val="22"/>
        </w:rPr>
        <w:t>删除、确认、导出、参数修改等高风险操作必须记录日志。</w:t>
      </w:r>
    </w:p>
    <w:p>
      <w:pPr>
        <w:pStyle w:val="ListNumber"/>
      </w:pPr>
      <w:r>
        <w:rPr>
          <w:rFonts w:ascii="Calibri" w:hAnsi="Calibri" w:eastAsia="Microsoft YaHei"/>
          <w:b w:val="0"/>
          <w:i w:val="0"/>
          <w:sz w:val="22"/>
        </w:rPr>
        <w:t>权限撤销后，用户不得继续访问已撤销菜单和按钮。</w:t>
      </w:r>
    </w:p>
    <w:p>
      <w:pPr>
        <w:pStyle w:val="ListNumber"/>
      </w:pPr>
      <w:r>
        <w:rPr>
          <w:rFonts w:ascii="Calibri" w:hAnsi="Calibri" w:eastAsia="Microsoft YaHei"/>
          <w:b w:val="0"/>
          <w:i w:val="0"/>
          <w:sz w:val="22"/>
        </w:rPr>
        <w:t>本地操作员模式不能省略权限说明；页面仍应区分“可操作按钮”和“只读按钮”。</w:t>
      </w:r>
    </w:p>
    <w:p>
      <w:pPr>
        <w:pStyle w:val="Heading1"/>
      </w:pPr>
      <w:r>
        <w:t>5. 核心术语与数据对象定义</w:t>
      </w:r>
    </w:p>
    <w:p>
      <w:pPr>
        <w:pStyle w:val="Heading2"/>
      </w:pPr>
      <w:r>
        <w:t>5.1 核心术语</w:t>
      </w:r>
    </w:p>
    <w:tbl>
      <w:tblPr>
        <w:tblStyle w:val="TableGrid"/>
        <w:tblW w:type="auto" w:w="0"/>
        <w:jc w:val="center"/>
        <w:tblLayout w:type="fixed"/>
        <w:tblLook w:firstColumn="1" w:firstRow="1" w:lastColumn="0" w:lastRow="0" w:noHBand="0" w:noVBand="1" w:val="04A0"/>
      </w:tblPr>
      <w:tblGrid>
        <w:gridCol w:w="4680"/>
        <w:gridCol w:w="4680"/>
      </w:tblGrid>
      <w:tr>
        <w:tc>
          <w:tcPr>
            <w:tcW w:type="dxa" w:w="1936"/>
            <w:shd w:fill="E8EEF5"/>
            <w:tcMar>
              <w:top w:w="80" w:type="dxa"/>
              <w:start w:w="120" w:type="dxa"/>
              <w:bottom w:w="80" w:type="dxa"/>
              <w:end w:w="120" w:type="dxa"/>
            </w:tcMar>
            <w:vAlign w:val="center"/>
          </w:tcPr>
          <w:p>
            <w:pPr>
              <w:spacing w:after="0"/>
            </w:pPr>
            <w:r>
              <w:rPr>
                <w:rFonts w:ascii="Calibri" w:hAnsi="Calibri" w:eastAsia="Microsoft YaHei"/>
                <w:b/>
                <w:i w:val="0"/>
                <w:sz w:val="18"/>
              </w:rPr>
              <w:t>术语</w:t>
            </w:r>
          </w:p>
        </w:tc>
        <w:tc>
          <w:tcPr>
            <w:tcW w:type="dxa" w:w="7424"/>
            <w:shd w:fill="E8EEF5"/>
            <w:tcMar>
              <w:top w:w="80" w:type="dxa"/>
              <w:start w:w="120" w:type="dxa"/>
              <w:bottom w:w="80" w:type="dxa"/>
              <w:end w:w="120" w:type="dxa"/>
            </w:tcMar>
            <w:vAlign w:val="center"/>
          </w:tcPr>
          <w:p>
            <w:pPr>
              <w:spacing w:after="0"/>
            </w:pPr>
            <w:r>
              <w:rPr>
                <w:rFonts w:ascii="Calibri" w:hAnsi="Calibri" w:eastAsia="Microsoft YaHei"/>
                <w:b/>
                <w:i w:val="0"/>
                <w:sz w:val="18"/>
              </w:rPr>
              <w:t>定义</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数据包</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用户上传或系统内置的一组待评估数据。</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数据资源</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数据包中的具体资源对象，可对应文件、字段集合或模态数据。</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参与方</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参与收益分配或合同分配规则的主体。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数据源主体</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实际提供数据资源并进入数据源收益池，由 MD-DShap 归一化权重分配的主体。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非数据贡献主体</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运营方、中试基地、技术服务方、专家方等不进入贡献度、效用和 MD-DShap 权重池的主体。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数元</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数据资源在系统中的标准化计量单元，用于统一计量不同数据资源在不同场景下的相对价值。</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质量评分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基于质量指标体系形成的数据质量分数。</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贡献度</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由有效数据量、使用权重、覆盖度、稀缺性等因素形成的贡献信号。</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效用值</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将贡献、质量、使用、场景等因素综合后的算法输入。</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DAUS</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数据资产效用贡献信号，用于承接效用层和权重计算层。</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多维/动态 Shapley 计算策略，用于计算数据源主体归一化权重，不直接分配总收益。</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基础 Shapley</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合作博弈下基于边际贡献计算权重的基线算法，仅用于小规模校验。</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按合同比例将总收益划分为数据源收益池和非数据主体合同金额的 P0 规则。</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收益池</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可被分配的总收益或按合同比例划分后的数据源收益池。</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审计记录</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系统保存的输入、参数、过程、结果和操作日志。</w:t>
            </w:r>
          </w:p>
        </w:tc>
      </w:tr>
    </w:tbl>
    <w:p/>
    <w:p>
      <w:pPr>
        <w:pStyle w:val="Heading2"/>
      </w:pPr>
      <w:r>
        <w:t>5.2 核心数据对象</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0"/>
            <w:shd w:fill="E8EEF5"/>
            <w:tcMar>
              <w:top w:w="80" w:type="dxa"/>
              <w:start w:w="120" w:type="dxa"/>
              <w:bottom w:w="80" w:type="dxa"/>
              <w:end w:w="120" w:type="dxa"/>
            </w:tcMar>
            <w:vAlign w:val="center"/>
          </w:tcPr>
          <w:p>
            <w:pPr>
              <w:spacing w:after="0"/>
            </w:pPr>
            <w:r>
              <w:rPr>
                <w:rFonts w:ascii="Calibri" w:hAnsi="Calibri" w:eastAsia="Microsoft YaHei"/>
                <w:b/>
                <w:i w:val="0"/>
                <w:sz w:val="18"/>
              </w:rPr>
              <w:t>对象</w:t>
            </w:r>
          </w:p>
        </w:tc>
        <w:tc>
          <w:tcPr>
            <w:tcW w:type="dxa" w:w="1733"/>
            <w:shd w:fill="E8EEF5"/>
            <w:tcMar>
              <w:top w:w="80" w:type="dxa"/>
              <w:start w:w="120" w:type="dxa"/>
              <w:bottom w:w="80" w:type="dxa"/>
              <w:end w:w="120" w:type="dxa"/>
            </w:tcMar>
            <w:vAlign w:val="center"/>
          </w:tcPr>
          <w:p>
            <w:pPr>
              <w:spacing w:after="0"/>
            </w:pPr>
            <w:r>
              <w:rPr>
                <w:rFonts w:ascii="Calibri" w:hAnsi="Calibri" w:eastAsia="Microsoft YaHei"/>
                <w:b/>
                <w:i w:val="0"/>
                <w:sz w:val="18"/>
              </w:rPr>
              <w:t>主键</w:t>
            </w:r>
          </w:p>
        </w:tc>
        <w:tc>
          <w:tcPr>
            <w:tcW w:type="dxa" w:w="5547"/>
            <w:shd w:fill="E8EEF5"/>
            <w:tcMar>
              <w:top w:w="80" w:type="dxa"/>
              <w:start w:w="120" w:type="dxa"/>
              <w:bottom w:w="80" w:type="dxa"/>
              <w:end w:w="120" w:type="dxa"/>
            </w:tcMar>
            <w:vAlign w:val="center"/>
          </w:tcPr>
          <w:p>
            <w:pPr>
              <w:spacing w:after="0"/>
            </w:pPr>
            <w:r>
              <w:rPr>
                <w:rFonts w:ascii="Calibri" w:hAnsi="Calibri" w:eastAsia="Microsoft YaHei"/>
                <w:b/>
                <w:i w:val="0"/>
                <w:sz w:val="18"/>
              </w:rPr>
              <w:t>关键字段</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AllocationProject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project_name、scenario_name、status、created_at、operator_id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DataPackage</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package_id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package_name、source_type、file_name、status、input_snapshot_id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DataResource</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resource_id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package_id、resource_name、modality、field_count、sample_count、party_id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party_name、party_type、include_in_md_dshap、status、credit_code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QualityAssessment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assessment_id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package_id、quality_score、quality_level、dimension_scores、evidence_summary</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ShuyuanMetering</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metering_id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base_price、coefficients、call_count、metering_amount、parameter_snapshot_id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ContributionRecord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contribution_id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party_id、valid_units、usage_weight、coverage_weight、scarcity_weight、contribution_score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UtilityRecord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utility_id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party_id、task_id、normalized_contribution、quality_factor、utility_value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MDDShapTask</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task_id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algorithm_mode、participant_set、task_set、parameters、status、seed、epsilon</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MDDShapResult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result_id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task_id、party_id、participant_weight、task_level_weight、marginal_contribution</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ContractConstraint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constraint_id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party_id、constraint_type、constraint_value、priority、status</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AllocationResult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allocation_id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revenue_pool、party_id、weight、pre_constraint_amount、post_constraint_amount</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ReportRecord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report_id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report_type、file_path、created_by、created_at、checksum</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AuditLog</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log_id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module、operation_type、object_id、before_value、after_value、status</w:t>
            </w:r>
          </w:p>
        </w:tc>
      </w:tr>
    </w:tbl>
    <w:p/>
    <w:p>
      <w:pPr>
        <w:pStyle w:val="Heading1"/>
      </w:pPr>
      <w:r>
        <w:t>6. 总体业务流程与状态机</w:t>
      </w:r>
    </w:p>
    <w:p>
      <w:pPr>
        <w:pStyle w:val="Heading2"/>
      </w:pPr>
      <w:r>
        <w:t>6.1 主流程</w:t>
      </w:r>
    </w:p>
    <w:p>
      <w:pPr>
        <w:pStyle w:val="ListNumber"/>
      </w:pPr>
      <w:r>
        <w:rPr>
          <w:rFonts w:ascii="Calibri" w:hAnsi="Calibri" w:eastAsia="Microsoft YaHei"/>
          <w:b w:val="0"/>
          <w:i w:val="0"/>
          <w:sz w:val="22"/>
        </w:rPr>
        <w:t>用户进入系统首页；首页内部展示项目总览、流程入口、风险提示和一键计算区块。</w:t>
      </w:r>
    </w:p>
    <w:p>
      <w:pPr>
        <w:pStyle w:val="ListNumber"/>
      </w:pPr>
      <w:r>
        <w:rPr>
          <w:rFonts w:ascii="Calibri" w:hAnsi="Calibri" w:eastAsia="Microsoft YaHei"/>
          <w:b w:val="0"/>
          <w:i w:val="0"/>
          <w:sz w:val="22"/>
        </w:rPr>
        <w:t>用户通过系统首页内部流程入口区块选择演示数据，或进入数据管理的“数据接入管理”上传 JSON 输入文件。</w:t>
      </w:r>
    </w:p>
    <w:p>
      <w:pPr>
        <w:pStyle w:val="ListNumber"/>
      </w:pPr>
      <w:r>
        <w:rPr>
          <w:rFonts w:ascii="Calibri" w:hAnsi="Calibri" w:eastAsia="Microsoft YaHei"/>
          <w:b w:val="0"/>
          <w:i w:val="0"/>
          <w:sz w:val="22"/>
        </w:rPr>
        <w:t>系统在数据管理中校验数据格式并生成数据包、数据资源和输入快照。</w:t>
      </w:r>
    </w:p>
    <w:p>
      <w:pPr>
        <w:pStyle w:val="ListNumber"/>
      </w:pPr>
      <w:r>
        <w:rPr>
          <w:rFonts w:ascii="Calibri" w:hAnsi="Calibri" w:eastAsia="Microsoft YaHei"/>
          <w:b w:val="0"/>
          <w:i w:val="0"/>
          <w:sz w:val="22"/>
        </w:rPr>
        <w:t>系统识别数据资源、字段、模态和参与方。</w:t>
      </w:r>
    </w:p>
    <w:p>
      <w:pPr>
        <w:pStyle w:val="ListNumber"/>
      </w:pPr>
      <w:r>
        <w:rPr>
          <w:rFonts w:ascii="Calibri" w:hAnsi="Calibri" w:eastAsia="Microsoft YaHei"/>
          <w:b w:val="0"/>
          <w:i w:val="0"/>
          <w:sz w:val="22"/>
        </w:rPr>
        <w:t>用户在数据管理的“参与方管理”中维护或确认参与方信息。</w:t>
      </w:r>
    </w:p>
    <w:p>
      <w:pPr>
        <w:pStyle w:val="ListNumber"/>
      </w:pPr>
      <w:r>
        <w:rPr>
          <w:rFonts w:ascii="Calibri" w:hAnsi="Calibri" w:eastAsia="Microsoft YaHei"/>
          <w:b w:val="0"/>
          <w:i w:val="0"/>
          <w:sz w:val="22"/>
        </w:rPr>
        <w:t>用户在数元贡献度计量的“质量评估管理”中配置质量指标权重并启动质量评估。</w:t>
      </w:r>
    </w:p>
    <w:p>
      <w:pPr>
        <w:pStyle w:val="ListNumber"/>
      </w:pPr>
      <w:r>
        <w:rPr>
          <w:rFonts w:ascii="Calibri" w:hAnsi="Calibri" w:eastAsia="Microsoft YaHei"/>
          <w:b w:val="0"/>
          <w:i w:val="0"/>
          <w:sz w:val="22"/>
        </w:rPr>
        <w:t>系统在后端逐资源计算质量总分、维度分、等级、质量系数和证据说明，并按资源权重聚合形成包级质量评估结果。</w:t>
      </w:r>
    </w:p>
    <w:p>
      <w:pPr>
        <w:pStyle w:val="ListNumber"/>
      </w:pPr>
      <w:r>
        <w:rPr>
          <w:rFonts w:ascii="Calibri" w:hAnsi="Calibri" w:eastAsia="Microsoft YaHei"/>
          <w:b w:val="0"/>
          <w:i w:val="0"/>
          <w:sz w:val="22"/>
        </w:rPr>
        <w:t>用户在数元贡献度计量的“数元计量管理”中配置数元基准价、场景系数、技术系数、专家系数、发展系数和调用量。</w:t>
      </w:r>
    </w:p>
    <w:p>
      <w:pPr>
        <w:pStyle w:val="ListNumber"/>
      </w:pPr>
      <w:r>
        <w:rPr>
          <w:rFonts w:ascii="Calibri" w:hAnsi="Calibri" w:eastAsia="Microsoft YaHei"/>
          <w:b w:val="0"/>
          <w:i w:val="0"/>
          <w:sz w:val="22"/>
        </w:rPr>
        <w:t>系统执行数元计量。</w:t>
      </w:r>
    </w:p>
    <w:p>
      <w:pPr>
        <w:pStyle w:val="ListNumber"/>
      </w:pPr>
      <w:r>
        <w:rPr>
          <w:rFonts w:ascii="Calibri" w:hAnsi="Calibri" w:eastAsia="Microsoft YaHei"/>
          <w:b w:val="0"/>
          <w:i w:val="0"/>
          <w:sz w:val="22"/>
        </w:rPr>
        <w:t>用户在数元贡献度计量的“贡献度与效用计算”中配置贡献因子和效用函数。</w:t>
      </w:r>
    </w:p>
    <w:p>
      <w:pPr>
        <w:pStyle w:val="ListNumber"/>
      </w:pPr>
      <w:r>
        <w:rPr>
          <w:rFonts w:ascii="Calibri" w:hAnsi="Calibri" w:eastAsia="Microsoft YaHei"/>
          <w:b w:val="0"/>
          <w:i w:val="0"/>
          <w:sz w:val="22"/>
        </w:rPr>
        <w:t>系统计算贡献度、归一化贡献度和效用值。</w:t>
      </w:r>
    </w:p>
    <w:p>
      <w:pPr>
        <w:pStyle w:val="ListNumber"/>
      </w:pPr>
      <w:r>
        <w:rPr>
          <w:rFonts w:ascii="Calibri" w:hAnsi="Calibri" w:eastAsia="Microsoft YaHei"/>
          <w:b w:val="0"/>
          <w:i w:val="0"/>
          <w:sz w:val="22"/>
        </w:rPr>
        <w:t>用户在收益分配计算的“收益分配模拟”中配置总收益。</w:t>
      </w:r>
    </w:p>
    <w:p>
      <w:pPr>
        <w:pStyle w:val="ListNumber"/>
      </w:pPr>
      <w:r>
        <w:rPr>
          <w:rFonts w:ascii="Calibri" w:hAnsi="Calibri" w:eastAsia="Microsoft YaHei"/>
          <w:b w:val="0"/>
          <w:i w:val="0"/>
          <w:sz w:val="22"/>
        </w:rPr>
        <w:t>用户在收益分配计算的“合同分配规则”中配置数据源收益池比例和非数据主体合同比例。</w:t>
      </w:r>
    </w:p>
    <w:p>
      <w:pPr>
        <w:pStyle w:val="ListNumber"/>
      </w:pPr>
      <w:r>
        <w:rPr>
          <w:rFonts w:ascii="Calibri" w:hAnsi="Calibri" w:eastAsia="Microsoft YaHei"/>
          <w:b w:val="0"/>
          <w:i w:val="0"/>
          <w:sz w:val="22"/>
        </w:rPr>
        <w:t>系统校验合同比例合计为 100.0000%，并按总收益计算数据源收益池和非数据主体合同金额。</w:t>
      </w:r>
    </w:p>
    <w:p>
      <w:pPr>
        <w:pStyle w:val="ListNumber"/>
      </w:pPr>
      <w:r>
        <w:rPr>
          <w:rFonts w:ascii="Calibri" w:hAnsi="Calibri" w:eastAsia="Microsoft YaHei"/>
          <w:b w:val="0"/>
          <w:i w:val="0"/>
          <w:sz w:val="22"/>
        </w:rPr>
        <w:t>用户在收益分配计算的“MD-DShap 计算管理”中确认算法模式、参与方集合、任务集合和参数。</w:t>
      </w:r>
    </w:p>
    <w:p>
      <w:pPr>
        <w:pStyle w:val="ListNumber"/>
      </w:pPr>
      <w:r>
        <w:rPr>
          <w:rFonts w:ascii="Calibri" w:hAnsi="Calibri" w:eastAsia="Microsoft YaHei"/>
          <w:b w:val="0"/>
          <w:i w:val="0"/>
          <w:sz w:val="22"/>
        </w:rPr>
        <w:t>系统执行 MD-DShap 权重计算，基础 Shapley 仅作为小规模校验；MD-DShap 只生成数据源主体归一化权重。</w:t>
      </w:r>
    </w:p>
    <w:p>
      <w:pPr>
        <w:pStyle w:val="ListNumber"/>
      </w:pPr>
      <w:r>
        <w:rPr>
          <w:rFonts w:ascii="Calibri" w:hAnsi="Calibri" w:eastAsia="Microsoft YaHei"/>
          <w:b w:val="0"/>
          <w:i w:val="0"/>
          <w:sz w:val="22"/>
        </w:rPr>
        <w:t>系统使用 MD-DShap 归一化权重分配数据源主体收益池。</w:t>
      </w:r>
    </w:p>
    <w:p>
      <w:pPr>
        <w:pStyle w:val="ListNumber"/>
      </w:pPr>
      <w:r>
        <w:rPr>
          <w:rFonts w:ascii="Calibri" w:hAnsi="Calibri" w:eastAsia="Microsoft YaHei"/>
          <w:b w:val="0"/>
          <w:i w:val="0"/>
          <w:sz w:val="22"/>
        </w:rPr>
        <w:t>系统执行收益分配模拟：非数据主体按合同比例取金额，数据源主体按数据源收益池乘以 MD-DShap 归一化权重取金额。</w:t>
      </w:r>
    </w:p>
    <w:p>
      <w:pPr>
        <w:pStyle w:val="ListNumber"/>
      </w:pPr>
      <w:r>
        <w:rPr>
          <w:rFonts w:ascii="Calibri" w:hAnsi="Calibri" w:eastAsia="Microsoft YaHei"/>
          <w:b w:val="0"/>
          <w:i w:val="0"/>
          <w:sz w:val="22"/>
        </w:rPr>
        <w:t>用户查看分配结果、金额来源、尾差说明和计算 trace。</w:t>
      </w:r>
    </w:p>
    <w:p>
      <w:pPr>
        <w:pStyle w:val="ListNumber"/>
      </w:pPr>
      <w:r>
        <w:rPr>
          <w:rFonts w:ascii="Calibri" w:hAnsi="Calibri" w:eastAsia="Microsoft YaHei"/>
          <w:b w:val="0"/>
          <w:i w:val="0"/>
          <w:sz w:val="22"/>
        </w:rPr>
        <w:t>用户确认或重新计算分配方案。</w:t>
      </w:r>
    </w:p>
    <w:p>
      <w:pPr>
        <w:pStyle w:val="ListNumber"/>
      </w:pPr>
      <w:r>
        <w:rPr>
          <w:rFonts w:ascii="Calibri" w:hAnsi="Calibri" w:eastAsia="Microsoft YaHei"/>
          <w:b w:val="0"/>
          <w:i w:val="0"/>
          <w:sz w:val="22"/>
        </w:rPr>
        <w:t>系统生成报告和审计日志。</w:t>
      </w:r>
    </w:p>
    <w:p>
      <w:pPr>
        <w:pStyle w:val="ListNumber"/>
      </w:pPr>
      <w:r>
        <w:rPr>
          <w:rFonts w:ascii="Calibri" w:hAnsi="Calibri" w:eastAsia="Microsoft YaHei"/>
          <w:b w:val="0"/>
          <w:i w:val="0"/>
          <w:sz w:val="22"/>
        </w:rPr>
        <w:t>用户在报告生成与导出中导出报告、明细和审计文件，并可在系统管理的“审计日志管理”中查看审计记录。</w:t>
      </w:r>
    </w:p>
    <w:p>
      <w:pPr>
        <w:pStyle w:val="Heading2"/>
      </w:pPr>
      <w:r>
        <w:t>6.2 分配逻辑</w:t>
      </w:r>
    </w:p>
    <w:p>
      <w:r>
        <w:rPr>
          <w:rFonts w:ascii="Calibri" w:hAnsi="Calibri" w:eastAsia="Microsoft YaHei"/>
          <w:b w:val="0"/>
          <w:i w:val="0"/>
          <w:sz w:val="22"/>
        </w:rPr>
        <w:t>总收益 -&gt; 合同比例方案划分 -&gt; 非数据主体合同金额 -&gt; 数据源收益池 -&gt; 数据源主体按 MD-DShap 归一化权重分配数据源收益池 -&gt; 尾差处理和报告说明 -&gt; 人工确认 -&gt; 报告导出。</w:t>
      </w:r>
    </w:p>
    <w:p>
      <w:r>
        <w:rPr>
          <w:rFonts w:ascii="Calibri" w:hAnsi="Calibri" w:eastAsia="Microsoft YaHei"/>
          <w:b w:val="0"/>
          <w:i w:val="0"/>
          <w:sz w:val="22"/>
        </w:rPr>
        <w:t>公式口径如下：</w:t>
      </w:r>
    </w:p>
    <w:p>
      <w:pPr>
        <w:pStyle w:val="CodeBlock"/>
        <w:ind w:left="173"/>
      </w:pPr>
      <w:r>
        <w:rPr>
          <w:rFonts w:ascii="Courier New" w:hAnsi="Courier New" w:eastAsia="Microsoft YaHei"/>
          <w:sz w:val="17"/>
        </w:rPr>
        <w:t>contract_ratio_sum = data_provider_pool_ratio + sum(non_data_party_ratio_j)</w:t>
      </w:r>
    </w:p>
    <w:p>
      <w:pPr>
        <w:pStyle w:val="CodeBlock"/>
        <w:ind w:left="173"/>
      </w:pPr>
      <w:r>
        <w:rPr>
          <w:rFonts w:ascii="Courier New" w:hAnsi="Courier New" w:eastAsia="Microsoft YaHei"/>
          <w:sz w:val="17"/>
        </w:rPr>
        <w:t>non_data_contract_amount_j = total_revenue × non_data_party_ratio_j</w:t>
      </w:r>
    </w:p>
    <w:p>
      <w:pPr>
        <w:pStyle w:val="CodeBlock"/>
        <w:ind w:left="173"/>
      </w:pPr>
      <w:r>
        <w:rPr>
          <w:rFonts w:ascii="Courier New" w:hAnsi="Courier New" w:eastAsia="Microsoft YaHei"/>
          <w:sz w:val="17"/>
        </w:rPr>
        <w:t>data_provider_revenue_pool = total_revenue × data_provider_pool_ratio</w:t>
      </w:r>
    </w:p>
    <w:p>
      <w:pPr>
        <w:pStyle w:val="CodeBlock"/>
        <w:ind w:left="173"/>
      </w:pPr>
      <w:r>
        <w:rPr>
          <w:rFonts w:ascii="Courier New" w:hAnsi="Courier New" w:eastAsia="Microsoft YaHei"/>
          <w:sz w:val="17"/>
        </w:rPr>
        <w:t>data_provider_amount_i = data_provider_revenue_pool × md_dshap_normalized_weight_i</w:t>
      </w:r>
    </w:p>
    <w:p>
      <w:r>
        <w:rPr>
          <w:rFonts w:ascii="Calibri" w:hAnsi="Calibri" w:eastAsia="Microsoft YaHei"/>
          <w:b w:val="0"/>
          <w:i w:val="0"/>
          <w:sz w:val="22"/>
        </w:rPr>
        <w:t>约束条件：</w:t>
      </w:r>
    </w:p>
    <w:p>
      <w:pPr>
        <w:pStyle w:val="ListBullet"/>
      </w:pPr>
      <w:r>
        <w:rPr>
          <w:rFonts w:ascii="Calibri" w:hAnsi="Calibri" w:eastAsia="Microsoft YaHei"/>
          <w:b w:val="0"/>
          <w:i w:val="0"/>
          <w:sz w:val="22"/>
        </w:rPr>
        <w:t>contract_ratio_sum = 1.000000</w:t>
      </w:r>
    </w:p>
    <w:p>
      <w:pPr>
        <w:pStyle w:val="ListBullet"/>
      </w:pPr>
      <w:r>
        <w:rPr>
          <w:rFonts w:ascii="Calibri" w:hAnsi="Calibri" w:eastAsia="Microsoft YaHei"/>
          <w:b w:val="0"/>
          <w:i w:val="0"/>
          <w:sz w:val="22"/>
        </w:rPr>
        <w:t>data_provider_revenue_pool &gt;= 0</w:t>
      </w:r>
    </w:p>
    <w:p>
      <w:pPr>
        <w:pStyle w:val="ListBullet"/>
      </w:pPr>
      <w:r>
        <w:rPr>
          <w:rFonts w:ascii="Calibri" w:hAnsi="Calibri" w:eastAsia="Microsoft YaHei"/>
          <w:b w:val="0"/>
          <w:i w:val="0"/>
          <w:sz w:val="22"/>
        </w:rPr>
        <w:t>sum(md_dshap_normalized_weight_i) = 1</w:t>
      </w:r>
    </w:p>
    <w:p>
      <w:pPr>
        <w:pStyle w:val="Heading2"/>
      </w:pPr>
      <w:r>
        <w:t>6.3 状态机</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c>
          <w:tcPr>
            <w:tcW w:type="dxa" w:w="2304"/>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i w:val="0"/>
                <w:sz w:val="18"/>
              </w:rPr>
              <w:t>可执行操作</w:t>
            </w:r>
          </w:p>
        </w:tc>
        <w:tc>
          <w:tcPr>
            <w:tcW w:type="dxa" w:w="1728"/>
            <w:shd w:fill="E8EEF5"/>
            <w:tcMar>
              <w:top w:w="80" w:type="dxa"/>
              <w:start w:w="120" w:type="dxa"/>
              <w:bottom w:w="80" w:type="dxa"/>
              <w:end w:w="120" w:type="dxa"/>
            </w:tcMar>
            <w:vAlign w:val="center"/>
          </w:tcPr>
          <w:p>
            <w:pPr>
              <w:spacing w:after="0"/>
            </w:pPr>
            <w:r>
              <w:rPr>
                <w:rFonts w:ascii="Calibri" w:hAnsi="Calibri" w:eastAsia="Microsoft YaHei"/>
                <w:b/>
                <w:i w:val="0"/>
                <w:sz w:val="18"/>
              </w:rPr>
              <w:t>不可执行操作</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草稿</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项目已创建但未完成输入。</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编辑、上传、删除。</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启动正式导出。</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已接入</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数据包已上传并校验通过。</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预览、质量评估、删除。</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已评估</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已完成质量评估。</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查看质量、重新评估、数元计量。</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物理删除数据。</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已计量</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已完成数元计量。</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查看明细、效用计算。</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修改历史计量结果。</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已计算效用</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已完成贡献和效用计算。</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 trace、启动 MD-DShap。</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已计算权重</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已完成 MD-DShap 权重。</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查看权重、收益分配。</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删除参与方。</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已分配</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已生成分配模拟结果。</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查看、约束检查、确认。</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删除输入数据。</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已确认</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人工确认分配参考。</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导出报告、归档。</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修改参数。</w:t>
            </w:r>
          </w:p>
        </w:tc>
      </w:tr>
      <w:tr>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已导出</w:t>
            </w:r>
          </w:p>
        </w:tc>
        <w:tc>
          <w:tcPr>
            <w:tcW w:type="dxa" w:w="2304"/>
            <w:tcMar>
              <w:top w:w="80" w:type="dxa"/>
              <w:start w:w="120" w:type="dxa"/>
              <w:bottom w:w="80" w:type="dxa"/>
              <w:end w:w="120" w:type="dxa"/>
            </w:tcMar>
            <w:vAlign w:val="top"/>
          </w:tcPr>
          <w:p>
            <w:pPr>
              <w:spacing w:after="0"/>
            </w:pPr>
            <w:r>
              <w:rPr>
                <w:rFonts w:ascii="Calibri" w:hAnsi="Calibri" w:eastAsia="Microsoft YaHei"/>
                <w:b w:val="0"/>
                <w:i w:val="0"/>
                <w:sz w:val="17"/>
              </w:rPr>
              <w:t>报告已生成。</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查看、下载、审计追溯；复制新版本为待接入后端能力。</w:t>
            </w:r>
          </w:p>
        </w:tc>
        <w:tc>
          <w:tcPr>
            <w:tcW w:type="dxa" w:w="1728"/>
            <w:tcMar>
              <w:top w:w="80" w:type="dxa"/>
              <w:start w:w="120" w:type="dxa"/>
              <w:bottom w:w="80" w:type="dxa"/>
              <w:end w:w="120" w:type="dxa"/>
            </w:tcMar>
            <w:vAlign w:val="top"/>
          </w:tcPr>
          <w:p>
            <w:pPr>
              <w:spacing w:after="0"/>
            </w:pPr>
            <w:r>
              <w:rPr>
                <w:rFonts w:ascii="Calibri" w:hAnsi="Calibri" w:eastAsia="Microsoft YaHei"/>
                <w:b w:val="0"/>
                <w:i w:val="0"/>
                <w:sz w:val="17"/>
              </w:rPr>
              <w:t>静默覆盖原报告。</w:t>
            </w:r>
          </w:p>
        </w:tc>
      </w:tr>
    </w:tbl>
    <w:p/>
    <w:p>
      <w:pPr>
        <w:pStyle w:val="Heading1"/>
      </w:pPr>
      <w:r>
        <w:t>7. 功能模块与按钮级需求</w:t>
      </w:r>
    </w:p>
    <w:p>
      <w:pPr>
        <w:ind w:left="259"/>
      </w:pPr>
      <w:r>
        <w:rPr>
          <w:rFonts w:ascii="Calibri" w:hAnsi="Calibri" w:eastAsia="Microsoft YaHei"/>
          <w:b w:val="0"/>
          <w:i/>
          <w:color w:val="5A5A5A"/>
          <w:sz w:val="20"/>
        </w:rPr>
        <w:t>本章采用按钮级需求详表，并按更新后的左侧导航结构组织：系统首页、数据管理、数元贡献度计量、收益分配计算、报告生成与导出、系统管理。每一行均覆盖：功能编号、功能名称、入口路径、前置条件、页面元素、输入字段、业务规则、操作流程、输出结果、状态变化、权限控制、异常处理、日志记录、验收标准。为保证表格可读性，相关字段合并展示。MD-DShap 属于“收益分配计算 / MD-DShap 计算管理”，因算法细节较多，在第 8 章单独展开并提供 MDS-011 至 MDS-018 的完整功能卡。</w:t>
      </w:r>
    </w:p>
    <w:p>
      <w:pPr>
        <w:pStyle w:val="Heading2"/>
      </w:pPr>
      <w:r>
        <w:t>7.1 系统首页模块（SYS）</w:t>
      </w:r>
    </w:p>
    <w:p>
      <w:r>
        <w:rPr>
          <w:rFonts w:ascii="Calibri" w:hAnsi="Calibri" w:eastAsia="Microsoft YaHei"/>
          <w:b w:val="0"/>
          <w:i w:val="0"/>
          <w:sz w:val="22"/>
        </w:rPr>
        <w:t>系统首页为一级导航页面，不设置二级窗口。页面内部集成项目总览、流程入口、风险提示和一键计算四类功能区块。</w:t>
      </w:r>
    </w:p>
    <w:p>
      <w:pPr>
        <w:pStyle w:val="ListBullet"/>
      </w:pPr>
      <w:r>
        <w:rPr>
          <w:rFonts w:ascii="Calibri" w:hAnsi="Calibri" w:eastAsia="Microsoft YaHei"/>
          <w:b w:val="0"/>
          <w:i w:val="0"/>
          <w:sz w:val="22"/>
        </w:rPr>
        <w:t>menu_code: NAV_SYS_HOME</w:t>
      </w:r>
    </w:p>
    <w:p>
      <w:pPr>
        <w:pStyle w:val="ListBullet"/>
      </w:pPr>
      <w:r>
        <w:rPr>
          <w:rFonts w:ascii="Calibri" w:hAnsi="Calibri" w:eastAsia="Microsoft YaHei"/>
          <w:b w:val="0"/>
          <w:i w:val="0"/>
          <w:sz w:val="22"/>
        </w:rPr>
        <w:t>module_code: SYS</w:t>
      </w:r>
    </w:p>
    <w:p>
      <w:pPr>
        <w:pStyle w:val="ListBullet"/>
      </w:pPr>
      <w:r>
        <w:rPr>
          <w:rFonts w:ascii="Calibri" w:hAnsi="Calibri" w:eastAsia="Microsoft YaHei"/>
          <w:b w:val="0"/>
          <w:i w:val="0"/>
          <w:sz w:val="22"/>
        </w:rPr>
        <w:t>route_path: /dashboard</w:t>
      </w:r>
    </w:p>
    <w:p>
      <w:pPr>
        <w:pStyle w:val="ListBullet"/>
      </w:pPr>
      <w:r>
        <w:rPr>
          <w:rFonts w:ascii="Calibri" w:hAnsi="Calibri" w:eastAsia="Microsoft YaHei"/>
          <w:b w:val="0"/>
          <w:i w:val="0"/>
          <w:sz w:val="22"/>
        </w:rPr>
        <w:t>children: []</w:t>
      </w:r>
    </w:p>
    <w:p>
      <w:r>
        <w:rPr>
          <w:rFonts w:ascii="Calibri" w:hAnsi="Calibri" w:eastAsia="Microsoft YaHei"/>
          <w:b w:val="0"/>
          <w:i w:val="0"/>
          <w:sz w:val="22"/>
        </w:rPr>
        <w:t>首页内部区块不进入 nav_menu，不作为独立路由，不单独配置权限菜单。</w:t>
      </w:r>
    </w:p>
    <w:p>
      <w:pPr>
        <w:keepNext/>
      </w:pPr>
      <w:r>
        <w:rPr>
          <w:rFonts w:ascii="Calibri" w:hAnsi="Calibri" w:eastAsia="Microsoft YaHei"/>
          <w:b/>
          <w:color w:val="1F4D78"/>
          <w:sz w:val="20"/>
        </w:rPr>
        <w:t>1. SYS-002 选择演示数据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SYS-002 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系统首页内部流程入口区块；当前无数据或可复制新版本；本地操作员或业务管理员。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按钮：选择演示数据；字段：demo_case_id、project_name；页面提示：模拟数据、非法律结算。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选择内置样例 -&gt; 初始化项目、数据包、参与方和默认参数；不得覆盖已导出项目。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AllocationProject、DataPackage；状态：草稿/无数据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权限：业务管理员/本地操作员；异常：样例缺失、初始化失败；日志：demo_case_id、版本；验收：点击后首页统计和项目状态更新。</w:t>
            </w:r>
          </w:p>
        </w:tc>
      </w:tr>
    </w:tbl>
    <w:p>
      <w:pPr>
        <w:spacing w:after="40"/>
      </w:pPr>
    </w:p>
    <w:p>
      <w:pPr>
        <w:keepNext/>
      </w:pPr>
      <w:r>
        <w:rPr>
          <w:rFonts w:ascii="Calibri" w:hAnsi="Calibri" w:eastAsia="Microsoft YaHei"/>
          <w:b/>
          <w:color w:val="1F4D78"/>
          <w:sz w:val="20"/>
        </w:rPr>
        <w:t>2. SYS-004 启动完整计算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SYS-004 启动完整计算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系统首页内部一键计算区块；已接入数据且默认参数完整；具备计算权限。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按钮：启动完整计算；字段：project_id、run_mode、algorithm_mode=MD_DSHAP。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按质量评估 -&gt; 数元计量 -&gt; 贡献效用 -&gt; MD-DShap -&gt; 合同分配规则校验 -&gt; 收益分配模拟顺序执行；任一步失败即停止并展示失败节点。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PipelineResult、各阶段快照；状态按流程推进至已分配。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权限：业务管理员/算法审核员/本地操作员；异常：前置缺失、计算失败、缺少合同比例方案；日志：每阶段 input/param/output；验收：样例数据一键生成全部 P0 输出。</w:t>
            </w:r>
          </w:p>
        </w:tc>
      </w:tr>
    </w:tbl>
    <w:p>
      <w:pPr>
        <w:spacing w:after="40"/>
      </w:pPr>
    </w:p>
    <w:p>
      <w:pPr>
        <w:keepNext/>
      </w:pPr>
      <w:r>
        <w:rPr>
          <w:rFonts w:ascii="Calibri" w:hAnsi="Calibri" w:eastAsia="Microsoft YaHei"/>
          <w:b/>
          <w:color w:val="1F4D78"/>
          <w:sz w:val="20"/>
        </w:rPr>
        <w:t>3. SYS-005 查看系统风险提示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SYS-005 查看系统风险提示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系统首页内部风险提示区块；全部角色。</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区域：风险提示卡片；字段：data_boundary、simulation_disclaimer、sensitive_data_notice。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风险提示必须始终可见；不得被主题切换、空状态或加载失败隐藏。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输出风险说明，不改变状态。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权限：全部只读；异常：文案加载失败使用默认文案；日志：P0 不记录查看；验收：首页始终展示“模拟参考，非法律结算”。</w:t>
            </w:r>
          </w:p>
        </w:tc>
      </w:tr>
    </w:tbl>
    <w:p>
      <w:pPr>
        <w:spacing w:after="40"/>
      </w:pPr>
    </w:p>
    <w:p>
      <w:pPr>
        <w:pStyle w:val="Heading2"/>
      </w:pPr>
      <w:r>
        <w:t>7.2 数据管理：数据接入管理模块</w:t>
      </w:r>
    </w:p>
    <w:p>
      <w:pPr>
        <w:keepNext/>
      </w:pPr>
      <w:r>
        <w:rPr>
          <w:rFonts w:ascii="Calibri" w:hAnsi="Calibri" w:eastAsia="Microsoft YaHei"/>
          <w:b/>
          <w:color w:val="1F4D78"/>
          <w:sz w:val="20"/>
        </w:rPr>
        <w:t>1. DATA-002 选择演示数据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DATA-002 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选择演示数据；无未保存上传任务。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按钮、样例卡片、场景名称、数据模态、参与方数量、确认弹窗。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只能从系统内置样例选择；选择后生成输入快照；若已有已导出项目，必须复制新版本。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DataPackage、UploadValidationResult；状态：无数据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权限：业务管理员/本地操作员；异常：样例不存在；日志：样例 ID、初始化结果；验收：选择后列表新增数据包。</w:t>
            </w:r>
          </w:p>
        </w:tc>
      </w:tr>
    </w:tbl>
    <w:p>
      <w:pPr>
        <w:spacing w:after="40"/>
      </w:pPr>
    </w:p>
    <w:p>
      <w:pPr>
        <w:keepNext/>
      </w:pPr>
      <w:r>
        <w:rPr>
          <w:rFonts w:ascii="Calibri" w:hAnsi="Calibri" w:eastAsia="Microsoft YaHei"/>
          <w:b/>
          <w:color w:val="1F4D78"/>
          <w:sz w:val="20"/>
        </w:rPr>
        <w:t>2. DATA-003 上传 JSON 输入文件</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 上传 JSON 输入文件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上传文件；用户具备上传权限；文件为 UTF-8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上传按钮、文件选择、project_name、source_note、禁止真实敏感数据提示。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校验 .json、解析 JSON、校验 participants/revenue_pool/data_units；参与方不得重名；金额不得为负。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package_id、input_snapshot_id、校验结果；状态：无数据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权限：业务管理员/本地操作员；异常：非 JSON、解析失败、字段缺失；日志：文件名、大小、摘要、失败原因；验收：合法 JSON 成功，非法 JSON 可查看失败详情。</w:t>
            </w:r>
          </w:p>
        </w:tc>
      </w:tr>
    </w:tbl>
    <w:p>
      <w:pPr>
        <w:spacing w:after="40"/>
      </w:pPr>
    </w:p>
    <w:p>
      <w:pPr>
        <w:keepNext/>
      </w:pPr>
      <w:r>
        <w:rPr>
          <w:rFonts w:ascii="Calibri" w:hAnsi="Calibri" w:eastAsia="Microsoft YaHei"/>
          <w:b/>
          <w:color w:val="1F4D78"/>
          <w:sz w:val="20"/>
        </w:rPr>
        <w:t>3. DATA-007 数据预览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DATA-007 数据预览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数据包列表 -&gt; 预览；已接入数据包。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预览表、字段列表、模态标签、样本数量、缺失率、脱敏提示。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只展示安全摘要；P0 不展示未经脱敏的原始敏感字段；最多展示前 N 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输出预览数据和字段识别结果；状态不变。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权限：业务管理员/算法审核员/审计员只读；异常：空数据提示；日志：P0 可不记查看；验收：字段、模态、样本统计可见。</w:t>
            </w:r>
          </w:p>
        </w:tc>
      </w:tr>
    </w:tbl>
    <w:p>
      <w:pPr>
        <w:spacing w:after="40"/>
      </w:pPr>
    </w:p>
    <w:p>
      <w:pPr>
        <w:keepNext/>
      </w:pPr>
      <w:r>
        <w:rPr>
          <w:rFonts w:ascii="Calibri" w:hAnsi="Calibri" w:eastAsia="Microsoft YaHei"/>
          <w:b/>
          <w:color w:val="1F4D78"/>
          <w:sz w:val="20"/>
        </w:rPr>
        <w:t>4. DATA-008 上传失败详情查看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DATA-008 上传失败详情查看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上传结果 -&gt; 查看失败原因；最近一次上传失败。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失败详情弹窗、错误字段、错误类型、建议修复说明。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失败详情必须定位到字段或校验规则；不得生成有效数据包。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UploadValidationResult；状态仍为草稿/无数据。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权限：上传用户、业务管理员、本地操作员；异常：无失败记录提示；日志：记录失败原因；验收：缺字段、格式错、负金额均能定位。</w:t>
            </w:r>
          </w:p>
        </w:tc>
      </w:tr>
    </w:tbl>
    <w:p>
      <w:pPr>
        <w:spacing w:after="40"/>
      </w:pPr>
    </w:p>
    <w:p>
      <w:pPr>
        <w:keepNext/>
      </w:pPr>
      <w:r>
        <w:rPr>
          <w:rFonts w:ascii="Calibri" w:hAnsi="Calibri" w:eastAsia="Microsoft YaHei"/>
          <w:b/>
          <w:color w:val="1F4D78"/>
          <w:sz w:val="20"/>
        </w:rPr>
        <w:t>5. DATA-009 删除数据包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DATA-009 删除数据包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操作列 -&gt; 删除；P1/P0 本地操作员；数据未被已导出报告引用。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删除按钮、二次确认、影响范围提示。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已被计算或报告引用的数据包不得物理删除；可逻辑停用或复制新版本。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输出删除/停用结果；状态：已接入 -&gt; 已撤回或停用。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权限：系统管理员/本地操作员；异常：已导出不可删；日志：删除前后值、影响范围；验收：二次确认后才删除。</w:t>
            </w:r>
          </w:p>
        </w:tc>
      </w:tr>
    </w:tbl>
    <w:p>
      <w:pPr>
        <w:spacing w:after="40"/>
      </w:pPr>
    </w:p>
    <w:p>
      <w:pPr>
        <w:pStyle w:val="Heading2"/>
      </w:pPr>
      <w:r>
        <w:t>7.3 数据管理：数据资源管理模块</w:t>
      </w:r>
    </w:p>
    <w:p>
      <w:pPr>
        <w:keepNext/>
      </w:pPr>
      <w:r>
        <w:rPr>
          <w:rFonts w:ascii="Calibri" w:hAnsi="Calibri" w:eastAsia="Microsoft YaHei"/>
          <w:b/>
          <w:color w:val="1F4D78"/>
          <w:sz w:val="20"/>
        </w:rPr>
        <w:t>1. RES-002 数据资源详情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RES-002 数据资源详情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详情；已存在 DataResource。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资源名称、模态、字段数量、样本数量、缺失率、关联主体、是否进入计算。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展示资源摘要和识别结果；不得展示敏感原文；进入计算状态可追溯。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输出资源详情；状态不变。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权限：业务管理员/算法审核员/审计员；异常：资源不存在；日志：P0 不记查看；验收：详情字段完整显示。</w:t>
            </w:r>
          </w:p>
        </w:tc>
      </w:tr>
    </w:tbl>
    <w:p>
      <w:pPr>
        <w:spacing w:after="40"/>
      </w:pPr>
    </w:p>
    <w:p>
      <w:pPr>
        <w:keepNext/>
      </w:pPr>
      <w:r>
        <w:rPr>
          <w:rFonts w:ascii="Calibri" w:hAnsi="Calibri" w:eastAsia="Microsoft YaHei"/>
          <w:b/>
          <w:color w:val="1F4D78"/>
          <w:sz w:val="20"/>
        </w:rPr>
        <w:t>2. RES-005 数据源主体关联</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RES-005 数据源主体关联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资源详情 -&gt; 关联参与方；资源未锁定。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参与方选择、多主体拆分比例、是否进入计算、保存按钮。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每个进入计算的数据资源必须关联至少一个数据源主体；多主体需设置拆分规则；已导出项目不可直接改。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输出资源-主体关系；状态：已接入数据可进入后续评估/计算。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权限：业务管理员/本地操作员；异常：未选主体、比例不合法、已导出锁定；日志：修改前后主体；验收：未关联主体无法启动 MD-DShap。</w:t>
            </w:r>
          </w:p>
        </w:tc>
      </w:tr>
    </w:tbl>
    <w:p>
      <w:pPr>
        <w:spacing w:after="40"/>
      </w:pPr>
    </w:p>
    <w:p>
      <w:pPr>
        <w:keepNext/>
      </w:pPr>
      <w:r>
        <w:rPr>
          <w:rFonts w:ascii="Calibri" w:hAnsi="Calibri" w:eastAsia="Microsoft YaHei"/>
          <w:b/>
          <w:color w:val="1F4D78"/>
          <w:sz w:val="20"/>
        </w:rPr>
        <w:t>3. RES-007 数据资源导出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RES-007 数据资源导出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导出资源摘要；已接入数据包。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导出按钮、格式选择 CSV/JSON、字段范围选择。</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当前后端未提供 P0 资源摘要导出接口，前端按缺口禁用，不生成 mock 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输出：无；状态不变。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权限：仅保留设计编号；异常：提示后端未提供资源摘要导出接口；日志：不写成功导出日志；验收：按钮禁用且不伪造导出成功。</w:t>
            </w:r>
          </w:p>
        </w:tc>
      </w:tr>
    </w:tbl>
    <w:p>
      <w:pPr>
        <w:spacing w:after="40"/>
      </w:pPr>
    </w:p>
    <w:p>
      <w:pPr>
        <w:pStyle w:val="Heading2"/>
      </w:pPr>
      <w:r>
        <w:t>7.4 数据管理：参与方管理模块</w:t>
      </w:r>
    </w:p>
    <w:p>
      <w:pPr>
        <w:keepNext/>
      </w:pPr>
      <w:r>
        <w:rPr>
          <w:rFonts w:ascii="Calibri" w:hAnsi="Calibri" w:eastAsia="Microsoft YaHei"/>
          <w:b/>
          <w:color w:val="1F4D78"/>
          <w:sz w:val="20"/>
        </w:rPr>
        <w:t>1. PARTY-002 新增参与方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 新增参与方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新增参与方；具备维护权限。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party_name、party_type、include_in_md_dshap、credit_code、contact_name、description。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同一项目参与方名称唯一；数据源主体默认进入 MD-DShap；非数据主体默认不进入。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Party；状态：有效。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权限：业务管理员/本地操作员；异常：名称空、重复、类型空；日志：新增字段；验收：新增后列表可查，默认算法集合正确。</w:t>
            </w:r>
          </w:p>
        </w:tc>
      </w:tr>
    </w:tbl>
    <w:p>
      <w:pPr>
        <w:spacing w:after="40"/>
      </w:pPr>
    </w:p>
    <w:p>
      <w:pPr>
        <w:keepNext/>
      </w:pPr>
      <w:r>
        <w:rPr>
          <w:rFonts w:ascii="Calibri" w:hAnsi="Calibri" w:eastAsia="Microsoft YaHei"/>
          <w:b/>
          <w:color w:val="1F4D78"/>
          <w:sz w:val="20"/>
        </w:rPr>
        <w:t>2. PARTY-003 编辑参与方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PARTY-003 编辑参与方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编辑；参与方未被锁定或通过复制新版本。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可编辑名称、类型、是否进入 MD-DShap、联系人、备注；展示算法边界提示。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已被历史结果引用的关键字段不得直接覆盖；类型变化需重新确认 include_in_md_dshap。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输出更新后的 Party；状态可保持有效。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权限：业务管理员/本地操作员；异常：重名、历史锁定；日志：before/after；验收：修改前后可追溯。</w:t>
            </w:r>
          </w:p>
        </w:tc>
      </w:tr>
    </w:tbl>
    <w:p>
      <w:pPr>
        <w:spacing w:after="40"/>
      </w:pPr>
    </w:p>
    <w:p>
      <w:pPr>
        <w:keepNext/>
      </w:pPr>
      <w:r>
        <w:rPr>
          <w:rFonts w:ascii="Calibri" w:hAnsi="Calibri" w:eastAsia="Microsoft YaHei"/>
          <w:b/>
          <w:color w:val="1F4D78"/>
          <w:sz w:val="20"/>
        </w:rPr>
        <w:t>3. PARTY-005 启用/停用参与方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 启用/停用参与方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操作列；参与方存在。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启用/停用按钮、二次确认、影响范围提示。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停用后不得参与新计算；历史结果保留展示；已导出结果不回改。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status；状态：有效 \&lt;-&gt; 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权限：业务管理员/本地操作员；异常：最后一个数据源主体不可停用导致无算法主体；日志：状态变化；验收：停用主体不进入新分配。</w:t>
            </w:r>
          </w:p>
        </w:tc>
      </w:tr>
    </w:tbl>
    <w:p>
      <w:pPr>
        <w:spacing w:after="40"/>
      </w:pPr>
    </w:p>
    <w:p>
      <w:pPr>
        <w:keepNext/>
      </w:pPr>
      <w:r>
        <w:rPr>
          <w:rFonts w:ascii="Calibri" w:hAnsi="Calibri" w:eastAsia="Microsoft YaHei"/>
          <w:b/>
          <w:color w:val="1F4D78"/>
          <w:sz w:val="20"/>
        </w:rPr>
        <w:t>4. PARTY-006 关联数据资源</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PARTY-006 关联数据资源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参与方详情 -&gt; 关联数据资源；资源存在且未锁定。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资源选择、关联比例、保存按钮。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数据源主体可关联资源；非数据主体关联资源时默认不进入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DataResourcePartyRelation；状态不变。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权限：业务管理员/本地操作员；异常：资源不存在、比例非法；日志：关联前后；验收：关联后资源详情同步显示。</w:t>
            </w:r>
          </w:p>
        </w:tc>
      </w:tr>
    </w:tbl>
    <w:p>
      <w:pPr>
        <w:spacing w:after="40"/>
      </w:pPr>
    </w:p>
    <w:p>
      <w:pPr>
        <w:keepNext/>
      </w:pPr>
      <w:r>
        <w:rPr>
          <w:rFonts w:ascii="Calibri" w:hAnsi="Calibri" w:eastAsia="Microsoft YaHei"/>
          <w:b/>
          <w:color w:val="1F4D78"/>
          <w:sz w:val="20"/>
        </w:rPr>
        <w:t>5. PARTY-008 查看参与方贡献结果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PARTY-008 查看参与方贡献结果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参与方详情 -&gt; 贡献结果；已完成贡献/效用或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贡献度、效用值、MD-DShap 权重、合同比例、最终模拟金额。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展示来源版本和时间；未计算时显示空状态。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输出参与方贡献视图；状态不变。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权限：业务管理员/算法审核员/审计员；异常：未计算提示；日志：P0 不记查看；验收：能追溯到贡献/算法版本。</w:t>
            </w:r>
          </w:p>
        </w:tc>
      </w:tr>
    </w:tbl>
    <w:p>
      <w:pPr>
        <w:spacing w:after="40"/>
      </w:pPr>
    </w:p>
    <w:p>
      <w:pPr>
        <w:pStyle w:val="Heading2"/>
      </w:pPr>
      <w:r>
        <w:t>7.5 数元贡献度计量：质量评估管理模块</w:t>
      </w:r>
    </w:p>
    <w:p>
      <w:pPr>
        <w:pStyle w:val="Heading3"/>
      </w:pPr>
      <w:r>
        <w:t>7.5.1 质量评估指标框架</w:t>
      </w:r>
    </w:p>
    <w:p>
      <w:r>
        <w:rPr>
          <w:rFonts w:ascii="Calibri" w:hAnsi="Calibri" w:eastAsia="Microsoft YaHei"/>
          <w:b w:val="0"/>
          <w:i w:val="0"/>
          <w:sz w:val="22"/>
        </w:rPr>
        <w:t>质量评估管理模块采用《数据资产 质量评估要求》PDF 中的数据资产质量评估通用指标框架，默认包含 7 个一级指标和 17 个二级指标。</w:t>
      </w:r>
    </w:p>
    <w:p>
      <w:r>
        <w:rPr>
          <w:rFonts w:ascii="Calibri" w:hAnsi="Calibri" w:eastAsia="Microsoft YaHei"/>
          <w:b w:val="0"/>
          <w:i w:val="0"/>
          <w:sz w:val="22"/>
        </w:rPr>
        <w:t>一级指标为：规范性、准确性、完整性、唯一性、一致性、时效性、可访问性。</w:t>
      </w:r>
    </w:p>
    <w:p>
      <w:r>
        <w:rPr>
          <w:rFonts w:ascii="Calibri" w:hAnsi="Calibri" w:eastAsia="Microsoft YaHei"/>
          <w:b w:val="0"/>
          <w:i w:val="0"/>
          <w:sz w:val="22"/>
        </w:rPr>
        <w:t>二级指标为：命名规范性、数据长度规范性、数据精度规范性、数据格式规范性、元数据规范性、参考数据规范性、数据模型规范性、数据范围准确性、编码/代码准确性、数据元素完整性、数据记录完整性、数据唯一标识程度、数据冗余性、相同数据一致性、关联数据一致性、数据记录及时性、数据字段可访问性。</w:t>
      </w:r>
    </w:p>
    <w:p>
      <w:r>
        <w:rPr>
          <w:rFonts w:ascii="Calibri" w:hAnsi="Calibri" w:eastAsia="Microsoft YaHei"/>
          <w:b w:val="0"/>
          <w:i w:val="0"/>
          <w:sz w:val="22"/>
        </w:rPr>
        <w:t>质量分采用“二级指标得分 -&gt; 一级指标得分 -&gt; 质量总分”的逐级加权计算。一级指标权重之和必须为 1，同一一级指标下的二级指标权重之和必须为 1。前端只展示后端返回的 quality_score、quality_level、dimension_scores、quality_score_detail 和 evidence_summary，不得在页面重新计算质量分。</w:t>
      </w:r>
    </w:p>
    <w:p>
      <w:r>
        <w:rPr>
          <w:rFonts w:ascii="Calibri" w:hAnsi="Calibri" w:eastAsia="Microsoft YaHei"/>
          <w:b w:val="0"/>
          <w:i w:val="0"/>
          <w:sz w:val="22"/>
        </w:rPr>
        <w:t>可选指标可根据具体场景扩展，例如管理信息完整性、应用场景完整性、调用成功率、数据来源权威性、采集方式、流通交易情况、数据资产登记情况、投资收益率稳定性等。可选指标不替代通用指标框架。</w:t>
      </w:r>
    </w:p>
    <w:p>
      <w:pPr>
        <w:keepNext/>
      </w:pPr>
      <w:r>
        <w:rPr>
          <w:rFonts w:ascii="Calibri" w:hAnsi="Calibri" w:eastAsia="Microsoft YaHei"/>
          <w:b/>
          <w:color w:val="1F4D78"/>
          <w:sz w:val="20"/>
        </w:rPr>
        <w:t>1. QUAL-002 质量指标权重配置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 质量指标权重配置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配置权重；已接入数据包。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7 个一级指标、17 个二级指标、权重输入框、恢复默认、保存按钮。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默认配置 7 个一级指标和 17 个二级指标权重；一级权重合计必须为 1；二级权重在所属一级下合计为 1；修改后只对新计算生效。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QualityParameterSnapshot；状态不变。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权限：业务管理员/算法审核员；异常：合计不为 1；日志：修改前后参数；验收：非法权重不能保存，默认模板包含完整 7+17 指标。</w:t>
            </w:r>
          </w:p>
        </w:tc>
      </w:tr>
    </w:tbl>
    <w:p>
      <w:pPr>
        <w:spacing w:after="40"/>
      </w:pPr>
    </w:p>
    <w:p>
      <w:pPr>
        <w:keepNext/>
      </w:pPr>
      <w:r>
        <w:rPr>
          <w:rFonts w:ascii="Calibri" w:hAnsi="Calibri" w:eastAsia="Microsoft YaHei"/>
          <w:b/>
          <w:color w:val="1F4D78"/>
          <w:sz w:val="20"/>
        </w:rPr>
        <w:t>2. QUAL-003 启动质量评估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 启动质量评估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启动评估；数据包已接入，权重合法。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启动按钮、评估状态、总分区域、7 个一级指标分、17 个二级指标详情入口、证据说明。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空数据不得评估；重新评估生成新版本；质量等级映射质量系数；页面不得重新计算质量分。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quality_score、quality_level、dimension_scores、quality_score_detail、evidence_summary；状态：已接入 -&gt; 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权限：业务管理员/算法审核员/本地操作员；异常：空数据、权重非法、计算失败；日志：输入/参数/结果；验收：结果包含总分、等级、一级维度分、二级指标明细和证据。</w:t>
            </w:r>
          </w:p>
        </w:tc>
      </w:tr>
    </w:tbl>
    <w:p>
      <w:pPr>
        <w:spacing w:after="40"/>
      </w:pPr>
    </w:p>
    <w:p>
      <w:pPr>
        <w:keepNext/>
      </w:pPr>
      <w:r>
        <w:rPr>
          <w:rFonts w:ascii="Calibri" w:hAnsi="Calibri" w:eastAsia="Microsoft YaHei"/>
          <w:b/>
          <w:color w:val="1F4D78"/>
          <w:sz w:val="20"/>
        </w:rPr>
        <w:t>3. QUAL-006 查看二级指标得分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QUAL-006 查看二级指标得分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结果详情；已完成评估。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17 个二级指标表、得分、权重、证据、风险提示。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17 个二级指标必须归属对应一级指标；展示得分来源，不允许页面重新计算。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17 个二级指标明细；状态不变。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权限：业务管理员/算法审核员/审计员；异常：无评估结果；日志：P0 不记查看；验收：17 个二级指标均有得分和证据说明。</w:t>
            </w:r>
          </w:p>
        </w:tc>
      </w:tr>
    </w:tbl>
    <w:p>
      <w:pPr>
        <w:spacing w:after="40"/>
      </w:pPr>
    </w:p>
    <w:p>
      <w:pPr>
        <w:keepNext/>
      </w:pPr>
      <w:r>
        <w:rPr>
          <w:rFonts w:ascii="Calibri" w:hAnsi="Calibri" w:eastAsia="Microsoft YaHei"/>
          <w:b/>
          <w:color w:val="1F4D78"/>
          <w:sz w:val="20"/>
        </w:rPr>
        <w:t>4. QUAL-009 重新评估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QUAL-009 重新评估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重新评估；已有评估结果。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重新评估按钮、参数确认、版本说明。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不得覆盖历史结果；新评估生成新 assessment_id；后续计量需选择新版本。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输出新评估版本；状态仍为已评估。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权限：业务管理员/算法审核员；异常：项目已导出需复制新版本；日志：新旧版本关联；验收：历史版本仍可查。</w:t>
            </w:r>
          </w:p>
        </w:tc>
      </w:tr>
    </w:tbl>
    <w:p>
      <w:pPr>
        <w:spacing w:after="40"/>
      </w:pPr>
    </w:p>
    <w:p>
      <w:pPr>
        <w:pStyle w:val="Heading2"/>
      </w:pPr>
      <w:r>
        <w:t>7.5.2 后端逐资源质量评估板块（新增）</w:t>
      </w:r>
    </w:p>
    <w:p>
      <w:r>
        <w:rPr>
          <w:rFonts w:ascii="Calibri" w:hAnsi="Calibri" w:eastAsia="Microsoft YaHei"/>
          <w:b w:val="0"/>
          <w:i w:val="0"/>
          <w:sz w:val="22"/>
        </w:rPr>
        <w:t>本板块用于补齐质量评估在后端的资源级计算能力。现有 QUAL-003 启动质量评估 保持为质量评估页面主入口；后端执行时必须先对数据包内每个有效数据资源逐一生成资源级质量结果，再聚合形成包级质量总分、等级和质量系数。前端仍只展示后端返回结果，不在页面重新计算质量分。</w:t>
      </w:r>
    </w:p>
    <w:p>
      <w:pPr>
        <w:pStyle w:val="Heading3"/>
      </w:pPr>
      <w:r>
        <w:t>7.5.2.1 业务目标</w:t>
      </w:r>
    </w:p>
    <w:p>
      <w:pPr>
        <w:pStyle w:val="ListNumber"/>
      </w:pPr>
      <w:r>
        <w:rPr>
          <w:rFonts w:ascii="Calibri" w:hAnsi="Calibri" w:eastAsia="Microsoft YaHei"/>
          <w:b w:val="0"/>
          <w:i w:val="0"/>
          <w:sz w:val="22"/>
        </w:rPr>
        <w:t>将原“数据包级质量评估”拆解为“逐资源评估 + 包级汇总”。</w:t>
      </w:r>
    </w:p>
    <w:p>
      <w:pPr>
        <w:pStyle w:val="ListNumber"/>
      </w:pPr>
      <w:r>
        <w:rPr>
          <w:rFonts w:ascii="Calibri" w:hAnsi="Calibri" w:eastAsia="Microsoft YaHei"/>
          <w:b w:val="0"/>
          <w:i w:val="0"/>
          <w:sz w:val="22"/>
        </w:rPr>
        <w:t>对每个 data_resource 输出独立的质量总分、等级、质量系数、一级维度分、二级指标明细、证据和问题摘要。</w:t>
      </w:r>
    </w:p>
    <w:p>
      <w:pPr>
        <w:pStyle w:val="ListNumber"/>
      </w:pPr>
      <w:r>
        <w:rPr>
          <w:rFonts w:ascii="Calibri" w:hAnsi="Calibri" w:eastAsia="Microsoft YaHei"/>
          <w:b w:val="0"/>
          <w:i w:val="0"/>
          <w:sz w:val="22"/>
        </w:rPr>
        <w:t>支持结构化、文本、图像、音频、医学影像、混合模态等资源按模态选择适配规则。</w:t>
      </w:r>
    </w:p>
    <w:p>
      <w:pPr>
        <w:pStyle w:val="ListNumber"/>
      </w:pPr>
      <w:r>
        <w:rPr>
          <w:rFonts w:ascii="Calibri" w:hAnsi="Calibri" w:eastAsia="Microsoft YaHei"/>
          <w:b w:val="0"/>
          <w:i w:val="0"/>
          <w:sz w:val="22"/>
        </w:rPr>
        <w:t>资源级质量因子优先供后续数元计量明细和效用计算读取；包级质量因子作为缺省回退值。</w:t>
      </w:r>
    </w:p>
    <w:p>
      <w:pPr>
        <w:pStyle w:val="ListNumber"/>
      </w:pPr>
      <w:r>
        <w:rPr>
          <w:rFonts w:ascii="Calibri" w:hAnsi="Calibri" w:eastAsia="Microsoft YaHei"/>
          <w:b w:val="0"/>
          <w:i w:val="0"/>
          <w:sz w:val="22"/>
        </w:rPr>
        <w:t>所有资源级评估结果必须纳入输入快照、参数快照、结果快照和审计日志，不得覆盖历史版本。</w:t>
      </w:r>
    </w:p>
    <w:p>
      <w:pPr>
        <w:pStyle w:val="Heading3"/>
      </w:pPr>
      <w:r>
        <w:t>7.5.2.2 后端处理范围</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对象</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处理要求</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数据资源范围</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默认评估 include_in_calculation=true 且 status=ACTIVE 的资源；可通过 resource_ids 指定子集。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指标体系</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沿用 7 个一级指标和 17 个二级指标；允许按模态跳过不适用指标，但必须在证据中说明 not_applicable_reason。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评分粒度</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每个资源生成资源级总分、资源级质量等级、资源级质量系数、一级指标得分和二级指标得分。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包级汇总</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后端返回包级 package_score/package_level，同时返回资源级 average_resource_score/low_score_resource_count。前端分别展示，不在页面二次聚合。</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资源权重</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资源级评分使用后端规则常量和系统权重参数；如需按 sample_count/field_count 进行资源权重聚合，作为 P1 可配置 resource_weight_strategy 扩展。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版本策略</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重新评估生成新的 assessment_id 和资源级评估 ID；历史资源级结果只读保留。</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失败策略</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单个资源失败时记录失败明细；若无任何资源成功，则包级评估失败；若部分成功，包级结果标记 PARTIAL_SUCCESS 并提示。</w:t>
            </w:r>
          </w:p>
        </w:tc>
      </w:tr>
    </w:tbl>
    <w:p/>
    <w:p>
      <w:pPr>
        <w:pStyle w:val="Heading3"/>
      </w:pPr>
      <w:r>
        <w:t>7.5.2.3 新增后端功能卡</w:t>
      </w:r>
    </w:p>
    <w:p>
      <w:pPr>
        <w:keepNext/>
      </w:pPr>
      <w:r>
        <w:rPr>
          <w:rFonts w:ascii="Calibri" w:hAnsi="Calibri" w:eastAsia="Microsoft YaHei"/>
          <w:b/>
          <w:color w:val="1F4D78"/>
          <w:sz w:val="20"/>
        </w:rPr>
        <w:t>1. QUAL-010 后端逐资源质量评估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 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启动评估；数据包已接入且存在有效数据资源。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输入字段：project_id、package_id、resource_ids、metric_version、resource_weight_strategy、requested_by。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后端按资源循环执行指标评分；每个资源单独生成明细；再按资源权重聚合包级结果；前端不得重复计算。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resource_quality_assessments[]、package_quality_summary；状态：已接入 -&gt; 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权限：业务管理员/算法审核员/本地操作员；异常：无有效资源、资源规则缺失、部分资源失败；日志：每个资源的输入/参数/结果快照；验收：每个有效资源均有质量总分、等级、质量系数和 17 个二级指标结果。</w:t>
            </w:r>
          </w:p>
        </w:tc>
      </w:tr>
    </w:tbl>
    <w:p>
      <w:pPr>
        <w:spacing w:after="40"/>
      </w:pPr>
    </w:p>
    <w:p>
      <w:pPr>
        <w:keepNext/>
      </w:pPr>
      <w:r>
        <w:rPr>
          <w:rFonts w:ascii="Calibri" w:hAnsi="Calibri" w:eastAsia="Microsoft YaHei"/>
          <w:b/>
          <w:color w:val="1F4D78"/>
          <w:sz w:val="20"/>
        </w:rPr>
        <w:t>2. QUAL-011 查看资源级质量结果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 查看资源级质量结果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-&gt; 资源质量明细；已完成 QUAL-010。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resource_id、resource_name、modality、resource_score、resource_level、resource_quality_factor、dimension_scores、evidence。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只读展示；支持按资源、模态、质量等级和低分指标筛选；不得修改历史结果。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输出资源级质量明细视图；状态不变。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权限：业务管理员/算法审核员/审计员；异常：资源结果缺失；日志：P0 可不记查看；验收：可从包级结果钻取到任一资源的指标明细。</w:t>
            </w:r>
          </w:p>
        </w:tc>
      </w:tr>
    </w:tbl>
    <w:p>
      <w:pPr>
        <w:spacing w:after="40"/>
      </w:pPr>
    </w:p>
    <w:p>
      <w:pPr>
        <w:keepNext/>
      </w:pPr>
      <w:r>
        <w:rPr>
          <w:rFonts w:ascii="Calibri" w:hAnsi="Calibri" w:eastAsia="Microsoft YaHei"/>
          <w:b/>
          <w:color w:val="1F4D78"/>
          <w:sz w:val="20"/>
        </w:rPr>
        <w:t>3. QUAL-012 资源质量失败详情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 资源质量失败详情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-&gt; 失败资源列表；存在资源级失败记录。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resource_id、failed_metric_code、error_code、error_message、suggestion。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资源级失败必须定位到资源、指标和规则；失败资源不参与包级成功汇总，除非规则标记为可忽略。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resource_quality_error_detail；状态可为 PARTIAL_SUCCESS 或 FAILED。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权限：业务管理员/算法审核员；异常：无失败记录提示；日志：失败原因和资源 ID；验收：模拟一个资源字段缺失时，系统能定位失败资源和失败指标。</w:t>
            </w:r>
          </w:p>
        </w:tc>
      </w:tr>
    </w:tbl>
    <w:p>
      <w:pPr>
        <w:spacing w:after="40"/>
      </w:pPr>
    </w:p>
    <w:p>
      <w:pPr>
        <w:keepNext/>
      </w:pPr>
      <w:r>
        <w:rPr>
          <w:rFonts w:ascii="Calibri" w:hAnsi="Calibri" w:eastAsia="Microsoft YaHei"/>
          <w:b/>
          <w:color w:val="1F4D78"/>
          <w:sz w:val="20"/>
        </w:rPr>
        <w:t>4. QUAL-013 导出资源级质量结果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QUAL-013 导出资源级质量结果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 报告生成与导出；已完成资源级质量评估。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JSON/CSV 按钮、字段范围、版本号、免责声明。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导出文件包含每个资源及其维度指标，不输出敏感原文；每次导出生成 report_id 和 checksum。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resource_quality_assessment_result.json、resource_quality_assessment.csv；状态可进入已导出。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权限：业务管理员/算法审核员/审计员；异常：无结果、写入失败；日志：字段范围、文件摘要、导出人；验收：导出结果可追溯到 assessment_id 和 resource_assessment_id。</w:t>
            </w:r>
          </w:p>
        </w:tc>
      </w:tr>
    </w:tbl>
    <w:p>
      <w:pPr>
        <w:spacing w:after="40"/>
      </w:pPr>
    </w:p>
    <w:p>
      <w:pPr>
        <w:pStyle w:val="Heading3"/>
      </w:pPr>
      <w:r>
        <w:t>7.5.2.4 当前 P0 接口与前端展示</w:t>
      </w:r>
    </w:p>
    <w:p>
      <w:r>
        <w:rPr>
          <w:rFonts w:ascii="Calibri" w:hAnsi="Calibri" w:eastAsia="Microsoft YaHei"/>
          <w:b w:val="0"/>
          <w:i w:val="0"/>
          <w:sz w:val="22"/>
        </w:rPr>
        <w:t>当前 P0 后端已提供资源级质量读取接口：</w:t>
      </w:r>
    </w:p>
    <w:p>
      <w:pPr>
        <w:pStyle w:val="ListBullet"/>
      </w:pPr>
      <w:r>
        <w:rPr>
          <w:rFonts w:ascii="Calibri" w:hAnsi="Calibri" w:eastAsia="Microsoft YaHei"/>
          <w:b w:val="0"/>
          <w:i w:val="0"/>
          <w:sz w:val="22"/>
        </w:rPr>
        <w:t>GET /api/v1/metering/quality/resource-results?assessment_id=latest：返回 package_score、package_level、assessed_resource_count、average_resource_score、low_score_resource_count、dimensions、resources、details、heatmap。其中 dimensions 为 7 个一级指标，resources[].dimension_scores 包含 7 个一级指标得分，details 包含每个资源的 7 个一级指标和 17 个二级指标明细。</w:t>
      </w:r>
    </w:p>
    <w:p>
      <w:pPr>
        <w:pStyle w:val="ListBullet"/>
      </w:pPr>
      <w:r>
        <w:rPr>
          <w:rFonts w:ascii="Calibri" w:hAnsi="Calibri" w:eastAsia="Microsoft YaHei"/>
          <w:b w:val="0"/>
          <w:i w:val="0"/>
          <w:sz w:val="22"/>
        </w:rPr>
        <w:t>GET /api/v1/metering/quality/resource-results/{resource_id}?assessment_id=latest：返回单资源 resource、primary_details、secondary_details 和合并 details；其中 primary_details 为 7 条，secondary_details 为 17 条，字段包含 score、weight、weighted_score、evidence_text、rule_code、assessment_id、resource_id。</w:t>
      </w:r>
    </w:p>
    <w:p>
      <w:r>
        <w:rPr>
          <w:rFonts w:ascii="Calibri" w:hAnsi="Calibri" w:eastAsia="Microsoft YaHei"/>
          <w:b w:val="0"/>
          <w:i w:val="0"/>
          <w:sz w:val="22"/>
        </w:rPr>
        <w:t>/metering/quality 页面显示包级评分、平均资源评分、低分资源数、数据资源评分总览、资源 × 一级指标热力图和资源一级/二级指标详情。摘要区可只展示前若干条资源，但必须标注展示范围，并提供查看全部资源评分入口。热力图颜色只做视觉映射，tooltip 和单元格数值必须展示后端真实 score。P0 评分规则来源为后端 7+17 指标权重和资源元数据规则，前端不得硬编码质量分、资源名、资源数量或重新计算质量分。</w:t>
      </w:r>
    </w:p>
    <w:p>
      <w:pPr>
        <w:pStyle w:val="Heading3"/>
      </w:pPr>
      <w:r>
        <w:t>7.5.2.5 计算与聚合规则</w:t>
      </w:r>
    </w:p>
    <w:p>
      <w:r>
        <w:rPr>
          <w:rFonts w:ascii="Calibri" w:hAnsi="Calibri" w:eastAsia="Microsoft YaHei"/>
          <w:b w:val="0"/>
          <w:i w:val="0"/>
          <w:sz w:val="22"/>
        </w:rPr>
        <w:t>资源级质量分采用与包级一致的逐级加权公式：</w:t>
      </w:r>
    </w:p>
    <w:p>
      <w:r>
        <w:rPr>
          <w:rFonts w:ascii="Calibri" w:hAnsi="Calibri" w:eastAsia="Microsoft YaHei"/>
          <w:b w:val="0"/>
          <w:i w:val="0"/>
          <w:sz w:val="22"/>
        </w:rPr>
        <w:t>resource_score_r = Σ(first_level_weight_i × Σ(second_level_weight_j × second_level_score_r,j))</w:t>
      </w:r>
    </w:p>
    <w:p>
      <w:r>
        <w:rPr>
          <w:rFonts w:ascii="Calibri" w:hAnsi="Calibri" w:eastAsia="Microsoft YaHei"/>
          <w:b w:val="0"/>
          <w:i w:val="0"/>
          <w:sz w:val="22"/>
        </w:rPr>
        <w:t>P0 包级质量分由后端包级质量评估结果返回，资源级平均分由 resources[].total_score 的后端结果汇总返回：</w:t>
      </w:r>
    </w:p>
    <w:p>
      <w:r>
        <w:rPr>
          <w:rFonts w:ascii="Calibri" w:hAnsi="Calibri" w:eastAsia="Microsoft YaHei"/>
          <w:b w:val="0"/>
          <w:i w:val="0"/>
          <w:sz w:val="22"/>
        </w:rPr>
        <w:t>average_resource_score = avg(resources[].total_score)</w:t>
      </w:r>
    </w:p>
    <w:p>
      <w:r>
        <w:rPr>
          <w:rFonts w:ascii="Calibri" w:hAnsi="Calibri" w:eastAsia="Microsoft YaHei"/>
          <w:b w:val="0"/>
          <w:i w:val="0"/>
          <w:sz w:val="22"/>
        </w:rPr>
        <w:t>资源级质量等级与质量系数使用同一套等级映射规则。若后续版本支持模态不适用指标，后端需将该指标标记为 NOT_APPLICABLE，并在同一一级指标内对适用二级指标权重重新归一化；重新归一化过程必须写入资源级证据。</w:t>
      </w:r>
    </w:p>
    <w:p>
      <w:pPr>
        <w:pStyle w:val="Heading3"/>
      </w:pPr>
      <w:r>
        <w:t>7.5.2.6 后续模块读取规则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1994"/>
            <w:shd w:fill="E8EEF5"/>
            <w:tcMar>
              <w:top w:w="80" w:type="dxa"/>
              <w:start w:w="120" w:type="dxa"/>
              <w:bottom w:w="80" w:type="dxa"/>
              <w:end w:w="120" w:type="dxa"/>
            </w:tcMar>
            <w:vAlign w:val="center"/>
          </w:tcPr>
          <w:p>
            <w:pPr>
              <w:spacing w:after="0"/>
            </w:pPr>
            <w:r>
              <w:rPr>
                <w:rFonts w:ascii="Calibri" w:hAnsi="Calibri" w:eastAsia="Microsoft YaHei"/>
                <w:b/>
                <w:i w:val="0"/>
                <w:sz w:val="18"/>
              </w:rPr>
              <w:t>下游模块</w:t>
            </w:r>
          </w:p>
        </w:tc>
        <w:tc>
          <w:tcPr>
            <w:tcW w:type="dxa" w:w="7366"/>
            <w:shd w:fill="E8EEF5"/>
            <w:tcMar>
              <w:top w:w="80" w:type="dxa"/>
              <w:start w:w="120" w:type="dxa"/>
              <w:bottom w:w="80" w:type="dxa"/>
              <w:end w:w="120" w:type="dxa"/>
            </w:tcMar>
            <w:vAlign w:val="center"/>
          </w:tcPr>
          <w:p>
            <w:pPr>
              <w:spacing w:after="0"/>
            </w:pPr>
            <w:r>
              <w:rPr>
                <w:rFonts w:ascii="Calibri" w:hAnsi="Calibri" w:eastAsia="Microsoft YaHei"/>
                <w:b/>
                <w:i w:val="0"/>
                <w:sz w:val="18"/>
              </w:rPr>
              <w:t>读取规则</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shuyuan_metering_detail 计算资源级金额时优先读取对应 resource_quality_factor；不存在时读取包级 quality_factor。</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资源先汇总到参与方时，可按资源-主体拆分比例聚合参与方质量因子；未配置资源关系时使用包级质量因子。</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算法审计快照需披露资源级质量因子如何聚合为参与方或任务级效用输入。</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质量报告需新增资源质量明细章节；导出字段必须包含 resource_id、resource_name、modality、resource_score、resource_quality_factor 和指标明细。</w:t>
            </w:r>
          </w:p>
        </w:tc>
      </w:tr>
    </w:tbl>
    <w:p/>
    <w:p>
      <w:pPr>
        <w:pStyle w:val="Heading2"/>
      </w:pPr>
      <w:r>
        <w:t>7.6 数元贡献度计量：数元计量管理模块</w:t>
      </w:r>
    </w:p>
    <w:p>
      <w:pPr>
        <w:keepNext/>
      </w:pPr>
      <w:r>
        <w:rPr>
          <w:rFonts w:ascii="Calibri" w:hAnsi="Calibri" w:eastAsia="Microsoft YaHei"/>
          <w:b/>
          <w:color w:val="1F4D78"/>
          <w:sz w:val="20"/>
        </w:rPr>
        <w:t>1. DU-002 基准数元配置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 基准数元配置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基准价配置；已完成质量评估或可预配置。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base_shuyuan_price、说明、保存按钮。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基准价必须大于 0；修改不影响历史计量；保存参数快照。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MeteringParameterSnapshot；状态不变。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权限：业务管理员/本地操作员；异常：空值、0、负数；日志：修改前后值；验收：非法基准价不能保存。</w:t>
            </w:r>
          </w:p>
        </w:tc>
      </w:tr>
    </w:tbl>
    <w:p>
      <w:pPr>
        <w:spacing w:after="40"/>
      </w:pPr>
    </w:p>
    <w:p>
      <w:pPr>
        <w:keepNext/>
      </w:pPr>
      <w:r>
        <w:rPr>
          <w:rFonts w:ascii="Calibri" w:hAnsi="Calibri" w:eastAsia="Microsoft YaHei"/>
          <w:b/>
          <w:color w:val="1F4D78"/>
          <w:sz w:val="20"/>
        </w:rPr>
        <w:t>2. DU-003 调用量录入</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 调用量录入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调用量；存在数据资源。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resource_id、modality、call_count、批量填充、保存按钮。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调用量必须大于等于 0；调用量为 0 时计量金额为 0 不报错。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输出资源调用量配置；状态不变。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权限：业务管理员/本地操作员；异常：负数、非整数；日志：调用量修改；验收：0 调用量合法且结果为 0。</w:t>
            </w:r>
          </w:p>
        </w:tc>
      </w:tr>
    </w:tbl>
    <w:p>
      <w:pPr>
        <w:spacing w:after="40"/>
      </w:pPr>
    </w:p>
    <w:p>
      <w:pPr>
        <w:keepNext/>
      </w:pPr>
      <w:r>
        <w:rPr>
          <w:rFonts w:ascii="Calibri" w:hAnsi="Calibri" w:eastAsia="Microsoft YaHei"/>
          <w:b/>
          <w:color w:val="1F4D78"/>
          <w:sz w:val="20"/>
        </w:rPr>
        <w:t>3. DU-009 执行数元计量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 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执行计量；已完成质量评估，参数合法。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执行按钮、公式说明、结果表、参数快照。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公式：基准价 × 场景系数 × 质量系数 × 技术系数 × 专家系数 × 发展系数 × 调用量；每次生成新版本。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输出资源级、参与方级、项目级计量结果；状态：已评估 -&gt; 已计量。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权限：业务管理员/算法审核员/本地操作员；异常：未评估、系数\&lt;=0、调用量\&lt;0；日志：参数和结果；验收：金额精度正确，明细可查。</w:t>
            </w:r>
          </w:p>
        </w:tc>
      </w:tr>
    </w:tbl>
    <w:p>
      <w:pPr>
        <w:spacing w:after="40"/>
      </w:pPr>
    </w:p>
    <w:p>
      <w:pPr>
        <w:keepNext/>
      </w:pPr>
      <w:r>
        <w:rPr>
          <w:rFonts w:ascii="Calibri" w:hAnsi="Calibri" w:eastAsia="Microsoft YaHei"/>
          <w:b/>
          <w:color w:val="1F4D78"/>
          <w:sz w:val="20"/>
        </w:rPr>
        <w:t>4. DU-010 查看数元计量明细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DU-010 查看数元计量明细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明细；已执行计量。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资源表、参与方汇总、公式展开、系数字段、金额。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明细只读；展示计量版本和参数快照 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输出计量明细视图；状态不变。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权限：业务管理员/算法审核员/审计员；异常：无计量结果；日志：P0 不记查看；验收：每条明细可追溯到参数。</w:t>
            </w:r>
          </w:p>
        </w:tc>
      </w:tr>
    </w:tbl>
    <w:p>
      <w:pPr>
        <w:spacing w:after="40"/>
      </w:pPr>
    </w:p>
    <w:p>
      <w:pPr>
        <w:pStyle w:val="Heading2"/>
      </w:pPr>
      <w:r>
        <w:t>7.7 数元贡献度计量：贡献度与效用计算模块</w:t>
      </w:r>
    </w:p>
    <w:p>
      <w:pPr>
        <w:keepNext/>
      </w:pPr>
      <w:r>
        <w:rPr>
          <w:rFonts w:ascii="Calibri" w:hAnsi="Calibri" w:eastAsia="Microsoft YaHei"/>
          <w:b/>
          <w:color w:val="1F4D78"/>
          <w:sz w:val="20"/>
        </w:rPr>
        <w:t>1. UTIL-001 贡献因子配置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 贡献因子配置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因子配置；已确认参与方。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valid_units、usage_weight、coverage_weight、scarcity_weight、保存按钮。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 不得为负；权重因子必须大于 0；修改只影响新计算。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ContributionParameterSnapshot；状态不变。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权限：业务管理员/算法审核员；异常：负数、0 权重；日志：参数前后值；验收：非法因子不能保存。</w:t>
            </w:r>
          </w:p>
        </w:tc>
      </w:tr>
    </w:tbl>
    <w:p>
      <w:pPr>
        <w:spacing w:after="40"/>
      </w:pPr>
    </w:p>
    <w:p>
      <w:pPr>
        <w:keepNext/>
      </w:pPr>
      <w:r>
        <w:rPr>
          <w:rFonts w:ascii="Calibri" w:hAnsi="Calibri" w:eastAsia="Microsoft YaHei"/>
          <w:b/>
          <w:color w:val="1F4D78"/>
          <w:sz w:val="20"/>
        </w:rPr>
        <w:t>2. UTIL-006 贡献度计算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 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计算贡献度；参与方因子合法。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计算按钮、贡献度表、归一化结果、异常提示。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 = valid_units × usage_weight × coverage_weight × scarcity_weight；总贡献为 0 时不得归一化。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contribution_score、normalized_contribution；状态可进入效用计算。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权限：业务管理员/算法审核员；异常：总贡献为 0、参数缺失；日志：输入/参数/结果；验收：归一化合计为 1。</w:t>
            </w:r>
          </w:p>
        </w:tc>
      </w:tr>
    </w:tbl>
    <w:p>
      <w:pPr>
        <w:spacing w:after="40"/>
      </w:pPr>
    </w:p>
    <w:p>
      <w:pPr>
        <w:keepNext/>
      </w:pPr>
      <w:r>
        <w:rPr>
          <w:rFonts w:ascii="Calibri" w:hAnsi="Calibri" w:eastAsia="Microsoft YaHei"/>
          <w:b/>
          <w:color w:val="1F4D78"/>
          <w:sz w:val="20"/>
        </w:rPr>
        <w:t>3. UTIL-007 效用函数配置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 效用函数配置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效用函数；已完成贡献度计算。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quality_factor、usage_factor、scenario_factor、utility_source、保存按钮。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效用函数来源必须披露；质量因子来自质量评估；因子必须大于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UtilityFunctionSnapshot；状态不变。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权限：算法审核员/本地操作员；异常：因子非法、来源缺失；日志：函数版本；验收：报告可引用效用函数来源。</w:t>
            </w:r>
          </w:p>
        </w:tc>
      </w:tr>
    </w:tbl>
    <w:p>
      <w:pPr>
        <w:spacing w:after="40"/>
      </w:pPr>
    </w:p>
    <w:p>
      <w:pPr>
        <w:keepNext/>
      </w:pPr>
      <w:r>
        <w:rPr>
          <w:rFonts w:ascii="Calibri" w:hAnsi="Calibri" w:eastAsia="Microsoft YaHei"/>
          <w:b/>
          <w:color w:val="1F4D78"/>
          <w:sz w:val="20"/>
        </w:rPr>
        <w:t>4. UTIL-008 效用值计算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UTIL-008 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计算效用值；贡献度已归一化。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计算按钮、效用值表、trace 面板。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效用值 = 归一化贡献度 × 质量因子 × 使用因子 × 场景因子；作为 v(S,t) 基础输入。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UtilityRecord；状态：已计量 -&gt; 已计算效用。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权限：业务管理员/算法审核员；异常：未算贡献度、因子\&lt;=0；日志：效用函数版本、结果；验收：每个参与方有 utility_value 和 trace。</w:t>
            </w:r>
          </w:p>
        </w:tc>
      </w:tr>
    </w:tbl>
    <w:p>
      <w:pPr>
        <w:spacing w:after="40"/>
      </w:pPr>
    </w:p>
    <w:p>
      <w:pPr>
        <w:keepNext/>
      </w:pPr>
      <w:r>
        <w:rPr>
          <w:rFonts w:ascii="Calibri" w:hAnsi="Calibri" w:eastAsia="Microsoft YaHei"/>
          <w:b/>
          <w:color w:val="1F4D78"/>
          <w:sz w:val="20"/>
        </w:rPr>
        <w:t>5. UTIL-009 查看效用计算过程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UTIL-009 查看效用计算过程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trace；已完成效用计算。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 表、公式展开、输入值、输出值、版本号。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只读展示；不得在 trace 页面修改结果。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输出效用计算过程说明；状态不变。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权限：算法审核员/审计员；异常：trace 缺失提示；日志：P0 可不记查看；验收：能从效用值追溯到贡献、质量、场景参数。</w:t>
            </w:r>
          </w:p>
        </w:tc>
      </w:tr>
    </w:tbl>
    <w:p>
      <w:pPr>
        <w:spacing w:after="40"/>
      </w:pPr>
    </w:p>
    <w:p>
      <w:pPr>
        <w:pStyle w:val="Heading2"/>
      </w:pPr>
      <w:r>
        <w:t>7.8 收益分配计算：收益分配模拟模块</w:t>
      </w:r>
    </w:p>
    <w:p>
      <w:pPr>
        <w:keepNext/>
      </w:pPr>
      <w:r>
        <w:rPr>
          <w:rFonts w:ascii="Calibri" w:hAnsi="Calibri" w:eastAsia="Microsoft YaHei"/>
          <w:b/>
          <w:color w:val="1F4D78"/>
          <w:sz w:val="20"/>
        </w:rPr>
        <w:t>1. ALLOC-003 配置总收益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 配置总收益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合同分配规则或收益分配模拟；项目存在。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total_revenue、currency、说明、保存按钮。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总收益必须大于等于 0；金额精度 2 位；保存后由合同比例方案引用。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RevenuePoolConfig 或 contract_ratio_plan.total_revenue；状态不变。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权限：业务管理员/本地操作员；异常：负数、格式错误；日志：金额前后值；验收：负数无法保存。</w:t>
            </w:r>
          </w:p>
        </w:tc>
      </w:tr>
    </w:tbl>
    <w:p>
      <w:pPr>
        <w:spacing w:after="40"/>
      </w:pPr>
    </w:p>
    <w:p>
      <w:pPr>
        <w:keepNext/>
      </w:pPr>
      <w:r>
        <w:rPr>
          <w:rFonts w:ascii="Calibri" w:hAnsi="Calibri" w:eastAsia="Microsoft YaHei"/>
          <w:b/>
          <w:color w:val="1F4D78"/>
          <w:sz w:val="20"/>
        </w:rPr>
        <w:t>2. ALLOC-005 配置非数据主体合同比例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ALLOC-005 配置非数据主体合同比例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合同分配规则；存在非数据源主体或合同主体。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data_provider_pool_ratio、party_id、ratio、basis_text、保存按钮。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合同比例合计必须等于 1.000000；非数据主体不得进入 MD-DShap；页面不配置保底、封顶、固定比例或上限。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contract_ratio_plan、contract_ratio_items；状态不变。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权限：合同审核员/本地操作员；异常：比例不闭合、主体缺失、选择数据源主体；日志：合同比例方案前后值；验收：保存后重新 GET 后端方案。</w:t>
            </w:r>
          </w:p>
        </w:tc>
      </w:tr>
    </w:tbl>
    <w:p>
      <w:pPr>
        <w:spacing w:after="40"/>
      </w:pPr>
    </w:p>
    <w:p>
      <w:pPr>
        <w:keepNext/>
      </w:pPr>
      <w:r>
        <w:rPr>
          <w:rFonts w:ascii="Calibri" w:hAnsi="Calibri" w:eastAsia="Microsoft YaHei"/>
          <w:b/>
          <w:color w:val="1F4D78"/>
          <w:sz w:val="20"/>
        </w:rPr>
        <w:t>3. ALLOC-007 选择分配模式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 选择分配模式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收益分配模拟；至少一个数据源主体。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MD-DShap 权重分配模式和只读权重来源。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不在合同页切换旧分配模式；基础 Shapley 不能作为默认最终模式，只作基线参考。</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allocation_mode；状态不变。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权限：业务管理员/算法审核员；异常：前置未完成；日志：模式选择；验收：MD-DShap 是默认模式。</w:t>
            </w:r>
          </w:p>
        </w:tc>
      </w:tr>
    </w:tbl>
    <w:p>
      <w:pPr>
        <w:spacing w:after="40"/>
      </w:pPr>
    </w:p>
    <w:p>
      <w:pPr>
        <w:keepNext/>
      </w:pPr>
      <w:r>
        <w:rPr>
          <w:rFonts w:ascii="Calibri" w:hAnsi="Calibri" w:eastAsia="Microsoft YaHei"/>
          <w:b/>
          <w:color w:val="1F4D78"/>
          <w:sz w:val="20"/>
        </w:rPr>
        <w:t>4. ALLOC-011 执行收益分配模拟</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 执行收益分配模拟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收益分配模拟；已保存合同比例方案、总收益、MD-DShap 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执行按钮、合同比例摘要、数据源收益池、数据源主体分配表、尾差说明。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总收益先按合同比例方案划分非数据主体合同金额和数据源收益池；数据源收益池再按 MD-DShap 归一化权重分配；权重合计必须为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summary、contract_ratio_plan、contract_ratio_items、data_provider_allocations、allocation_results；状态：已计算权重 -&gt; 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权限：业务管理员/本地操作员；异常：未保存合同比例、比例不闭合、权重异常；日志：合同比例、权重来源、结果；验收：最终金额合计等于总收益，数据源主体金额合计等于数据源收益池。</w:t>
            </w:r>
          </w:p>
        </w:tc>
      </w:tr>
    </w:tbl>
    <w:p>
      <w:pPr>
        <w:spacing w:after="40"/>
      </w:pPr>
    </w:p>
    <w:p>
      <w:pPr>
        <w:keepNext/>
      </w:pPr>
      <w:r>
        <w:rPr>
          <w:rFonts w:ascii="Calibri" w:hAnsi="Calibri" w:eastAsia="Microsoft YaHei"/>
          <w:b/>
          <w:color w:val="1F4D78"/>
          <w:sz w:val="20"/>
        </w:rPr>
        <w:t>5. ALLOC-013 查看分配方案对比</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ALLOC-013 查看分配方案对比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方案对比；存在至少两个分配方案或基线。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方案卡、差异表、权重来源、金额变化、说明。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可对比合同比例、加权贡献、MD-DShap；不得把基线 Shapley 误称最终结算。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输出方案对比视图；状态不变。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权限：业务管理员/审计员/算法审核员；异常：方案不足提示；日志：P0 不记查看；验收：每个方案有权重来源和金额差异。</w:t>
            </w:r>
          </w:p>
        </w:tc>
      </w:tr>
    </w:tbl>
    <w:p>
      <w:pPr>
        <w:spacing w:after="40"/>
      </w:pPr>
    </w:p>
    <w:p>
      <w:pPr>
        <w:keepNext/>
      </w:pPr>
      <w:r>
        <w:rPr>
          <w:rFonts w:ascii="Calibri" w:hAnsi="Calibri" w:eastAsia="Microsoft YaHei"/>
          <w:b/>
          <w:color w:val="1F4D78"/>
          <w:sz w:val="20"/>
        </w:rPr>
        <w:t>6. ALLOC-015 锁定分配方案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 锁定分配方案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锁定方案；已生成分配结果。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锁定按钮、确认弹窗、人工说明、确认人。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锁定后不得直接重算；如需修改必须复制新版本；锁定不是法律确认。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locked_allocation_version；状态：已分配 -&gt; 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权限：业务管理员/合同审核员；异常：未分配无法锁定；日志：确认人、时间、说明；验收：锁定后参数按钮不可编辑。</w:t>
            </w:r>
          </w:p>
        </w:tc>
      </w:tr>
    </w:tbl>
    <w:p>
      <w:pPr>
        <w:spacing w:after="40"/>
      </w:pPr>
    </w:p>
    <w:p>
      <w:pPr>
        <w:keepNext/>
      </w:pPr>
      <w:r>
        <w:rPr>
          <w:rFonts w:ascii="Calibri" w:hAnsi="Calibri" w:eastAsia="Microsoft YaHei"/>
          <w:b/>
          <w:color w:val="1F4D78"/>
          <w:sz w:val="20"/>
        </w:rPr>
        <w:t>7. ALLOC-016 导出分配结果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ALLOC-016 导出分配结果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导出；已分配或已确认。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CSV/JSON/Markdown 按钮、字段范围、版本号。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导出字段必须符合第 9 章；报告包含模拟参考说明；不得静默覆盖旧文件。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allocation_result.\*、source_level_allocation.csv；状态：已分配/已确认 -&gt; 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权限：业务管理员/审计员；异常：无结果、文件写入失败；日志：report_id、checksum；验收：导出文件字段完整。</w:t>
            </w:r>
          </w:p>
        </w:tc>
      </w:tr>
    </w:tbl>
    <w:p>
      <w:pPr>
        <w:spacing w:after="40"/>
      </w:pPr>
    </w:p>
    <w:p>
      <w:pPr>
        <w:pStyle w:val="Heading2"/>
      </w:pPr>
      <w:r>
        <w:t>7.9 收益分配计算：合同分配规则模块</w:t>
      </w:r>
    </w:p>
    <w:p>
      <w:pPr>
        <w:keepNext/>
      </w:pPr>
      <w:r>
        <w:rPr>
          <w:rFonts w:ascii="Calibri" w:hAnsi="Calibri" w:eastAsia="Microsoft YaHei"/>
          <w:b/>
          <w:color w:val="1F4D78"/>
          <w:sz w:val="20"/>
        </w:rPr>
        <w:t>1. CONS-002 新增非数据主体比例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CONS-002 新增非数据主体比例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新增；存在后端返回的非数据主体。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party_id、ratio、basis_text。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仅允许选择非数据主体；比例提交为 0 到 1 的六位小数字符串；金额由后端根据总收益计算。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contract_ratio_item；状态：方案待保存或已保存。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权限：合同审核员/本地操作员；异常：对象缺失、选择数据源主体、比例非法；日志：新增比例项；验收：新增后不出现前端补算金额。</w:t>
            </w:r>
          </w:p>
        </w:tc>
      </w:tr>
    </w:tbl>
    <w:p>
      <w:pPr>
        <w:spacing w:after="40"/>
      </w:pPr>
    </w:p>
    <w:p>
      <w:pPr>
        <w:keepNext/>
      </w:pPr>
      <w:r>
        <w:rPr>
          <w:rFonts w:ascii="Calibri" w:hAnsi="Calibri" w:eastAsia="Microsoft YaHei"/>
          <w:b/>
          <w:color w:val="1F4D78"/>
          <w:sz w:val="20"/>
        </w:rPr>
        <w:t>2. CONS-003 保存合同比例方案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 保存合同比例方案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保存；总收益和非数据主体比例已填写。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data_provider_pool_ratio、items[]、currency、basis_text。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 + 非数据主体 ratio 合计必须为 1.000000；保存成功后必须重新 GET 后端方案。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contract_ratio_plan、contract_ratio_items、can_simulate。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权限：合同审核员/本地操作员；异常：比例不闭合、总收益缺失、重复主体；日志：before/after；验收：后端返回金额、比例和状态。</w:t>
            </w:r>
          </w:p>
        </w:tc>
      </w:tr>
    </w:tbl>
    <w:p>
      <w:pPr>
        <w:spacing w:after="40"/>
      </w:pPr>
    </w:p>
    <w:p>
      <w:pPr>
        <w:keepNext/>
      </w:pPr>
      <w:r>
        <w:rPr>
          <w:rFonts w:ascii="Calibri" w:hAnsi="Calibri" w:eastAsia="Microsoft YaHei"/>
          <w:b/>
          <w:color w:val="1F4D78"/>
          <w:sz w:val="20"/>
        </w:rPr>
        <w:t>3. CONS-004 清空合同比例方案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CONS-004 清空合同比例方案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清空；存在已保存方案。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清空按钮、二次确认。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删除当前项目保存的 contract_ratio_plan/items；历史模拟结果不被静默覆盖。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EMPTY 状态和不可模拟原因。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权限：合同审核员/本地操作员；异常：无方案时返回空状态；日志：删除前值；验收：重新 GET 后为空方案。</w:t>
            </w:r>
          </w:p>
        </w:tc>
      </w:tr>
    </w:tbl>
    <w:p>
      <w:pPr>
        <w:spacing w:after="40"/>
      </w:pPr>
    </w:p>
    <w:p>
      <w:pPr>
        <w:keepNext/>
      </w:pPr>
      <w:r>
        <w:rPr>
          <w:rFonts w:ascii="Calibri" w:hAnsi="Calibri" w:eastAsia="Microsoft YaHei"/>
          <w:b/>
          <w:color w:val="1F4D78"/>
          <w:sz w:val="20"/>
        </w:rPr>
        <w:t>4. CONS-011 查看合同比例方案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 查看合同比例方案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查看；项目存在。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分配对象、对象类型、合同比例、预计金额、金额来源、说明。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页面只读展示后端方案；不展示保底、封顶、固定比例、命中/未命中、约束前/后金额或 constraint_apply_trace。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输出只读表和收益流向预览。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权限：合同审核员/审计员；异常：未配置提示；日志：P0 可不记查看；验收：字段来自 contract-ratio API。</w:t>
            </w:r>
          </w:p>
        </w:tc>
      </w:tr>
    </w:tbl>
    <w:p>
      <w:pPr>
        <w:spacing w:after="40"/>
      </w:pPr>
    </w:p>
    <w:p>
      <w:pPr>
        <w:pStyle w:val="Heading2"/>
      </w:pPr>
      <w:r>
        <w:t>7.10 报告生成与导出模块</w:t>
      </w:r>
    </w:p>
    <w:p>
      <w:pPr>
        <w:keepNext/>
      </w:pPr>
      <w:r>
        <w:rPr>
          <w:rFonts w:ascii="Calibri" w:hAnsi="Calibri" w:eastAsia="Microsoft YaHei"/>
          <w:b/>
          <w:color w:val="1F4D78"/>
          <w:sz w:val="20"/>
        </w:rPr>
        <w:t>1. REP-001 报告预览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REP-001 报告预览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预览；至少存在阶段性结果。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报告类型选择、预览区、模拟参考声明、版本信息。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预览不生成正式 report_id；预览内容不得重新计算。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输出报告预览；状态不变。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权限：全部查看角色；异常：无结果提示；日志：P0 不记预览；验收：预览包含非法律结算说明。</w:t>
            </w:r>
          </w:p>
        </w:tc>
      </w:tr>
    </w:tbl>
    <w:p>
      <w:pPr>
        <w:spacing w:after="40"/>
      </w:pPr>
    </w:p>
    <w:p>
      <w:pPr>
        <w:keepNext/>
      </w:pPr>
      <w:r>
        <w:rPr>
          <w:rFonts w:ascii="Calibri" w:hAnsi="Calibri" w:eastAsia="Microsoft YaHei"/>
          <w:b/>
          <w:color w:val="1F4D78"/>
          <w:sz w:val="20"/>
        </w:rPr>
        <w:t>2. REP-002 生成 Markdown 报告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 生成 Markdown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生成 Markdown；已完成相关计算。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报告类型、多选章节、生成按钮、下载入口。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默认 Markdown；每次生成新版本；不得静默覆盖；字段按第 9 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.md 文件和 ReportRecord；状态：已导出。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权限：业务管理员/审计员/本地操作员；异常：前置缺失、写入失败；日志：report_id、checksum；验收：可重复下载。</w:t>
            </w:r>
          </w:p>
        </w:tc>
      </w:tr>
    </w:tbl>
    <w:p>
      <w:pPr>
        <w:spacing w:after="40"/>
      </w:pPr>
    </w:p>
    <w:p>
      <w:pPr>
        <w:keepNext/>
      </w:pPr>
      <w:r>
        <w:rPr>
          <w:rFonts w:ascii="Calibri" w:hAnsi="Calibri" w:eastAsia="Microsoft YaHei"/>
          <w:b/>
          <w:color w:val="1F4D78"/>
          <w:sz w:val="20"/>
        </w:rPr>
        <w:t>3. REP-003 生成 PDF 报告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 生成 PDF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PDF；P1 功能。</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模板选择、页眉页脚、签章占位、生成按钮。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不承诺 PDF；P1 通过模板渲染；PDF 内容必须与 Markdown 版本一致。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PDF 文件；状态：已导出。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权限：业务管理员/审计员；异常：模板缺失、渲染失败；日志：PDF 版本；验收：P1 PDF 页面无错位。</w:t>
            </w:r>
          </w:p>
        </w:tc>
      </w:tr>
    </w:tbl>
    <w:p>
      <w:pPr>
        <w:spacing w:after="40"/>
      </w:pPr>
    </w:p>
    <w:p>
      <w:pPr>
        <w:keepNext/>
      </w:pPr>
      <w:r>
        <w:rPr>
          <w:rFonts w:ascii="Calibri" w:hAnsi="Calibri" w:eastAsia="Microsoft YaHei"/>
          <w:b/>
          <w:color w:val="1F4D78"/>
          <w:sz w:val="20"/>
        </w:rPr>
        <w:t>4. REP-004 导出 CSV 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导出 CSV 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CSV 明细；已生成对应结果。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文件类型选择、字段范围、导出按钮。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 必须含表头；金额 2 位，权重 6 位；导出字段不得缺少第 9 章必填字段。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CSV 文件；状态不变或已导出。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权限：业务管理员/审计员；异常：无明细、字段缺失；日志：文件名、字段清单；验收：字段和顺序符合清单。</w:t>
            </w:r>
          </w:p>
        </w:tc>
      </w:tr>
    </w:tbl>
    <w:p>
      <w:pPr>
        <w:spacing w:after="40"/>
      </w:pPr>
    </w:p>
    <w:p>
      <w:pPr>
        <w:keepNext/>
      </w:pPr>
      <w:r>
        <w:rPr>
          <w:rFonts w:ascii="Calibri" w:hAnsi="Calibri" w:eastAsia="Microsoft YaHei"/>
          <w:b/>
          <w:color w:val="1F4D78"/>
          <w:sz w:val="20"/>
        </w:rPr>
        <w:t>5. REP-005 导出 JSON 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 导出 JSON 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JSON；已生成对应结果。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类型、版本号、导出按钮。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必须包含 project_id、scenario_id、generated_at、input/parameter/result snapshot 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JSON 文件；状态不变或已导出。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权限：业务管理员/审计员；异常：序列化失败；日志：checksum；验收：JSON 可被解析。</w:t>
            </w:r>
          </w:p>
        </w:tc>
      </w:tr>
    </w:tbl>
    <w:p>
      <w:pPr>
        <w:spacing w:after="40"/>
      </w:pPr>
    </w:p>
    <w:p>
      <w:pPr>
        <w:keepNext/>
      </w:pPr>
      <w:r>
        <w:rPr>
          <w:rFonts w:ascii="Calibri" w:hAnsi="Calibri" w:eastAsia="Microsoft YaHei"/>
          <w:b/>
          <w:color w:val="1F4D78"/>
          <w:sz w:val="20"/>
        </w:rPr>
        <w:t>6. REP-006 导出算法审计说明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 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算法审计说明；已完成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算法报告按钮、参数快照、边际贡献、近似说明。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md_dshap_audit_report.md/json；状态不变。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权限：算法审核员/审计员；异常：未计算不可导出；日志：算法版本和快照；验收：审计说明包含输入、参数、输出、假设。</w:t>
            </w:r>
          </w:p>
        </w:tc>
      </w:tr>
    </w:tbl>
    <w:p>
      <w:pPr>
        <w:spacing w:after="40"/>
      </w:pPr>
    </w:p>
    <w:p>
      <w:pPr>
        <w:keepNext/>
      </w:pPr>
      <w:r>
        <w:rPr>
          <w:rFonts w:ascii="Calibri" w:hAnsi="Calibri" w:eastAsia="Microsoft YaHei"/>
          <w:b/>
          <w:color w:val="1F4D78"/>
          <w:sz w:val="20"/>
        </w:rPr>
        <w:t>7. REP-009 导出收益分配确认书</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 导出收益分配确认书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确认书；方案已锁定。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确认书模板、确认人、说明、导出按钮。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当前后端未提供确认书专用导出接口，前端按缺口禁用；不得把 Markdown 报告伪装成确认书。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输出：无；状态不变。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权限：仅保留设计编号；异常：提示 P0 暂不启用；日志：不写成功导出日志；验收：按钮禁用且不伪造 allocation_confirmation_statement.md。</w:t>
            </w:r>
          </w:p>
        </w:tc>
      </w:tr>
    </w:tbl>
    <w:p>
      <w:pPr>
        <w:spacing w:after="40"/>
      </w:pPr>
    </w:p>
    <w:p>
      <w:pPr>
        <w:pStyle w:val="Heading2"/>
      </w:pPr>
      <w:r>
        <w:t>7.11 系统管理：审计日志管理模块</w:t>
      </w:r>
    </w:p>
    <w:p>
      <w:pPr>
        <w:keepNext/>
      </w:pPr>
      <w:r>
        <w:rPr>
          <w:rFonts w:ascii="Calibri" w:hAnsi="Calibri" w:eastAsia="Microsoft YaHei"/>
          <w:b/>
          <w:color w:val="1F4D78"/>
          <w:sz w:val="20"/>
        </w:rPr>
        <w:t>1. AUD-002 计算日志查询</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 计算日志查询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计算日志；存在计算记录。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筛选：模块、操作人、时间、状态、算法版本；列表：log_id、module、status。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默认展示最近 50 条；按时间倒序；仅审计相关角色可查。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输出计算日志列表；状态不变。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权限：算法审核员/审计员；异常：无结果空状态；日志：P0 不记查询；验收：能筛选 MD-DShap 日志。</w:t>
            </w:r>
          </w:p>
        </w:tc>
      </w:tr>
    </w:tbl>
    <w:p>
      <w:pPr>
        <w:spacing w:after="40"/>
      </w:pPr>
    </w:p>
    <w:p>
      <w:pPr>
        <w:keepNext/>
      </w:pPr>
      <w:r>
        <w:rPr>
          <w:rFonts w:ascii="Calibri" w:hAnsi="Calibri" w:eastAsia="Microsoft YaHei"/>
          <w:b/>
          <w:color w:val="1F4D78"/>
          <w:sz w:val="20"/>
        </w:rPr>
        <w:t>2. AUD-006 查看日志详情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AUD-006 查看日志详情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详情；选择一条日志。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操作前值、操作后值、输入快照、参数快照、输出快照、失败原因。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计算类日志必须有 input_snapshot_id、parameter_snapshot_id、result_snapshot_id。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输出日志详情；状态不变。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权限：审计员、本地操作员；异常：日志不存在、快照缺失；日志：P0 不记查看；验收：可追溯关键计算。</w:t>
            </w:r>
          </w:p>
        </w:tc>
      </w:tr>
    </w:tbl>
    <w:p>
      <w:pPr>
        <w:spacing w:after="40"/>
      </w:pPr>
    </w:p>
    <w:p>
      <w:pPr>
        <w:keepNext/>
      </w:pPr>
      <w:r>
        <w:rPr>
          <w:rFonts w:ascii="Calibri" w:hAnsi="Calibri" w:eastAsia="Microsoft YaHei"/>
          <w:b/>
          <w:color w:val="1F4D78"/>
          <w:sz w:val="20"/>
        </w:rPr>
        <w:t>3. AUD-007 导出审计日志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 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导出；已筛选日志。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导出按钮、格式 JSONL/Markdown、筛选条件摘要。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导出范围为当前筛选结果；每行 JSONL 为一条日志；不得遗漏失败日志。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audit_log.jsonl；状态不变或已导出。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权限：审计员/本地操作员；异常：无日志、写入失败；日志：记录导出行为；验收：导出文件含成功和失败记录。</w:t>
            </w:r>
          </w:p>
        </w:tc>
      </w:tr>
    </w:tbl>
    <w:p>
      <w:pPr>
        <w:spacing w:after="40"/>
      </w:pPr>
    </w:p>
    <w:p>
      <w:pPr>
        <w:pStyle w:val="Heading2"/>
      </w:pPr>
      <w:r>
        <w:t>7.12 系统管理：参数配置模块</w:t>
      </w:r>
    </w:p>
    <w:p>
      <w:pPr>
        <w:keepNext/>
      </w:pPr>
      <w:r>
        <w:rPr>
          <w:rFonts w:ascii="Calibri" w:hAnsi="Calibri" w:eastAsia="Microsoft YaHei"/>
          <w:b/>
          <w:color w:val="1F4D78"/>
          <w:sz w:val="20"/>
        </w:rPr>
        <w:t>1. PARAM-004 MD-DShap 参数配置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PARAM-004 MD-DShap 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参数配置 -&gt; MD-DShap；系统管理员/算法审核员。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default_algorithm_mode、random_seed、sample_rounds、epsilon、save_marginal_detail。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algorithm_mode 必须为 MD_DSHAP；基础 Shapley 只能作为 baseline_enabled。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输出系统参数快照；状态不变。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权限：系统管理员/算法审核员；异常：epsilon\&lt;=0、轮次\&lt;=0；日志：参数前后值；验收：新任务默认 MD-DShap。</w:t>
            </w:r>
          </w:p>
        </w:tc>
      </w:tr>
    </w:tbl>
    <w:p>
      <w:pPr>
        <w:spacing w:after="40"/>
      </w:pPr>
    </w:p>
    <w:p>
      <w:pPr>
        <w:keepNext/>
      </w:pPr>
      <w:r>
        <w:rPr>
          <w:rFonts w:ascii="Calibri" w:hAnsi="Calibri" w:eastAsia="Microsoft YaHei"/>
          <w:b/>
          <w:color w:val="1F4D78"/>
          <w:sz w:val="20"/>
        </w:rPr>
        <w:t>2. PARAM-008 风险提示文案配置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PARAM-008 风险提示文案配置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参数配置 -&gt; 风险提示；系统管理员。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simulation_disclaimer、sensitive_data_notice、legal_boundary_note。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风险提示影响首页、上传页和报告；修改只对新报告生效。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输出风险提示参数；状态不变。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权限：系统管理员/本地操作员；异常：必填为空；日志：文案前后值；验收：报告和首页同步新文案。</w:t>
            </w:r>
          </w:p>
        </w:tc>
      </w:tr>
    </w:tbl>
    <w:p>
      <w:pPr>
        <w:spacing w:after="40"/>
      </w:pPr>
    </w:p>
    <w:p>
      <w:pPr>
        <w:pStyle w:val="Heading2"/>
      </w:pPr>
      <w:r>
        <w:t>7.13 系统管理：用户与权限管理模块（P1）</w:t>
      </w:r>
    </w:p>
    <w:p>
      <w:pPr>
        <w:keepNext/>
      </w:pPr>
      <w:r>
        <w:rPr>
          <w:rFonts w:ascii="Calibri" w:hAnsi="Calibri" w:eastAsia="Microsoft YaHei"/>
          <w:b/>
          <w:color w:val="1F4D78"/>
          <w:sz w:val="20"/>
        </w:rPr>
        <w:t>1. USER-002 新增用户</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USER-002 新增用户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新增用户；P1 启用登录后。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username、display_name/name、email、roles、status、initial_password、自动生成初始密码、保存按钮。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用户名唯一；角色至少一个；仅系统管理员或 USER_CREATE 权限可创建；初始密码只保存 password_hash，可由管理员输入或系统生成一次性初始密码。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UserPublic；本次响应可返回 one_time_initial_password，后续查询不可再次返回；状态：启用或指定状态。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权限：SYSTEM_ADMIN/USER_CREATE；异常：重名、角色空、密码强度不足；日志：新增用户，password_set=true，不记录明文或 hash；验收：新用户可按角色访问且列表/详情不含密码字段。</w:t>
            </w:r>
          </w:p>
        </w:tc>
      </w:tr>
    </w:tbl>
    <w:p>
      <w:pPr>
        <w:spacing w:after="40"/>
      </w:pPr>
    </w:p>
    <w:p>
      <w:pPr>
        <w:keepNext/>
      </w:pPr>
      <w:r>
        <w:rPr>
          <w:rFonts w:ascii="Calibri" w:hAnsi="Calibri" w:eastAsia="Microsoft YaHei"/>
          <w:b/>
          <w:color w:val="1F4D78"/>
          <w:sz w:val="20"/>
        </w:rPr>
        <w:t>2. USER-005 禁用用户</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USER-005 禁用用户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禁用；P1。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禁用按钮、二次确认弹窗、影响范围说明。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仅系统管理员或 USER_DISABLE 权限可禁用其他用户；禁止禁用自己；禁止禁用最后一个 ENABLED 的 SYSTEM_ADMIN；不得依赖前端隐藏按钮作为安全边界。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user_account.status=DISABLED；记录 disabled_by、disabled_at 或等价审计字段。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权限：SYSTEM_ADMIN/USER_DISABLE；异常：403、自己禁用、最后管理员保护；日志：operation_type=DISABLE，module_code=USER，menu_code=NAV_SYSTEM_USER，before/after 不含密码字段；验收：非管理员直接调接口仍 403 且状态不变。</w:t>
            </w:r>
          </w:p>
        </w:tc>
      </w:tr>
    </w:tbl>
    <w:p>
      <w:pPr>
        <w:spacing w:after="40"/>
      </w:pPr>
    </w:p>
    <w:p>
      <w:pPr>
        <w:keepNext/>
      </w:pPr>
      <w:r>
        <w:rPr>
          <w:rFonts w:ascii="Calibri" w:hAnsi="Calibri" w:eastAsia="Microsoft YaHei"/>
          <w:b/>
          <w:color w:val="1F4D78"/>
          <w:sz w:val="20"/>
        </w:rPr>
        <w:t>3. USER-007 重置/分配初始密码</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USER-007 重置/分配初始密码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重置密码；P1。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重置密码按钮、自动生成临时密码、手动输入临时密码、一次性展示弹窗。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仅系统管理员或 USER_RESET_PASSWORD 权限可重置；只保存 password_hash，可设置 must_change_password=true；临时密码只在本次成功弹窗展示一次。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更新 password_hash、password_updated_at、must_change_password；本次响应可返回 one_time_temporary_password。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权限：SYSTEM_ADMIN/USER_RESET_PASSWORD；异常：用户不存在、密码强度不足；日志：可记录 password_set=true，不记录明文或 hash；验收：后续 GET 查询不到临时密码或 hash。</w:t>
            </w:r>
          </w:p>
        </w:tc>
      </w:tr>
    </w:tbl>
    <w:p>
      <w:pPr>
        <w:spacing w:after="40"/>
      </w:pPr>
    </w:p>
    <w:p>
      <w:pPr>
        <w:keepNext/>
      </w:pPr>
      <w:r>
        <w:rPr>
          <w:rFonts w:ascii="Calibri" w:hAnsi="Calibri" w:eastAsia="Microsoft YaHei"/>
          <w:b/>
          <w:color w:val="1F4D78"/>
          <w:sz w:val="20"/>
        </w:rPr>
        <w:t>4. USER-008 角色管理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USER-008 角色管理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角色管理；P1。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角色名称、权限菜单、按钮权限、保存按钮。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权限按菜单和按钮两级控制；权限变更后立即或重新登录生效。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RolePermissionSnapshot；状态不变。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权限：系统管理员；异常：角色名重复；日志：权限前后值；验收：撤销权限后按钮不可用。</w:t>
            </w:r>
          </w:p>
        </w:tc>
      </w:tr>
    </w:tbl>
    <w:p>
      <w:pPr>
        <w:spacing w:after="40"/>
      </w:pPr>
    </w:p>
    <w:p>
      <w:pPr>
        <w:keepNext/>
      </w:pPr>
      <w:r>
        <w:rPr>
          <w:rFonts w:ascii="Calibri" w:hAnsi="Calibri" w:eastAsia="Microsoft YaHei"/>
          <w:b/>
          <w:color w:val="1F4D78"/>
          <w:sz w:val="20"/>
        </w:rPr>
        <w:t>5. USER-009 权限配置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USER-009 权限配置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权限配置；P1。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角色选择、菜单权限、按钮权限、保存、重置。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同一用户多角色权限取并集；高风险权限需二次确认。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PermissionConfig；状态不变。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权限：系统管理员；异常：保存冲突；日志：权限变更；验收：不同角色看到不同按钮状态。</w:t>
            </w:r>
          </w:p>
        </w:tc>
      </w:tr>
    </w:tbl>
    <w:p>
      <w:pPr>
        <w:spacing w:after="40"/>
      </w:pPr>
    </w:p>
    <w:p>
      <w:pPr>
        <w:keepNext/>
      </w:pPr>
      <w:r>
        <w:rPr>
          <w:rFonts w:ascii="Calibri" w:hAnsi="Calibri" w:eastAsia="Microsoft YaHei"/>
          <w:b/>
          <w:color w:val="1F4D78"/>
          <w:sz w:val="20"/>
        </w:rPr>
        <w:t>6. USER-010 修改本人密码</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USER-010 修改本人密码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我的账号/用户个人页 -&gt; 修改密码；P1 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当前密码、新密码、确认新密码、显示/隐藏正在输入字符按钮。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只能修改本人密码；必须校验 current_password 与 password_hash 匹配；new_password 与 confirm_password 一致；新密码不能等于旧密码；密码强度至少长度 8 且包含字母和数字。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更新本人 password_hash、password_updated_at、must_change_password=false。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权限：登录用户/USER_CHANGE_OWN_PASSWORD；异常：旧密码错误、确认不一致、强度不足、新旧相同；日志：operation_type=UPDATE，不记录明文或 hash；验收：页面不展示已有密码。</w:t>
            </w:r>
          </w:p>
        </w:tc>
      </w:tr>
    </w:tbl>
    <w:p>
      <w:pPr>
        <w:spacing w:after="40"/>
      </w:pPr>
    </w:p>
    <w:p>
      <w:pPr>
        <w:keepNext/>
      </w:pPr>
      <w:r>
        <w:rPr>
          <w:rFonts w:ascii="Calibri" w:hAnsi="Calibri" w:eastAsia="Microsoft YaHei"/>
          <w:b/>
          <w:color w:val="1F4D78"/>
          <w:sz w:val="20"/>
        </w:rPr>
        <w:t>7. USER-011 查看本人账号安全信息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USER-011 查看本人账号安全信息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我的账号/用户个人页；P1 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username、display_name/name、email、roles、status、last_login_at、password_updated_at、must_change_password。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只返回本人账号公开安全字段；不提供任何 GET password 接口；显示/隐藏图标只能作用于用户正在输入的新表单内容。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UserPublic；不返回 password_hash、password、initial_password、temporary_password。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权限：登录用户；异常：未登录或账号禁用；日志：可按只读查询策略处理；验收：普通用户和管理员均无法查看已有密码。</w:t>
            </w:r>
          </w:p>
        </w:tc>
      </w:tr>
    </w:tbl>
    <w:p>
      <w:pPr>
        <w:spacing w:after="40"/>
      </w:pPr>
    </w:p>
    <w:p>
      <w:pPr>
        <w:pStyle w:val="Heading1"/>
      </w:pPr>
      <w:r>
        <w:t>8. 收益分配计算：MD-DShap 计算管理专题</w:t>
      </w:r>
    </w:p>
    <w:p>
      <w:r>
        <w:rPr>
          <w:rFonts w:ascii="Calibri" w:hAnsi="Calibri" w:eastAsia="Microsoft YaHei"/>
          <w:b w:val="0"/>
          <w:i w:val="0"/>
          <w:sz w:val="22"/>
        </w:rPr>
        <w:t>MD-DShap 是系统默认计算策略。基础 Shapley 仅在参与方数量较少时用于基线校验，不作为默认分配权重计算策略。算法模块需要保留操作入口、复现参数和审计披露信息。</w:t>
      </w:r>
    </w:p>
    <w:p>
      <w:pPr>
        <w:pStyle w:val="Heading2"/>
      </w:pPr>
      <w:r>
        <w:t>8.1 产品需求</w:t>
      </w:r>
    </w:p>
    <w:p>
      <w:pPr>
        <w:pStyle w:val="ListNumber"/>
      </w:pPr>
      <w:r>
        <w:rPr>
          <w:rFonts w:ascii="Calibri" w:hAnsi="Calibri" w:eastAsia="Microsoft YaHei"/>
          <w:b w:val="0"/>
          <w:i w:val="0"/>
          <w:sz w:val="22"/>
        </w:rPr>
        <w:t>收益分配计算 -&gt; MD-DShap 计算管理页面必须提供算法说明、算法模式选择、参与方集合确认、任务集合确认、效用函数来源选择、参数配置、启动计算、进度查看、边际贡献查看、权重查看、复杂度优化说明、重新计算、导出结果、生成审计说明等能力。</w:t>
      </w:r>
    </w:p>
    <w:p>
      <w:pPr>
        <w:pStyle w:val="ListNumber"/>
      </w:pPr>
      <w:r>
        <w:rPr>
          <w:rFonts w:ascii="Calibri" w:hAnsi="Calibri" w:eastAsia="Microsoft YaHei"/>
          <w:b w:val="0"/>
          <w:i w:val="0"/>
          <w:sz w:val="22"/>
        </w:rPr>
        <w:t>默认算法模式为 MD_DSHAP。基础 Shapley 仅在参与方数量较少时用于基线校验。</w:t>
      </w:r>
    </w:p>
    <w:p>
      <w:pPr>
        <w:pStyle w:val="ListNumber"/>
      </w:pPr>
      <w:r>
        <w:rPr>
          <w:rFonts w:ascii="Calibri" w:hAnsi="Calibri" w:eastAsia="Microsoft YaHei"/>
          <w:b w:val="0"/>
          <w:i w:val="0"/>
          <w:sz w:val="22"/>
        </w:rPr>
        <w:t>页面必须提示：权重结果属于计算参考，不是最终付款指令。</w:t>
      </w:r>
    </w:p>
    <w:p>
      <w:pPr>
        <w:pStyle w:val="ListNumber"/>
      </w:pPr>
      <w:r>
        <w:rPr>
          <w:rFonts w:ascii="Calibri" w:hAnsi="Calibri" w:eastAsia="Microsoft YaHei"/>
          <w:b w:val="0"/>
          <w:i w:val="0"/>
          <w:sz w:val="22"/>
        </w:rPr>
        <w:t>非数据贡献主体默认不进入 MD-DShap 权重池。</w:t>
      </w:r>
    </w:p>
    <w:p>
      <w:pPr>
        <w:pStyle w:val="ListNumber"/>
      </w:pPr>
      <w:r>
        <w:rPr>
          <w:rFonts w:ascii="Calibri" w:hAnsi="Calibri" w:eastAsia="Microsoft YaHei"/>
          <w:b w:val="0"/>
          <w:i w:val="0"/>
          <w:sz w:val="22"/>
        </w:rPr>
        <w:t>单数据源主体场景不启动完整算法，权重直接为 1，并展示简化说明。</w:t>
      </w:r>
    </w:p>
    <w:p>
      <w:pPr>
        <w:pStyle w:val="ListNumber"/>
      </w:pPr>
      <w:r>
        <w:rPr>
          <w:rFonts w:ascii="Calibri" w:hAnsi="Calibri" w:eastAsia="Microsoft YaHei"/>
          <w:b w:val="0"/>
          <w:i w:val="0"/>
          <w:sz w:val="22"/>
        </w:rPr>
        <w:t>重新计算不得覆盖历史计算结果，应生成新的 task_id、result_id 和参数快照。</w:t>
      </w:r>
    </w:p>
    <w:p>
      <w:pPr>
        <w:pStyle w:val="Heading2"/>
      </w:pPr>
      <w:r>
        <w:t>8.2 算法需求</w:t>
      </w:r>
    </w:p>
    <w:p>
      <w:pPr>
        <w:pStyle w:val="Heading3"/>
      </w:pPr>
      <w:r>
        <w:t>8.2.1 算法输入</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序号</w:t>
            </w:r>
          </w:p>
        </w:tc>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输入项</w:t>
            </w:r>
          </w:p>
        </w:tc>
        <w:tc>
          <w:tcPr>
            <w:tcW w:type="dxa" w:w="6240"/>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1</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数据源主体集合 P</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进入 MD-DShap 的参与方集合，仅包含 include_in_md_dshap=true 的数据源主体。</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2</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任务集合 T</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多任务、多场景或多数据资源的任务集合；P0 可使用默认任务。</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3</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效用函数 v(S, t)</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联盟 S 在任务 t 下的效用函数，来源于效用计算模块或专家确认的效用输入。</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4</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质量评分 q_i</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参与方或资源级质量评分/质量因子，来自质量评估模块。</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5</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贡献度 c_i</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参与方贡献度，来自贡献度计算模块。</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6</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场景参数 s</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场景系数、任务权重、发展系数或应用场景参数。</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7</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随机种子 seed</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用于保证采样或动态估值过程可复现。</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采样轮次 n</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采样迭代次数；P1 支持配置，P0 可使用默认值。</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9</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收敛阈值 epsilon</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用于判断近似计算是否收敛；P1 支持配置，P0 可使用默认值。</w:t>
            </w:r>
          </w:p>
        </w:tc>
      </w:tr>
    </w:tbl>
    <w:p/>
    <w:p>
      <w:pPr>
        <w:pStyle w:val="Heading3"/>
      </w:pPr>
      <w:r>
        <w:t>8.2.2 算法输出</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77"/>
            <w:shd w:fill="E8EEF5"/>
            <w:tcMar>
              <w:top w:w="80" w:type="dxa"/>
              <w:start w:w="120" w:type="dxa"/>
              <w:bottom w:w="80" w:type="dxa"/>
              <w:end w:w="120" w:type="dxa"/>
            </w:tcMar>
            <w:vAlign w:val="center"/>
          </w:tcPr>
          <w:p>
            <w:pPr>
              <w:spacing w:after="0"/>
            </w:pPr>
            <w:r>
              <w:rPr>
                <w:rFonts w:ascii="Calibri" w:hAnsi="Calibri" w:eastAsia="Microsoft YaHei"/>
                <w:b/>
                <w:i w:val="0"/>
                <w:sz w:val="18"/>
              </w:rPr>
              <w:t>序号</w:t>
            </w:r>
          </w:p>
        </w:tc>
        <w:tc>
          <w:tcPr>
            <w:tcW w:type="dxa" w:w="3325"/>
            <w:shd w:fill="E8EEF5"/>
            <w:tcMar>
              <w:top w:w="80" w:type="dxa"/>
              <w:start w:w="120" w:type="dxa"/>
              <w:bottom w:w="80" w:type="dxa"/>
              <w:end w:w="120" w:type="dxa"/>
            </w:tcMar>
            <w:vAlign w:val="center"/>
          </w:tcPr>
          <w:p>
            <w:pPr>
              <w:spacing w:after="0"/>
            </w:pPr>
            <w:r>
              <w:rPr>
                <w:rFonts w:ascii="Calibri" w:hAnsi="Calibri" w:eastAsia="Microsoft YaHei"/>
                <w:b/>
                <w:i w:val="0"/>
                <w:sz w:val="18"/>
              </w:rPr>
              <w:t>输出项</w:t>
            </w:r>
          </w:p>
        </w:tc>
        <w:tc>
          <w:tcPr>
            <w:tcW w:type="dxa" w:w="4558"/>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1</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参与方综合权重，归一化后合计为 1，保留 6 位小数。</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2</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任务级权重，用于解释不同任务或场景下参与方贡献差异。</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3</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边际贡献过程明细，包括联盟、任务、前后效用值和边际贡献。</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4</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近似计算说明，包括采样轮次、收敛阈值、随机种子、复杂度优化和误差边界说明。</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5</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算法审计快照，包括输入、参数、效用函数来源、算法版本、输出和边界说明。</w:t>
            </w:r>
          </w:p>
        </w:tc>
      </w:tr>
    </w:tbl>
    <w:p/>
    <w:p>
      <w:pPr>
        <w:pStyle w:val="Heading3"/>
      </w:pPr>
      <w:r>
        <w:t>8.2.3 v(S,t) 与效用函数规则</w:t>
      </w:r>
    </w:p>
    <w:p>
      <w:r>
        <w:rPr>
          <w:rFonts w:ascii="Calibri" w:hAnsi="Calibri" w:eastAsia="Microsoft YaHei"/>
          <w:b w:val="0"/>
          <w:i w:val="0"/>
          <w:sz w:val="22"/>
        </w:rPr>
        <w:t>P0 默认采用可解释的加性效用函数：v(S,t) = sum(u_i,t for i in S) + synergy_adjustment(S,t)。其中 u_i,t 可由 normalized_contribution_i、quality_factor_i、usage_factor_i,t、scenario_factor_t 组合形成；synergy_adjustment(S,t) 在 P0 可默认为 0，P1 可扩展为多模态协同、数据互补性或场景协同项。</w:t>
      </w:r>
    </w:p>
    <w:p>
      <w:pPr>
        <w:pStyle w:val="ListNumber"/>
      </w:pPr>
      <w:r>
        <w:rPr>
          <w:rFonts w:ascii="Calibri" w:hAnsi="Calibri" w:eastAsia="Microsoft YaHei"/>
          <w:b w:val="0"/>
          <w:i w:val="0"/>
          <w:sz w:val="22"/>
        </w:rPr>
        <w:t>v(empty,t) = 0。空集合不得产生收益分配权重。</w:t>
      </w:r>
    </w:p>
    <w:p>
      <w:pPr>
        <w:pStyle w:val="ListNumber"/>
      </w:pPr>
      <w:r>
        <w:rPr>
          <w:rFonts w:ascii="Calibri" w:hAnsi="Calibri" w:eastAsia="Microsoft YaHei"/>
          <w:b w:val="0"/>
          <w:i w:val="0"/>
          <w:sz w:val="22"/>
        </w:rPr>
        <w:t>当 |P| = 1 时，participant_weight = 1，不启动完整 MD-DShap。</w:t>
      </w:r>
    </w:p>
    <w:p>
      <w:pPr>
        <w:pStyle w:val="ListNumber"/>
      </w:pPr>
      <w:r>
        <w:rPr>
          <w:rFonts w:ascii="Calibri" w:hAnsi="Calibri" w:eastAsia="Microsoft YaHei"/>
          <w:b w:val="0"/>
          <w:i w:val="0"/>
          <w:sz w:val="22"/>
        </w:rPr>
        <w:t>当 2 \&lt;= |P| \&lt;= 8 时，可同时运行基础 Shapley 作为 baseline_check。</w:t>
      </w:r>
    </w:p>
    <w:p>
      <w:pPr>
        <w:pStyle w:val="ListNumber"/>
      </w:pPr>
      <w:r>
        <w:rPr>
          <w:rFonts w:ascii="Calibri" w:hAnsi="Calibri" w:eastAsia="Microsoft YaHei"/>
          <w:b w:val="0"/>
          <w:i w:val="0"/>
          <w:sz w:val="22"/>
        </w:rPr>
        <w:t>当 |P| &gt; 8 或存在多任务/多资源场景时，默认使用 MD-DShap。</w:t>
      </w:r>
    </w:p>
    <w:p>
      <w:pPr>
        <w:pStyle w:val="ListNumber"/>
      </w:pPr>
      <w:r>
        <w:rPr>
          <w:rFonts w:ascii="Calibri" w:hAnsi="Calibri" w:eastAsia="Microsoft YaHei"/>
          <w:b w:val="0"/>
          <w:i w:val="0"/>
          <w:sz w:val="22"/>
        </w:rPr>
        <w:t>当 |P| &gt; 100 时，系统必须提示使用采样或动态估值模式，并在报告中披露 approximation_note。</w:t>
      </w:r>
    </w:p>
    <w:p>
      <w:pPr>
        <w:pStyle w:val="ListNumber"/>
      </w:pPr>
      <w:r>
        <w:rPr>
          <w:rFonts w:ascii="Calibri" w:hAnsi="Calibri" w:eastAsia="Microsoft YaHei"/>
          <w:b w:val="0"/>
          <w:i w:val="0"/>
          <w:sz w:val="22"/>
        </w:rPr>
        <w:t>权重归一化失败时不得继续收益分配。</w:t>
      </w:r>
    </w:p>
    <w:p>
      <w:pPr>
        <w:pStyle w:val="Heading3"/>
      </w:pPr>
      <w:r>
        <w:t>8.2.4 复杂度与基线校验规则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2228"/>
            <w:shd w:fill="E8EEF5"/>
            <w:tcMar>
              <w:top w:w="80" w:type="dxa"/>
              <w:start w:w="120" w:type="dxa"/>
              <w:bottom w:w="80" w:type="dxa"/>
              <w:end w:w="120" w:type="dxa"/>
            </w:tcMar>
            <w:vAlign w:val="center"/>
          </w:tcPr>
          <w:p>
            <w:pPr>
              <w:spacing w:after="0"/>
            </w:pPr>
            <w:r>
              <w:rPr>
                <w:rFonts w:ascii="Calibri" w:hAnsi="Calibri" w:eastAsia="Microsoft YaHei"/>
                <w:b/>
                <w:i w:val="0"/>
                <w:sz w:val="18"/>
              </w:rPr>
              <w:t>规则项</w:t>
            </w:r>
          </w:p>
        </w:tc>
        <w:tc>
          <w:tcPr>
            <w:tcW w:type="dxa" w:w="7132"/>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默认计算策略</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MD-DShap。</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基础 Shapley 使用条件</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仅在参与方数量较少、需要基线校验或算法审计对照时启用。</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复杂度披露</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报告中必须说明基础 Shapley 枚举复杂度较高，MD-DShap 通过任务维度、局部效用、动态/采样估值降低重复计算压力。</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基线差异披露</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若同时运行基础 Shapley 和 MD-DShap，应展示权重差异、差异原因和是否用于最终模拟。</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复现性</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相同输入、参数和 random_seed 下应输出一致结果。</w:t>
            </w:r>
          </w:p>
        </w:tc>
      </w:tr>
    </w:tbl>
    <w:p/>
    <w:p>
      <w:pPr>
        <w:pStyle w:val="Heading2"/>
      </w:pPr>
      <w:r>
        <w:t>8.3 审计需求</w:t>
      </w:r>
    </w:p>
    <w:p>
      <w:pPr>
        <w:pStyle w:val="ListNumber"/>
      </w:pPr>
      <w:r>
        <w:rPr>
          <w:rFonts w:ascii="Calibri" w:hAnsi="Calibri" w:eastAsia="Microsoft YaHei"/>
          <w:b w:val="0"/>
          <w:i w:val="0"/>
          <w:sz w:val="22"/>
        </w:rPr>
        <w:t>报告中必须披露：算法模式、参数、效用函数来源、近似假设、边界说明。</w:t>
      </w:r>
    </w:p>
    <w:p>
      <w:pPr>
        <w:pStyle w:val="ListNumber"/>
      </w:pPr>
      <w:r>
        <w:rPr>
          <w:rFonts w:ascii="Calibri" w:hAnsi="Calibri" w:eastAsia="Microsoft YaHei"/>
          <w:b w:val="0"/>
          <w:i w:val="0"/>
          <w:sz w:val="22"/>
        </w:rPr>
        <w:t>每次计算必须保存 participant_set、task_set、v(S,t) 定义、quality_score、contribution_score、scenario_parameters、seed、sample_rounds、epsilon。</w:t>
      </w:r>
    </w:p>
    <w:p>
      <w:pPr>
        <w:pStyle w:val="ListNumber"/>
      </w:pPr>
      <w:r>
        <w:rPr>
          <w:rFonts w:ascii="Calibri" w:hAnsi="Calibri" w:eastAsia="Microsoft YaHei"/>
          <w:b w:val="0"/>
          <w:i w:val="0"/>
          <w:sz w:val="22"/>
        </w:rPr>
        <w:t>每次计算必须保存 participant_weight、task_level_weight、marginal_contribution_trace、approximation_note、algorithm_audit_snapshot。</w:t>
      </w:r>
    </w:p>
    <w:p>
      <w:pPr>
        <w:pStyle w:val="ListNumber"/>
      </w:pPr>
      <w:r>
        <w:rPr>
          <w:rFonts w:ascii="Calibri" w:hAnsi="Calibri" w:eastAsia="Microsoft YaHei"/>
          <w:b w:val="0"/>
          <w:i w:val="0"/>
          <w:sz w:val="22"/>
        </w:rPr>
        <w:t>算法审计说明不得将权重结果表述为最终结算比例。</w:t>
      </w:r>
    </w:p>
    <w:p>
      <w:pPr>
        <w:pStyle w:val="ListNumber"/>
      </w:pPr>
      <w:r>
        <w:rPr>
          <w:rFonts w:ascii="Calibri" w:hAnsi="Calibri" w:eastAsia="Microsoft YaHei"/>
          <w:b w:val="0"/>
          <w:i w:val="0"/>
          <w:sz w:val="22"/>
        </w:rPr>
        <w:t>重新计算必须生成新版本，不得覆盖历史 trace。</w:t>
      </w:r>
    </w:p>
    <w:p>
      <w:pPr>
        <w:pStyle w:val="Heading2"/>
      </w:pPr>
      <w:r>
        <w:t>8.4 MD-DShap 按钮完整功能卡</w:t>
      </w:r>
    </w:p>
    <w:p>
      <w:pPr>
        <w:pStyle w:val="Heading3"/>
      </w:pPr>
      <w:r>
        <w:t>8.4.1 MDS-011 启动 MD-DShap 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启动计算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数据包已接入；质量评估已完成；贡献度和效用值已计算；至少存在一个数据源主体；参与方集合已确认。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算法模式选择器、参与方集合表、任务集合表、参数面板、启动计算按钮、风险提示。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P、T、v(S,t)、q_i、c_i、s、seed、n、epsilon、save_marginal_detail。</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 MD_DSHAP；include_in_md_dshap=false 不得进入集合；单主体权重为 1；多主体权重合计归一化为 1；保留 6 位小数。</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确认算法说明 -&gt; 确认参与方和任务 -&gt; 选择效用函数来源 -&gt; 配置参数 -&gt; 点击启动 -&gt; 校验前置 -&gt; 执行计算 -&gt; 展示权重和 trace -&gt; 写入审计日志。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participant_weight、task_level_weight、marginal_contribution_trace、approximation_note、algorithm_audit_snapshot。</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算法审核员、业务管理员、本地操作员可操作；审计员只读。</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未完成效用计算、无数据源主体、权重归一化失败、计算失败、参与方过多均需明确提示。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记录操作人、算法模式、算法版本、参与方集合、任务集合、效用函数版本、参数快照、输入快照、输出快照、失败原因。</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完成效用计算后可启动；非数据主体不进入集合；权重合计为 1；审计说明包含输入、参数、输出和假设。</w:t>
            </w:r>
          </w:p>
        </w:tc>
      </w:tr>
    </w:tbl>
    <w:p/>
    <w:p>
      <w:pPr>
        <w:pStyle w:val="Heading3"/>
      </w:pPr>
      <w:r>
        <w:t>8.4.2 MDS-012 查看计算进度</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计算任务/进度区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存在正在运行或已完成的算法任务。</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任务状态、进度条、当前阶段、迭代轮次、耗时、刷新按钮、失败详情。</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task_id、refresh_interval；P0 可同步展示状态，P1 支持异步任务进度。</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进度只读；失败任务必须保留失败原因；已完成任务展示完成时间和结果入口。</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进入页面 -&gt; 选择任务 -&gt; 系统读取状态 -&gt; 展示进度/成功/失败 -&gt; 用户可查看详情。</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task_status、progress_percent、current_step、failure_reason。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running -&gt; success/failed/cancelled。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算法审核员、审计员、业务管理员可查看。</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任务不存在、无权限、状态读取失败需提示。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可不记录查看；P1 可记录任务状态查看行为。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计算中能看到状态；失败时能看到失败原因；完成后可跳转结果。</w:t>
            </w:r>
          </w:p>
        </w:tc>
      </w:tr>
    </w:tbl>
    <w:p/>
    <w:p>
      <w:pPr>
        <w:pStyle w:val="Heading3"/>
      </w:pPr>
      <w:r>
        <w:t>8.4.3 MDS-013 查看边际贡献明细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MDS-013</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边际贡献明细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 MD-DShap 或基线 Shapley 计算且保存明细。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任务筛选、参与方筛选、任务维度筛选、coalition_before、v_before、v_after、marginal_contribution 表。</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task_id、party_id、task_id_in_set、page、page_size。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明细只读；必须能追溯到参与方、任务、联盟、效用函数版本；数据量大时分页。</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选择算法任务 -&gt; 展示明细列表 -&gt; 用户筛选参与方/任务 -&gt; 查看公式展开。</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 视图和导出入口。</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不改变业务状态。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算法审核员、审计员可查看；业务管理员可查看汇总。</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未保存明细、任务不存在、分页失败。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可不记录查看；导出时必须记录。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每条明细包含联盟前后效用和边际贡献；能按参与方筛选。</w:t>
            </w:r>
          </w:p>
        </w:tc>
      </w:tr>
    </w:tbl>
    <w:p/>
    <w:p>
      <w:pPr>
        <w:pStyle w:val="Heading3"/>
      </w:pPr>
      <w:r>
        <w:t>8.4.4 MDS-014 查看参与方权重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MDS-014</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权重表、权重合计、算法模式、权重来源、任务级展开、导出按钮。</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task_id、weight_view_mode。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normalized_weight 合计必须为 1；权重保留 6 位小数；展示“权重参考，不是最终付款指令”。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选择任务 -&gt; 系统读取结果 -&gt; 展示综合权重 -&gt; 可展开任务级权重 -&gt; 可跳转收益分配。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 表和 task_level_weight 摘要。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不改变状态；可作为收益分配输入。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业务管理员、算法审核员、审计员可查看。</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无权重结果、合计异常、版本不匹配。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可不记录查看；收益分配引用时记录权重版本。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权重合计为 1；每个进入集合的数据源主体都有权重。</w:t>
            </w:r>
          </w:p>
        </w:tc>
      </w:tr>
    </w:tbl>
    <w:p/>
    <w:p>
      <w:pPr>
        <w:pStyle w:val="Heading3"/>
      </w:pPr>
      <w:r>
        <w:t>8.4.5 MDS-015 查看复杂度优化说明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MDS-015</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复杂度说明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已选择算法模式；最好已完成计算。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基础 Shapley 复杂度说明、MD-DShap 优化说明、参与方数量、任务数量、采样轮次、epsilon、approximation_note。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algorithm_mode、participant_count、task_count、sample_rounds、epsilon。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必须说明基础 Shapley 仅作基线；MD-DShap 的近似、动态或多任务处理不能夸大为精确枚举。</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进入说明页 -&gt; 系统读取参数 -&gt; 展示复杂度对比 -&gt; 展示本次计算近似说明。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complexity_note、approximation_note。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全部查看角色可看；算法审核员可看详细参数。</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参数缺失时展示默认说明。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不记录查看；导出审计说明时记录。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说明中包含默认策略、基线策略、参数、边界和风险提示。</w:t>
            </w:r>
          </w:p>
        </w:tc>
      </w:tr>
    </w:tbl>
    <w:p/>
    <w:p>
      <w:pPr>
        <w:pStyle w:val="Heading3"/>
      </w:pPr>
      <w:r>
        <w:t>8.4.6 MDS-016 重新计算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MDS-016</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重新计算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已存在算法计算结果；项目未锁定或已复制新版本。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重新计算按钮、参数确认弹窗、版本说明、影响范围提示。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source_task_id、new_parameters、recompute_reason。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不得覆盖历史结果；生成新 task_id；已锁定/已导出项目需复制新版本后重算。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点击重新计算 -&gt; 确认影响范围 -&gt; 修改或沿用参数 -&gt; 执行计算 -&gt; 生成新版本 -&gt; 展示对比。</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新算法任务、新权重、新 trace、版本对比。</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已计算权重 -&gt; 已计算权重（新版本）。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项目锁定、参数非法、重算失败。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记录原 task_id、新 task_id、参数差异、重算原因、结果。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历史结果仍可查询；新旧版本可对比。</w:t>
            </w:r>
          </w:p>
        </w:tc>
      </w:tr>
    </w:tbl>
    <w:p/>
    <w:p>
      <w:pPr>
        <w:pStyle w:val="Heading3"/>
      </w:pPr>
      <w:r>
        <w:t>8.4.7 MDS-017 导出算法结果（当前后端缺口/禁用）</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MDS-017</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导出算法结果（当前前端禁用）</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导出算法结果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导出按钮、文件类型选择、字段清单预览、版本号。</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task_id、export_format、field_scope。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当前后端未提供纯算法权重结果导出接口，前端 stateGuards.ts 禁用本按钮；P0 使用 MDS-018/REP-006 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用户查看禁用原因 -&gt; 如需导出算法说明，改用“生成算法审计说明”。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无；不得生成 mock 文件或伪造 ReportRecord。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无结果、字段缺失、写入失败。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不写成功导出日志。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按钮显示后端缺口/禁用原因；MDS-018 可生成算法审计说明。</w:t>
            </w:r>
          </w:p>
        </w:tc>
      </w:tr>
    </w:tbl>
    <w:p/>
    <w:p>
      <w:pPr>
        <w:pStyle w:val="Heading3"/>
      </w:pPr>
      <w:r>
        <w:t>8.4.8 MDS-018 生成算法审计说明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MDS-018</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 报告生成与导出 -&gt; 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 MD-DShap 计算；算法快照完整。</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审计说明按钮、算法输入区、参数区、输出区、假设与边界区。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task_id、include_trace、include_baseline_comparison、disclaimer_template。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必须披露算法模式、参数、效用函数来源、近似假设、边界说明；不得写成最终结算结论。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选择算法任务 -&gt; 系统汇总输入/参数/输出/假设 -&gt; 生成 Markdown 审计说明 -&gt; 可导出。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可进入已导出。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快照缺失、未完成计算、模板缺失。</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记录生成时间、算法版本、快照 ID、文件 checksum。</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审计说明覆盖输入、参数、输出、假设、边界和免责声明。</w:t>
            </w:r>
          </w:p>
        </w:tc>
      </w:tr>
    </w:tbl>
    <w:p/>
    <w:p>
      <w:pPr>
        <w:pStyle w:val="Heading1"/>
      </w:pPr>
      <w:r>
        <w:t>9. 报告导出文件与字段清单</w:t>
      </w:r>
    </w:p>
    <w:p>
      <w:r>
        <w:rPr>
          <w:rFonts w:ascii="Calibri" w:hAnsi="Calibri" w:eastAsia="Microsoft YaHei"/>
          <w:b w:val="0"/>
          <w:i w:val="0"/>
          <w:sz w:val="22"/>
        </w:rPr>
        <w:t>本章用于补齐 GAP-005。P0 不只声明文件类型，必须明确每个导出文件的字段或章节清单。CSV/JSON 字段用于测试验收和审计追溯；Markdown 报告使用章节字段描述。</w:t>
      </w:r>
    </w:p>
    <w:p>
      <w:pPr>
        <w:keepNext/>
      </w:pPr>
      <w:r>
        <w:rPr>
          <w:rFonts w:ascii="Calibri" w:hAnsi="Calibri" w:eastAsia="Microsoft YaHei"/>
          <w:b/>
          <w:color w:val="1F4D78"/>
          <w:sz w:val="20"/>
        </w:rPr>
        <w:t>1. allocation_result.json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total_revenue; contract_ratio_plan; contract_ratio_items; non_data_contract_amount; data_provider_revenue_pool; allocation_mode; weight_source; results\[\]; rounding_note; 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2. allocation_result.csv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party_id; party_name; raw_weight; normalized_weight; contract_ratio; base_pool_amount; final_amount; amount_source; 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3. source_level_allocation.csv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source_level_allocation.csv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party_id; party_name; party_type; is_data_provider; raw_weight; normalized_weight; contract_ratio; base_pool_amount; pre_constraint_amount; post_constraint_amount; final_amount; amount_source; constraint_adjustment_reason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4. allocation_summary.md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项目摘要; 输入说明; 参与方摘要; 总收益; 合同比例方案; 非数据主体合同金额; 数据源收益池; 算法模式; 分配结果; 尾差说明; 模拟参考声明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5. quality_assessment_report.md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total_score; quality_level; quality_factor; dimension_scores; evidence_summary; low_quality_warning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已完成质量评估。</w:t>
            </w:r>
          </w:p>
        </w:tc>
      </w:tr>
    </w:tbl>
    <w:p>
      <w:pPr>
        <w:spacing w:after="40"/>
      </w:pPr>
    </w:p>
    <w:p>
      <w:pPr>
        <w:keepNext/>
      </w:pPr>
      <w:r>
        <w:rPr>
          <w:rFonts w:ascii="Calibri" w:hAnsi="Calibri" w:eastAsia="Microsoft YaHei"/>
          <w:b/>
          <w:color w:val="1F4D78"/>
          <w:sz w:val="20"/>
        </w:rPr>
        <w:t>6. resource_quality_assessment_result.json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resource_quality_assessment_result.json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resource_assessment_id; resource_id; resource_name; modality; resource_score; resource_level; resource_quality_factor; metric_version; weights; scores; evidence; warnings;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已完成后端逐资源质量评估。</w:t>
            </w:r>
          </w:p>
        </w:tc>
      </w:tr>
    </w:tbl>
    <w:p>
      <w:pPr>
        <w:spacing w:after="40"/>
      </w:pPr>
    </w:p>
    <w:p>
      <w:pPr>
        <w:keepNext/>
      </w:pPr>
      <w:r>
        <w:rPr>
          <w:rFonts w:ascii="Calibri" w:hAnsi="Calibri" w:eastAsia="Microsoft YaHei"/>
          <w:b/>
          <w:color w:val="1F4D78"/>
          <w:sz w:val="20"/>
        </w:rPr>
        <w:t>7. resource_quality_assessment.csv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resource_quality_assessment.csv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resource_assessment_id; resource_id; resource_name; modality; dimension_code; dimension_name; parent_dimension_code; weight; score; evidence_summary; rule_code; issue_count;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已完成后端逐资源质量评估。</w:t>
            </w:r>
          </w:p>
        </w:tc>
      </w:tr>
    </w:tbl>
    <w:p>
      <w:pPr>
        <w:spacing w:after="40"/>
      </w:pPr>
    </w:p>
    <w:p>
      <w:pPr>
        <w:keepNext/>
      </w:pPr>
      <w:r>
        <w:rPr>
          <w:rFonts w:ascii="Calibri" w:hAnsi="Calibri" w:eastAsia="Microsoft YaHei"/>
          <w:b/>
          <w:color w:val="1F4D78"/>
          <w:sz w:val="20"/>
        </w:rPr>
        <w:t>8. quality_assessment_result.json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project_id; package_id; metric_version; weights; scores; quality_factor; evidence; warnings;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已完成质量评估。</w:t>
            </w:r>
          </w:p>
        </w:tc>
      </w:tr>
    </w:tbl>
    <w:p>
      <w:pPr>
        <w:spacing w:after="40"/>
      </w:pPr>
    </w:p>
    <w:p>
      <w:pPr>
        <w:keepNext/>
      </w:pPr>
      <w:r>
        <w:rPr>
          <w:rFonts w:ascii="Calibri" w:hAnsi="Calibri" w:eastAsia="Microsoft YaHei"/>
          <w:b/>
          <w:color w:val="1F4D78"/>
          <w:sz w:val="20"/>
        </w:rPr>
        <w:t>9. shuyuan_metering_statement.md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shuyuan_metering_statement.md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metering_id; base_shuyuan_price; scenario_coefficient; quality_coefficient; technology_coefficient; expert_coefficient; development_coefficient; call_count; metering_amount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已完成数元计量。</w:t>
            </w:r>
          </w:p>
        </w:tc>
      </w:tr>
    </w:tbl>
    <w:p>
      <w:pPr>
        <w:spacing w:after="40"/>
      </w:pPr>
    </w:p>
    <w:p>
      <w:pPr>
        <w:keepNext/>
      </w:pPr>
      <w:r>
        <w:rPr>
          <w:rFonts w:ascii="Calibri" w:hAnsi="Calibri" w:eastAsia="Microsoft YaHei"/>
          <w:b/>
          <w:color w:val="1F4D78"/>
          <w:sz w:val="20"/>
        </w:rPr>
        <w:t>10. contribution_utility_result.csv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contribution_utility_result.csv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party_id; valid_units; usage_weight; coverage_weight; scarcity_weight; contribution_score; normalized_contribution; quality_factor; usage_factor; scenario_factor; utility_value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已完成贡献度与效用计算。</w:t>
            </w:r>
          </w:p>
        </w:tc>
      </w:tr>
    </w:tbl>
    <w:p>
      <w:pPr>
        <w:spacing w:after="40"/>
      </w:pPr>
    </w:p>
    <w:p>
      <w:pPr>
        <w:keepNext/>
      </w:pPr>
      <w:r>
        <w:rPr>
          <w:rFonts w:ascii="Calibri" w:hAnsi="Calibri" w:eastAsia="Microsoft YaHei"/>
          <w:b/>
          <w:color w:val="1F4D78"/>
          <w:sz w:val="20"/>
        </w:rPr>
        <w:t>11. md_dshap_result.json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algorithm_mode; participant_set; task_set; seed; sample_rounds; epsilon; participant_weight; task_level_weight; approximation_note; algorithm_version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 计算。</w:t>
            </w:r>
          </w:p>
        </w:tc>
      </w:tr>
    </w:tbl>
    <w:p>
      <w:pPr>
        <w:spacing w:after="40"/>
      </w:pPr>
    </w:p>
    <w:p>
      <w:pPr>
        <w:keepNext/>
      </w:pPr>
      <w:r>
        <w:rPr>
          <w:rFonts w:ascii="Calibri" w:hAnsi="Calibri" w:eastAsia="Microsoft YaHei"/>
          <w:b/>
          <w:color w:val="1F4D78"/>
          <w:sz w:val="20"/>
        </w:rPr>
        <w:t>12. md_dshap_marginal_trace.csv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md_dshap_marginal_trace.csv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task_key; iteration_no; coalition_key; party_id; marginal_contribution; cumulative_weight; seed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已保存边际贡献明细。</w:t>
            </w:r>
          </w:p>
        </w:tc>
      </w:tr>
    </w:tbl>
    <w:p>
      <w:pPr>
        <w:spacing w:after="40"/>
      </w:pPr>
    </w:p>
    <w:p>
      <w:pPr>
        <w:keepNext/>
      </w:pPr>
      <w:r>
        <w:rPr>
          <w:rFonts w:ascii="Calibri" w:hAnsi="Calibri" w:eastAsia="Microsoft YaHei"/>
          <w:b/>
          <w:color w:val="1F4D78"/>
          <w:sz w:val="20"/>
        </w:rPr>
        <w:t>13. md_dshap_audit_report.md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algorithm_mode; algorithm_version; input_snapshot; utility_source; parameters; v(S,t); approximation_assumption; boundary_note; participant_weight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 计算。</w:t>
            </w:r>
          </w:p>
        </w:tc>
      </w:tr>
    </w:tbl>
    <w:p>
      <w:pPr>
        <w:spacing w:after="40"/>
      </w:pPr>
    </w:p>
    <w:p>
      <w:pPr>
        <w:keepNext/>
      </w:pPr>
      <w:r>
        <w:rPr>
          <w:rFonts w:ascii="Calibri" w:hAnsi="Calibri" w:eastAsia="Microsoft YaHei"/>
          <w:b/>
          <w:color w:val="1F4D78"/>
          <w:sz w:val="20"/>
        </w:rPr>
        <w:t>14. audit_log.jsonl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log_id; project_id; module_code; operation_type; object_type; object_id; operator_id; before_value; after_value; status; failure_reason;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存在操作或计算日志。</w:t>
            </w:r>
          </w:p>
        </w:tc>
      </w:tr>
    </w:tbl>
    <w:p>
      <w:pPr>
        <w:spacing w:after="40"/>
      </w:pPr>
    </w:p>
    <w:p>
      <w:pPr>
        <w:keepNext/>
      </w:pPr>
      <w:r>
        <w:rPr>
          <w:rFonts w:ascii="Calibri" w:hAnsi="Calibri" w:eastAsia="Microsoft YaHei"/>
          <w:b/>
          <w:color w:val="1F4D78"/>
          <w:sz w:val="20"/>
        </w:rPr>
        <w:t>15. assumptions.json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assumptions.json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assumptions\[\]; algorithm_boundary; data_boundary; contract_boundary; version_info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生成报告时同步输出。</w:t>
            </w:r>
          </w:p>
        </w:tc>
      </w:tr>
    </w:tbl>
    <w:p>
      <w:pPr>
        <w:spacing w:after="40"/>
      </w:pPr>
    </w:p>
    <w:p>
      <w:pPr>
        <w:keepNext/>
      </w:pPr>
      <w:r>
        <w:rPr>
          <w:rFonts w:ascii="Calibri" w:hAnsi="Calibri" w:eastAsia="Microsoft YaHei"/>
          <w:b/>
          <w:color w:val="1F4D78"/>
          <w:sz w:val="20"/>
        </w:rPr>
        <w:t>16. allocation_confirmation_statement.md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allocation_confirmation_statement.md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confirmation_id; project_id; scenario_id; allocation_version; confirmed_by; confirmed_at; summary_table; manual_notes; contract_boundary_note; simulation_disclaimer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已锁定分配方案。</w:t>
            </w:r>
          </w:p>
        </w:tc>
      </w:tr>
    </w:tbl>
    <w:p>
      <w:pPr>
        <w:spacing w:after="40"/>
      </w:pPr>
    </w:p>
    <w:p>
      <w:pPr>
        <w:keepNext/>
      </w:pPr>
      <w:r>
        <w:rPr>
          <w:rFonts w:ascii="Calibri" w:hAnsi="Calibri" w:eastAsia="Microsoft YaHei"/>
          <w:b/>
          <w:color w:val="1F4D78"/>
          <w:sz w:val="20"/>
        </w:rPr>
        <w:t>17. report_manifest.json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report_manifest.json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建议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report_id; project_id; generated_at; files\[\]; file_name; file_type; checksum; source_result_id; created_by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一次导出多个文件时生成。</w:t>
            </w:r>
          </w:p>
        </w:tc>
      </w:tr>
    </w:tbl>
    <w:p>
      <w:pPr>
        <w:spacing w:after="40"/>
      </w:pPr>
    </w:p>
    <w:p>
      <w:pPr>
        <w:pStyle w:val="Heading2"/>
      </w:pPr>
      <w:r>
        <w:t>9.1 source_level_allocation.csv 字段明细</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788"/>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1194"/>
            <w:shd w:fill="E8EEF5"/>
            <w:tcMar>
              <w:top w:w="80" w:type="dxa"/>
              <w:start w:w="120" w:type="dxa"/>
              <w:bottom w:w="80" w:type="dxa"/>
              <w:end w:w="120" w:type="dxa"/>
            </w:tcMar>
            <w:vAlign w:val="center"/>
          </w:tcPr>
          <w:p>
            <w:pPr>
              <w:spacing w:after="0"/>
            </w:pPr>
            <w:r>
              <w:rPr>
                <w:rFonts w:ascii="Calibri" w:hAnsi="Calibri" w:eastAsia="Microsoft YaHei"/>
                <w:b/>
                <w:i w:val="0"/>
                <w:sz w:val="18"/>
              </w:rPr>
              <w:t>类型</w:t>
            </w:r>
          </w:p>
        </w:tc>
        <w:tc>
          <w:tcPr>
            <w:tcW w:type="dxa" w:w="1194"/>
            <w:shd w:fill="E8EEF5"/>
            <w:tcMar>
              <w:top w:w="80" w:type="dxa"/>
              <w:start w:w="120" w:type="dxa"/>
              <w:bottom w:w="80" w:type="dxa"/>
              <w:end w:w="120" w:type="dxa"/>
            </w:tcMar>
            <w:vAlign w:val="center"/>
          </w:tcPr>
          <w:p>
            <w:pPr>
              <w:spacing w:after="0"/>
            </w:pPr>
            <w:r>
              <w:rPr>
                <w:rFonts w:ascii="Calibri" w:hAnsi="Calibri" w:eastAsia="Microsoft YaHei"/>
                <w:b/>
                <w:i w:val="0"/>
                <w:sz w:val="18"/>
              </w:rPr>
              <w:t>必填</w:t>
            </w:r>
          </w:p>
        </w:tc>
        <w:tc>
          <w:tcPr>
            <w:tcW w:type="dxa" w:w="4184"/>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项目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scenario_id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分配场景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party_name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参与方名称。</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Enum</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参与方类型，如 DATA_PROVIDER、OPERATOR、PILOT_BASE。</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is_data_provider</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Boolean</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是否为数据源主体；只有 true 默认进入数据源收益池。</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raw_weight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原始权重，数据源主体来自 MD-DShap，非数据主体为 0。</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normalized_weight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归一化后权重，同一收益池内合计为 1。</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contract_ratio</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否</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非数据主体的合同比例；数据源主体为空。</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base_pool_amount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计算该主体金额使用的基础金额池。</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pre_constraint_amount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合同比例路径下等于最终模拟前金额。</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post_constraint_amount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合同比例路径下等于最终金额，除尾差外不做约束调整。</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amount_source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CONTRACT_RATIO 或 MD_DSHAP_WEIGHT。</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constraint_adjustment_reason</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否</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合同比例路径下记录金额来源或尾差说明。</w:t>
            </w:r>
          </w:p>
        </w:tc>
      </w:tr>
    </w:tbl>
    <w:p/>
    <w:p>
      <w:pPr>
        <w:pStyle w:val="Heading2"/>
      </w:pPr>
      <w:r>
        <w:t>9.2 MD-DShap 算法输出字段明细</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98"/>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2725"/>
            <w:shd w:fill="E8EEF5"/>
            <w:tcMar>
              <w:top w:w="80" w:type="dxa"/>
              <w:start w:w="120" w:type="dxa"/>
              <w:bottom w:w="80" w:type="dxa"/>
              <w:end w:w="120" w:type="dxa"/>
            </w:tcMar>
            <w:vAlign w:val="center"/>
          </w:tcPr>
          <w:p>
            <w:pPr>
              <w:spacing w:after="0"/>
            </w:pPr>
            <w:r>
              <w:rPr>
                <w:rFonts w:ascii="Calibri" w:hAnsi="Calibri" w:eastAsia="Microsoft YaHei"/>
                <w:b/>
                <w:i w:val="0"/>
                <w:sz w:val="18"/>
              </w:rPr>
              <w:t>类型</w:t>
            </w:r>
          </w:p>
        </w:tc>
        <w:tc>
          <w:tcPr>
            <w:tcW w:type="dxa" w:w="3437"/>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Map\&lt;party_id, Decimal&gt;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参与方综合权重，归一化后合计为 1。</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List\&lt;TaskWeight&gt;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任务维度权重，解释不同任务下的参与方贡献。</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List\&lt;TraceRow&gt;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边际贡献明细，支撑算法审计。</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近似、动态估值、采样轮次、epsilon、随机种子的说明。</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Object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输入、参数、算法版本、输出、假设和边界的完整快照。</w:t>
            </w:r>
          </w:p>
        </w:tc>
      </w:tr>
    </w:tbl>
    <w:p/>
    <w:p>
      <w:pPr>
        <w:pStyle w:val="Heading1"/>
      </w:pPr>
      <w:r>
        <w:t>10. 非功能需求</w:t>
      </w:r>
    </w:p>
    <w:p>
      <w:pPr>
        <w:pStyle w:val="Heading2"/>
      </w:pPr>
      <w:r>
        <w:t>10.1 性能需求</w:t>
      </w:r>
    </w:p>
    <w:p>
      <w:pPr>
        <w:pStyle w:val="ListNumber"/>
      </w:pPr>
      <w:r>
        <w:rPr>
          <w:rFonts w:ascii="Calibri" w:hAnsi="Calibri" w:eastAsia="Microsoft YaHei"/>
          <w:b w:val="0"/>
          <w:i w:val="0"/>
          <w:sz w:val="22"/>
        </w:rPr>
        <w:t>普通列表查询响应时间不超过 2 秒。</w:t>
      </w:r>
    </w:p>
    <w:p>
      <w:pPr>
        <w:pStyle w:val="ListNumber"/>
      </w:pPr>
      <w:r>
        <w:rPr>
          <w:rFonts w:ascii="Calibri" w:hAnsi="Calibri" w:eastAsia="Microsoft YaHei"/>
          <w:b w:val="0"/>
          <w:i w:val="0"/>
          <w:sz w:val="22"/>
        </w:rPr>
        <w:t>单个演示数据包质量评估响应时间不超过 10 秒。</w:t>
      </w:r>
    </w:p>
    <w:p>
      <w:pPr>
        <w:pStyle w:val="ListNumber"/>
      </w:pPr>
      <w:r>
        <w:rPr>
          <w:rFonts w:ascii="Calibri" w:hAnsi="Calibri" w:eastAsia="Microsoft YaHei"/>
          <w:b w:val="0"/>
          <w:i w:val="0"/>
          <w:sz w:val="22"/>
        </w:rPr>
        <w:t>P0 同步 MD-DShap 计算应在演示样例规模下可完成。</w:t>
      </w:r>
    </w:p>
    <w:p>
      <w:pPr>
        <w:pStyle w:val="ListNumber"/>
      </w:pPr>
      <w:r>
        <w:rPr>
          <w:rFonts w:ascii="Calibri" w:hAnsi="Calibri" w:eastAsia="Microsoft YaHei"/>
          <w:b w:val="0"/>
          <w:i w:val="0"/>
          <w:sz w:val="22"/>
        </w:rPr>
        <w:t>P1 支持 MD-DShap 异步执行和进度查看。</w:t>
      </w:r>
    </w:p>
    <w:p>
      <w:pPr>
        <w:pStyle w:val="ListNumber"/>
      </w:pPr>
      <w:r>
        <w:rPr>
          <w:rFonts w:ascii="Calibri" w:hAnsi="Calibri" w:eastAsia="Microsoft YaHei"/>
          <w:b w:val="0"/>
          <w:i w:val="0"/>
          <w:sz w:val="22"/>
        </w:rPr>
        <w:t>报告导出时间不超过 30 秒。</w:t>
      </w:r>
    </w:p>
    <w:p>
      <w:pPr>
        <w:pStyle w:val="ListNumber"/>
      </w:pPr>
      <w:r>
        <w:rPr>
          <w:rFonts w:ascii="Calibri" w:hAnsi="Calibri" w:eastAsia="Microsoft YaHei"/>
          <w:b w:val="0"/>
          <w:i w:val="0"/>
          <w:sz w:val="22"/>
        </w:rPr>
        <w:t>支持至少 100 个参与方的列表管理。</w:t>
      </w:r>
    </w:p>
    <w:p>
      <w:pPr>
        <w:pStyle w:val="ListNumber"/>
      </w:pPr>
      <w:r>
        <w:rPr>
          <w:rFonts w:ascii="Calibri" w:hAnsi="Calibri" w:eastAsia="Microsoft YaHei"/>
          <w:b w:val="0"/>
          <w:i w:val="0"/>
          <w:sz w:val="22"/>
        </w:rPr>
        <w:t>参与方数量过多时，系统应提示使用 MD-DShap 或采样计算。</w:t>
      </w:r>
    </w:p>
    <w:p>
      <w:pPr>
        <w:pStyle w:val="Heading2"/>
      </w:pPr>
      <w:r>
        <w:t>10.2 安全与合规需求</w:t>
      </w:r>
    </w:p>
    <w:p>
      <w:pPr>
        <w:pStyle w:val="ListNumber"/>
      </w:pPr>
      <w:r>
        <w:rPr>
          <w:rFonts w:ascii="Calibri" w:hAnsi="Calibri" w:eastAsia="Microsoft YaHei"/>
          <w:b w:val="0"/>
          <w:i w:val="0"/>
          <w:sz w:val="22"/>
        </w:rPr>
        <w:t>P1 用户必须登录后访问后台。</w:t>
      </w:r>
    </w:p>
    <w:p>
      <w:pPr>
        <w:pStyle w:val="ListNumber"/>
      </w:pPr>
      <w:r>
        <w:rPr>
          <w:rFonts w:ascii="Calibri" w:hAnsi="Calibri" w:eastAsia="Microsoft YaHei"/>
          <w:b w:val="0"/>
          <w:i w:val="0"/>
          <w:sz w:val="22"/>
        </w:rPr>
        <w:t>不同角色只能访问授权菜单和按钮。</w:t>
      </w:r>
    </w:p>
    <w:p>
      <w:pPr>
        <w:pStyle w:val="ListNumber"/>
      </w:pPr>
      <w:r>
        <w:rPr>
          <w:rFonts w:ascii="Calibri" w:hAnsi="Calibri" w:eastAsia="Microsoft YaHei"/>
          <w:b w:val="0"/>
          <w:i w:val="0"/>
          <w:sz w:val="22"/>
        </w:rPr>
        <w:t>所有导出操作必须记录日志。</w:t>
      </w:r>
    </w:p>
    <w:p>
      <w:pPr>
        <w:pStyle w:val="ListNumber"/>
      </w:pPr>
      <w:r>
        <w:rPr>
          <w:rFonts w:ascii="Calibri" w:hAnsi="Calibri" w:eastAsia="Microsoft YaHei"/>
          <w:b w:val="0"/>
          <w:i w:val="0"/>
          <w:sz w:val="22"/>
        </w:rPr>
        <w:t>敏感字段需要脱敏展示。</w:t>
      </w:r>
    </w:p>
    <w:p>
      <w:pPr>
        <w:pStyle w:val="ListNumber"/>
      </w:pPr>
      <w:r>
        <w:rPr>
          <w:rFonts w:ascii="Calibri" w:hAnsi="Calibri" w:eastAsia="Microsoft YaHei"/>
          <w:b w:val="0"/>
          <w:i w:val="0"/>
          <w:sz w:val="22"/>
        </w:rPr>
        <w:t>删除、确认、导出、参数修改类操作必须二次确认。</w:t>
      </w:r>
    </w:p>
    <w:p>
      <w:pPr>
        <w:pStyle w:val="ListNumber"/>
      </w:pPr>
      <w:r>
        <w:rPr>
          <w:rFonts w:ascii="Calibri" w:hAnsi="Calibri" w:eastAsia="Microsoft YaHei"/>
          <w:b w:val="0"/>
          <w:i w:val="0"/>
          <w:sz w:val="22"/>
        </w:rPr>
        <w:t>系统不得在报告中输出真实敏感数据。</w:t>
      </w:r>
    </w:p>
    <w:p>
      <w:pPr>
        <w:pStyle w:val="ListNumber"/>
      </w:pPr>
      <w:r>
        <w:rPr>
          <w:rFonts w:ascii="Calibri" w:hAnsi="Calibri" w:eastAsia="Microsoft YaHei"/>
          <w:b w:val="0"/>
          <w:i w:val="0"/>
          <w:sz w:val="22"/>
        </w:rPr>
        <w:t>上传页面必须提示禁止上传真实敏感数据。</w:t>
      </w:r>
    </w:p>
    <w:p>
      <w:pPr>
        <w:pStyle w:val="ListNumber"/>
      </w:pPr>
      <w:r>
        <w:rPr>
          <w:rFonts w:ascii="Calibri" w:hAnsi="Calibri" w:eastAsia="Microsoft YaHei"/>
          <w:b w:val="0"/>
          <w:i w:val="0"/>
          <w:sz w:val="22"/>
        </w:rPr>
        <w:t>导出报告必须包含“模拟参考、非法律结算”说明。</w:t>
      </w:r>
    </w:p>
    <w:p>
      <w:pPr>
        <w:pStyle w:val="Heading2"/>
      </w:pPr>
      <w:r>
        <w:t>10.3 可审计需求</w:t>
      </w:r>
    </w:p>
    <w:p>
      <w:pPr>
        <w:pStyle w:val="ListNumber"/>
      </w:pPr>
      <w:r>
        <w:rPr>
          <w:rFonts w:ascii="Calibri" w:hAnsi="Calibri" w:eastAsia="Microsoft YaHei"/>
          <w:b w:val="0"/>
          <w:i w:val="0"/>
          <w:sz w:val="22"/>
        </w:rPr>
        <w:t>每次计算必须保存输入快照。</w:t>
      </w:r>
    </w:p>
    <w:p>
      <w:pPr>
        <w:pStyle w:val="ListNumber"/>
      </w:pPr>
      <w:r>
        <w:rPr>
          <w:rFonts w:ascii="Calibri" w:hAnsi="Calibri" w:eastAsia="Microsoft YaHei"/>
          <w:b w:val="0"/>
          <w:i w:val="0"/>
          <w:sz w:val="22"/>
        </w:rPr>
        <w:t>每次计算必须保存参数快照。</w:t>
      </w:r>
    </w:p>
    <w:p>
      <w:pPr>
        <w:pStyle w:val="ListNumber"/>
      </w:pPr>
      <w:r>
        <w:rPr>
          <w:rFonts w:ascii="Calibri" w:hAnsi="Calibri" w:eastAsia="Microsoft YaHei"/>
          <w:b w:val="0"/>
          <w:i w:val="0"/>
          <w:sz w:val="22"/>
        </w:rPr>
        <w:t>每次计算必须保存算法版本。</w:t>
      </w:r>
    </w:p>
    <w:p>
      <w:pPr>
        <w:pStyle w:val="ListNumber"/>
      </w:pPr>
      <w:r>
        <w:rPr>
          <w:rFonts w:ascii="Calibri" w:hAnsi="Calibri" w:eastAsia="Microsoft YaHei"/>
          <w:b w:val="0"/>
          <w:i w:val="0"/>
          <w:sz w:val="22"/>
        </w:rPr>
        <w:t>每次结果确认必须保存确认人和确认时间。</w:t>
      </w:r>
    </w:p>
    <w:p>
      <w:pPr>
        <w:pStyle w:val="ListNumber"/>
      </w:pPr>
      <w:r>
        <w:rPr>
          <w:rFonts w:ascii="Calibri" w:hAnsi="Calibri" w:eastAsia="Microsoft YaHei"/>
          <w:b w:val="0"/>
          <w:i w:val="0"/>
          <w:sz w:val="22"/>
        </w:rPr>
        <w:t>每份导出报告必须有唯一编号。</w:t>
      </w:r>
    </w:p>
    <w:p>
      <w:pPr>
        <w:pStyle w:val="ListNumber"/>
      </w:pPr>
      <w:r>
        <w:rPr>
          <w:rFonts w:ascii="Calibri" w:hAnsi="Calibri" w:eastAsia="Microsoft YaHei"/>
          <w:b w:val="0"/>
          <w:i w:val="0"/>
          <w:sz w:val="22"/>
        </w:rPr>
        <w:t>已导出的报告不得被静默覆盖。</w:t>
      </w:r>
    </w:p>
    <w:p>
      <w:pPr>
        <w:pStyle w:val="ListNumber"/>
      </w:pPr>
      <w:r>
        <w:rPr>
          <w:rFonts w:ascii="Calibri" w:hAnsi="Calibri" w:eastAsia="Microsoft YaHei"/>
          <w:b w:val="0"/>
          <w:i w:val="0"/>
          <w:sz w:val="22"/>
        </w:rPr>
        <w:t>删除操作必须记录影响范围。</w:t>
      </w:r>
    </w:p>
    <w:p>
      <w:pPr>
        <w:pStyle w:val="ListNumber"/>
      </w:pPr>
      <w:r>
        <w:rPr>
          <w:rFonts w:ascii="Calibri" w:hAnsi="Calibri" w:eastAsia="Microsoft YaHei"/>
          <w:b w:val="0"/>
          <w:i w:val="0"/>
          <w:sz w:val="22"/>
        </w:rPr>
        <w:t>重新计算必须生成新版本。</w:t>
      </w:r>
    </w:p>
    <w:p>
      <w:pPr>
        <w:pStyle w:val="Heading2"/>
      </w:pPr>
      <w:r>
        <w:t>10.4 可维护性需求</w:t>
      </w:r>
    </w:p>
    <w:p>
      <w:pPr>
        <w:pStyle w:val="ListNumber"/>
      </w:pPr>
      <w:r>
        <w:rPr>
          <w:rFonts w:ascii="Calibri" w:hAnsi="Calibri" w:eastAsia="Microsoft YaHei"/>
          <w:b w:val="0"/>
          <w:i w:val="0"/>
          <w:sz w:val="22"/>
        </w:rPr>
        <w:t>计算核心应与 UI 层解耦。</w:t>
      </w:r>
    </w:p>
    <w:p>
      <w:pPr>
        <w:pStyle w:val="ListNumber"/>
      </w:pPr>
      <w:r>
        <w:rPr>
          <w:rFonts w:ascii="Calibri" w:hAnsi="Calibri" w:eastAsia="Microsoft YaHei"/>
          <w:b w:val="0"/>
          <w:i w:val="0"/>
          <w:sz w:val="22"/>
        </w:rPr>
        <w:t>报告层只消费 PipelineResult，不重新计算。</w:t>
      </w:r>
    </w:p>
    <w:p>
      <w:pPr>
        <w:pStyle w:val="ListNumber"/>
      </w:pPr>
      <w:r>
        <w:rPr>
          <w:rFonts w:ascii="Calibri" w:hAnsi="Calibri" w:eastAsia="Microsoft YaHei"/>
          <w:b w:val="0"/>
          <w:i w:val="0"/>
          <w:sz w:val="22"/>
        </w:rPr>
        <w:t>算法参数应集中配置。</w:t>
      </w:r>
    </w:p>
    <w:p>
      <w:pPr>
        <w:pStyle w:val="ListNumber"/>
      </w:pPr>
      <w:r>
        <w:rPr>
          <w:rFonts w:ascii="Calibri" w:hAnsi="Calibri" w:eastAsia="Microsoft YaHei"/>
          <w:b w:val="0"/>
          <w:i w:val="0"/>
          <w:sz w:val="22"/>
        </w:rPr>
        <w:t>输入输出 schema 应稳定。</w:t>
      </w:r>
    </w:p>
    <w:p>
      <w:pPr>
        <w:pStyle w:val="ListNumber"/>
      </w:pPr>
      <w:r>
        <w:rPr>
          <w:rFonts w:ascii="Calibri" w:hAnsi="Calibri" w:eastAsia="Microsoft YaHei"/>
          <w:b w:val="0"/>
          <w:i w:val="0"/>
          <w:sz w:val="22"/>
        </w:rPr>
        <w:t>关键计算模块应具备单元测试。</w:t>
      </w:r>
    </w:p>
    <w:p>
      <w:pPr>
        <w:pStyle w:val="ListNumber"/>
      </w:pPr>
      <w:r>
        <w:rPr>
          <w:rFonts w:ascii="Calibri" w:hAnsi="Calibri" w:eastAsia="Microsoft YaHei"/>
          <w:b w:val="0"/>
          <w:i w:val="0"/>
          <w:sz w:val="22"/>
        </w:rPr>
        <w:t>P0 示例数据应可重复跑通。</w:t>
      </w:r>
    </w:p>
    <w:p>
      <w:pPr>
        <w:pStyle w:val="Heading1"/>
      </w:pPr>
      <w:r>
        <w:t>11. 统一异常处理</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异常场景</w:t>
            </w:r>
          </w:p>
        </w:tc>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系统处理</w:t>
            </w:r>
          </w:p>
        </w:tc>
        <w:tc>
          <w:tcPr>
            <w:tcW w:type="dxa" w:w="5276"/>
            <w:shd w:fill="E8EEF5"/>
            <w:tcMar>
              <w:top w:w="80" w:type="dxa"/>
              <w:start w:w="120" w:type="dxa"/>
              <w:bottom w:w="80" w:type="dxa"/>
              <w:end w:w="120" w:type="dxa"/>
            </w:tcMar>
            <w:vAlign w:val="center"/>
          </w:tcPr>
          <w:p>
            <w:pPr>
              <w:spacing w:after="0"/>
            </w:pPr>
            <w:r>
              <w:rPr>
                <w:rFonts w:ascii="Calibri" w:hAnsi="Calibri" w:eastAsia="Microsoft YaHei"/>
                <w:b/>
                <w:i w:val="0"/>
                <w:sz w:val="18"/>
              </w:rPr>
              <w:t>用户提示</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未登录访问</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P1 跳转登录页。</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请先登录。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权限不足</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阻止操作。</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当前用户无操作权限。</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必填字段为空</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请填写 XXX。</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文件格式错误</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阻止上传。</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仅支持 JSON 文件。</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JSON 解析失败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阻止上传。</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文件解析失败，请检查 JSON 格式。</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数据为空</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当前数据包无有效数据。</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参与方不足</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简化或阻止算法。</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至少需要 1 个数据源主体。</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多参与方但无效用值</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 MD-DShap。</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请先完成效用值计算。</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权重合计异常</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阻止保存或计算。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权重配置不合法。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贡献度合计为 0</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阻止归一化。</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贡献度合计为 0，无法归一化。</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系数小于等于 0</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调用量为负</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调用量不得为负数。</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合同比例不闭合</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阻止保存或分配。</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数据源收益池比例与非数据主体比例合计必须为 1.000000。</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计算失败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保存失败日志。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计算失败，请查看详情。</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报告生成失败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保存失败日志。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报告生成失败，请稍后重试。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已导出对象被修改</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阻止直接修改。</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已导出报告的数据不可直接修改，请复制新版本。</w:t>
            </w:r>
          </w:p>
        </w:tc>
      </w:tr>
    </w:tbl>
    <w:p/>
    <w:p>
      <w:pPr>
        <w:pStyle w:val="Heading1"/>
      </w:pPr>
      <w:r>
        <w:t>12. 模块级与按钮级验收用例</w:t>
      </w:r>
    </w:p>
    <w:p>
      <w:r>
        <w:rPr>
          <w:rFonts w:ascii="Calibri" w:hAnsi="Calibri" w:eastAsia="Microsoft YaHei"/>
          <w:b w:val="0"/>
          <w:i w:val="0"/>
          <w:sz w:val="22"/>
        </w:rPr>
        <w:t>本章用于补齐“整体可跑通”之外的模块级与按钮级验收要求。用例总数 90 条，覆盖数据接入 10 条、参与方管理 10 条、质量评估 8 条、数元计量 8 条、效用计算 8 条、MD-DShap 12 条、收益分配 12 条、合同分配规则 8 条、报告导出 8 条、审计日志 6 条。</w:t>
      </w:r>
    </w:p>
    <w:p>
      <w:pPr>
        <w:pStyle w:val="Heading2"/>
      </w:pPr>
      <w:r>
        <w:t>12.1 验收用例数量汇总</w:t>
      </w:r>
    </w:p>
    <w:tbl>
      <w:tblPr>
        <w:tblStyle w:val="TableGrid"/>
        <w:tblW w:type="auto" w:w="0"/>
        <w:jc w:val="center"/>
        <w:tblLayout w:type="fixed"/>
        <w:tblLook w:firstColumn="1" w:firstRow="1" w:lastColumn="0" w:lastRow="0" w:noHBand="0" w:noVBand="1" w:val="04A0"/>
      </w:tblPr>
      <w:tblGrid>
        <w:gridCol w:w="4680"/>
        <w:gridCol w:w="4680"/>
      </w:tblGrid>
      <w:tr>
        <w:tc>
          <w:tcPr>
            <w:tcW w:type="dxa" w:w="6056"/>
            <w:shd w:fill="E8EEF5"/>
            <w:tcMar>
              <w:top w:w="80" w:type="dxa"/>
              <w:start w:w="120" w:type="dxa"/>
              <w:bottom w:w="80" w:type="dxa"/>
              <w:end w:w="120" w:type="dxa"/>
            </w:tcMar>
            <w:vAlign w:val="center"/>
          </w:tcPr>
          <w:p>
            <w:pPr>
              <w:spacing w:after="0"/>
            </w:pPr>
            <w:r>
              <w:rPr>
                <w:rFonts w:ascii="Calibri" w:hAnsi="Calibri" w:eastAsia="Microsoft YaHei"/>
                <w:b/>
                <w:i w:val="0"/>
                <w:sz w:val="18"/>
              </w:rPr>
              <w:t>模块</w:t>
            </w:r>
          </w:p>
        </w:tc>
        <w:tc>
          <w:tcPr>
            <w:tcW w:type="dxa" w:w="3304"/>
            <w:shd w:fill="E8EEF5"/>
            <w:tcMar>
              <w:top w:w="80" w:type="dxa"/>
              <w:start w:w="120" w:type="dxa"/>
              <w:bottom w:w="80" w:type="dxa"/>
              <w:end w:w="120" w:type="dxa"/>
            </w:tcMar>
            <w:vAlign w:val="center"/>
          </w:tcPr>
          <w:p>
            <w:pPr>
              <w:spacing w:after="0"/>
            </w:pPr>
            <w:r>
              <w:rPr>
                <w:rFonts w:ascii="Calibri" w:hAnsi="Calibri" w:eastAsia="Microsoft YaHei"/>
                <w:b/>
                <w:i w:val="0"/>
                <w:sz w:val="18"/>
              </w:rPr>
              <w:t>用例数量</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10</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10</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6</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合计</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94</w:t>
            </w:r>
          </w:p>
        </w:tc>
      </w:tr>
    </w:tbl>
    <w:p/>
    <w:p>
      <w:pPr>
        <w:pStyle w:val="Heading2"/>
      </w:pPr>
      <w:r>
        <w:t>12.2 验收用例明细</w:t>
      </w:r>
    </w:p>
    <w:p>
      <w:pPr>
        <w:keepNext/>
      </w:pPr>
      <w:r>
        <w:rPr>
          <w:rFonts w:ascii="Calibri" w:hAnsi="Calibri" w:eastAsia="Microsoft YaHei"/>
          <w:b/>
          <w:color w:val="1F4D78"/>
          <w:sz w:val="20"/>
        </w:rPr>
        <w:t>1. DA-001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上传合法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有合法输入文件。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DATA-003 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上传成功，生成 package_id 和 input_snapshot_id。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w:t>
            </w:r>
          </w:p>
        </w:tc>
      </w:tr>
    </w:tbl>
    <w:p>
      <w:pPr>
        <w:spacing w:after="40"/>
      </w:pPr>
    </w:p>
    <w:p>
      <w:pPr>
        <w:keepNext/>
      </w:pPr>
      <w:r>
        <w:rPr>
          <w:rFonts w:ascii="Calibri" w:hAnsi="Calibri" w:eastAsia="Microsoft YaHei"/>
          <w:b/>
          <w:color w:val="1F4D78"/>
          <w:sz w:val="20"/>
        </w:rPr>
        <w:t>2. DA-002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上传非 JSON 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txt/xlsx 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系统阻止并提示仅支持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w:t>
            </w:r>
          </w:p>
        </w:tc>
      </w:tr>
    </w:tbl>
    <w:p>
      <w:pPr>
        <w:spacing w:after="40"/>
      </w:pPr>
    </w:p>
    <w:p>
      <w:pPr>
        <w:keepNext/>
      </w:pPr>
      <w:r>
        <w:rPr>
          <w:rFonts w:ascii="Calibri" w:hAnsi="Calibri" w:eastAsia="Microsoft YaHei"/>
          <w:b/>
          <w:color w:val="1F4D78"/>
          <w:sz w:val="20"/>
        </w:rPr>
        <w:t>3. DA-003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解析失败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文件扩展名正确但内容非法。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系统提示解析失败并记录失败日志。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DATA-003/DATA-008</w:t>
            </w:r>
          </w:p>
        </w:tc>
      </w:tr>
    </w:tbl>
    <w:p>
      <w:pPr>
        <w:spacing w:after="40"/>
      </w:pPr>
    </w:p>
    <w:p>
      <w:pPr>
        <w:keepNext/>
      </w:pPr>
      <w:r>
        <w:rPr>
          <w:rFonts w:ascii="Calibri" w:hAnsi="Calibri" w:eastAsia="Microsoft YaHei"/>
          <w:b/>
          <w:color w:val="1F4D78"/>
          <w:sz w:val="20"/>
        </w:rPr>
        <w:t>4. DA-004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缺少 participants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缺少参与方字段。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系统提示缺少 participants，不生成有效数据包。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5. DA-005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revenue_pool 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输入总收益为负。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系统阻止并提示总收益不得为负。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6. DA-006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有重复 party_name。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系统提示参与方名称重复。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7. DA-007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系统有内置样例。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生成演示项目和数据包。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DATA-002</w:t>
            </w:r>
          </w:p>
        </w:tc>
      </w:tr>
    </w:tbl>
    <w:p>
      <w:pPr>
        <w:spacing w:after="40"/>
      </w:pPr>
    </w:p>
    <w:p>
      <w:pPr>
        <w:keepNext/>
      </w:pPr>
      <w:r>
        <w:rPr>
          <w:rFonts w:ascii="Calibri" w:hAnsi="Calibri" w:eastAsia="Microsoft YaHei"/>
          <w:b/>
          <w:color w:val="1F4D78"/>
          <w:sz w:val="20"/>
        </w:rPr>
        <w:t>8. DA-008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数据预览脱敏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展示字段摘要，不展示敏感原文。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DATA-007</w:t>
            </w:r>
          </w:p>
        </w:tc>
      </w:tr>
    </w:tbl>
    <w:p>
      <w:pPr>
        <w:spacing w:after="40"/>
      </w:pPr>
    </w:p>
    <w:p>
      <w:pPr>
        <w:keepNext/>
      </w:pPr>
      <w:r>
        <w:rPr>
          <w:rFonts w:ascii="Calibri" w:hAnsi="Calibri" w:eastAsia="Microsoft YaHei"/>
          <w:b/>
          <w:color w:val="1F4D78"/>
          <w:sz w:val="20"/>
        </w:rPr>
        <w:t>9. DA-009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存在上传失败记录。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展示字段级失败原因。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DATA-008</w:t>
            </w:r>
          </w:p>
        </w:tc>
      </w:tr>
    </w:tbl>
    <w:p>
      <w:pPr>
        <w:spacing w:after="40"/>
      </w:pPr>
    </w:p>
    <w:p>
      <w:pPr>
        <w:keepNext/>
      </w:pPr>
      <w:r>
        <w:rPr>
          <w:rFonts w:ascii="Calibri" w:hAnsi="Calibri" w:eastAsia="Microsoft YaHei"/>
          <w:b/>
          <w:color w:val="1F4D78"/>
          <w:sz w:val="20"/>
        </w:rPr>
        <w:t>10. DA-010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已导出数据包删除限制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数据包已被报告引用。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系统阻止直接删除并提示复制新版本。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DATA-009</w:t>
            </w:r>
          </w:p>
        </w:tc>
      </w:tr>
    </w:tbl>
    <w:p>
      <w:pPr>
        <w:spacing w:after="40"/>
      </w:pPr>
    </w:p>
    <w:p>
      <w:pPr>
        <w:keepNext/>
      </w:pPr>
      <w:r>
        <w:rPr>
          <w:rFonts w:ascii="Calibri" w:hAnsi="Calibri" w:eastAsia="Microsoft YaHei"/>
          <w:b/>
          <w:color w:val="1F4D78"/>
          <w:sz w:val="20"/>
        </w:rPr>
        <w:t>11. PM-001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进入参与方页面。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PARTY-002 并保存。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新增成功，include_in_md_dshap 默认为 true。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12. PM-002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新增运营方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进入参与方页面。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 party_type=OPERATOR。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新增成功，include_in_md_dshap 默认为 false。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13. PM-003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新增重复参与方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已有同名主体。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再次保存同名主体。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14. PM-004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编辑参与方类型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参与方未锁定。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PARTY-003 修改类型。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系统提示算法边界并保存变更日志。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PARTY-003</w:t>
            </w:r>
          </w:p>
        </w:tc>
      </w:tr>
    </w:tbl>
    <w:p>
      <w:pPr>
        <w:spacing w:after="40"/>
      </w:pPr>
    </w:p>
    <w:p>
      <w:pPr>
        <w:keepNext/>
      </w:pPr>
      <w:r>
        <w:rPr>
          <w:rFonts w:ascii="Calibri" w:hAnsi="Calibri" w:eastAsia="Microsoft YaHei"/>
          <w:b/>
          <w:color w:val="1F4D78"/>
          <w:sz w:val="20"/>
        </w:rPr>
        <w:t>15. PM-005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参与方有效且不是唯一数据源主体。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状态变为停用，不进入新计算。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w:t>
            </w:r>
          </w:p>
        </w:tc>
      </w:tr>
    </w:tbl>
    <w:p>
      <w:pPr>
        <w:spacing w:after="40"/>
      </w:pPr>
    </w:p>
    <w:p>
      <w:pPr>
        <w:keepNext/>
      </w:pPr>
      <w:r>
        <w:rPr>
          <w:rFonts w:ascii="Calibri" w:hAnsi="Calibri" w:eastAsia="Microsoft YaHei"/>
          <w:b/>
          <w:color w:val="1F4D78"/>
          <w:sz w:val="20"/>
        </w:rPr>
        <w:t>16. PM-006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停用唯一数据源主体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仅有一个数据源主体。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系统阻止并提示至少保留一个数据源主体。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w:t>
            </w:r>
          </w:p>
        </w:tc>
      </w:tr>
    </w:tbl>
    <w:p>
      <w:pPr>
        <w:spacing w:after="40"/>
      </w:pPr>
    </w:p>
    <w:p>
      <w:pPr>
        <w:keepNext/>
      </w:pPr>
      <w:r>
        <w:rPr>
          <w:rFonts w:ascii="Calibri" w:hAnsi="Calibri" w:eastAsia="Microsoft YaHei"/>
          <w:b/>
          <w:color w:val="1F4D78"/>
          <w:sz w:val="20"/>
        </w:rPr>
        <w:t>17. PM-007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关联数据资源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存在资源和数据源主体。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PARTY-006 保存关联。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资源详情同步显示关联主体。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PARTY-006</w:t>
            </w:r>
          </w:p>
        </w:tc>
      </w:tr>
    </w:tbl>
    <w:p>
      <w:pPr>
        <w:spacing w:after="40"/>
      </w:pPr>
    </w:p>
    <w:p>
      <w:pPr>
        <w:keepNext/>
      </w:pPr>
      <w:r>
        <w:rPr>
          <w:rFonts w:ascii="Calibri" w:hAnsi="Calibri" w:eastAsia="Microsoft YaHei"/>
          <w:b/>
          <w:color w:val="1F4D78"/>
          <w:sz w:val="20"/>
        </w:rPr>
        <w:t>18. PM-008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非法关联比例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多主体关联资源。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输入比例合计不合法。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PARTY-006</w:t>
            </w:r>
          </w:p>
        </w:tc>
      </w:tr>
    </w:tbl>
    <w:p>
      <w:pPr>
        <w:spacing w:after="40"/>
      </w:pPr>
    </w:p>
    <w:p>
      <w:pPr>
        <w:keepNext/>
      </w:pPr>
      <w:r>
        <w:rPr>
          <w:rFonts w:ascii="Calibri" w:hAnsi="Calibri" w:eastAsia="Microsoft YaHei"/>
          <w:b/>
          <w:color w:val="1F4D78"/>
          <w:sz w:val="20"/>
        </w:rPr>
        <w:t>19. PM-009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查看贡献结果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展示贡献度、效用值和权重来源。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PARTY-008</w:t>
            </w:r>
          </w:p>
        </w:tc>
      </w:tr>
    </w:tbl>
    <w:p>
      <w:pPr>
        <w:spacing w:after="40"/>
      </w:pPr>
    </w:p>
    <w:p>
      <w:pPr>
        <w:keepNext/>
      </w:pPr>
      <w:r>
        <w:rPr>
          <w:rFonts w:ascii="Calibri" w:hAnsi="Calibri" w:eastAsia="Microsoft YaHei"/>
          <w:b/>
          <w:color w:val="1F4D78"/>
          <w:sz w:val="20"/>
        </w:rPr>
        <w:t>20. PM-010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历史引用不可物理删除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参与方已被报告引用。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系统阻止物理删除，仅允许停用或复制新版本。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PARTY-004/PARTY-005</w:t>
            </w:r>
          </w:p>
        </w:tc>
      </w:tr>
    </w:tbl>
    <w:p>
      <w:pPr>
        <w:spacing w:after="40"/>
      </w:pPr>
    </w:p>
    <w:p>
      <w:pPr>
        <w:keepNext/>
      </w:pPr>
      <w:r>
        <w:rPr>
          <w:rFonts w:ascii="Calibri" w:hAnsi="Calibri" w:eastAsia="Microsoft YaHei"/>
          <w:b/>
          <w:color w:val="1F4D78"/>
          <w:sz w:val="20"/>
        </w:rPr>
        <w:t>21. QA-001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配置合法权重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保存一级/二级权重。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保存成功并生成参数快照。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22. QA-002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一级权重合计不为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保存非法权重。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系统提示权重配置不合法。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23. QA-003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二级权重合计不为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保存非法二级权重。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24. QA-004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权重合法且数据包已接入。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生成质量总分、等级、维度分。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w:t>
            </w:r>
          </w:p>
        </w:tc>
      </w:tr>
    </w:tbl>
    <w:p>
      <w:pPr>
        <w:spacing w:after="40"/>
      </w:pPr>
    </w:p>
    <w:p>
      <w:pPr>
        <w:keepNext/>
      </w:pPr>
      <w:r>
        <w:rPr>
          <w:rFonts w:ascii="Calibri" w:hAnsi="Calibri" w:eastAsia="Microsoft YaHei"/>
          <w:b/>
          <w:color w:val="1F4D78"/>
          <w:sz w:val="20"/>
        </w:rPr>
        <w:t>25. QA-005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空数据包评估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数据包无有效数据。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系统提示当前数据包无有效数据。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w:t>
            </w:r>
          </w:p>
        </w:tc>
      </w:tr>
    </w:tbl>
    <w:p>
      <w:pPr>
        <w:spacing w:after="40"/>
      </w:pPr>
    </w:p>
    <w:p>
      <w:pPr>
        <w:keepNext/>
      </w:pPr>
      <w:r>
        <w:rPr>
          <w:rFonts w:ascii="Calibri" w:hAnsi="Calibri" w:eastAsia="Microsoft YaHei"/>
          <w:b/>
          <w:color w:val="1F4D78"/>
          <w:sz w:val="20"/>
        </w:rPr>
        <w:t>26. QA-006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查看二级指标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展示二级指标得分和证据。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QUAL-006</w:t>
            </w:r>
          </w:p>
        </w:tc>
      </w:tr>
    </w:tbl>
    <w:p>
      <w:pPr>
        <w:spacing w:after="40"/>
      </w:pPr>
    </w:p>
    <w:p>
      <w:pPr>
        <w:keepNext/>
      </w:pPr>
      <w:r>
        <w:rPr>
          <w:rFonts w:ascii="Calibri" w:hAnsi="Calibri" w:eastAsia="Microsoft YaHei"/>
          <w:b/>
          <w:color w:val="1F4D78"/>
          <w:sz w:val="20"/>
        </w:rPr>
        <w:t>27. QA-007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低质量提示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质量分低于阈值。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显示低质量风险提示。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QUAL-008</w:t>
            </w:r>
          </w:p>
        </w:tc>
      </w:tr>
    </w:tbl>
    <w:p>
      <w:pPr>
        <w:spacing w:after="40"/>
      </w:pPr>
    </w:p>
    <w:p>
      <w:pPr>
        <w:keepNext/>
      </w:pPr>
      <w:r>
        <w:rPr>
          <w:rFonts w:ascii="Calibri" w:hAnsi="Calibri" w:eastAsia="Microsoft YaHei"/>
          <w:b/>
          <w:color w:val="1F4D78"/>
          <w:sz w:val="20"/>
        </w:rPr>
        <w:t>28. QA-008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重新评估生成新版本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已有评估结果。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 assessment_id，历史版本保留。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QUAL-009</w:t>
            </w:r>
          </w:p>
        </w:tc>
      </w:tr>
    </w:tbl>
    <w:p>
      <w:pPr>
        <w:spacing w:after="40"/>
      </w:pPr>
    </w:p>
    <w:p>
      <w:pPr>
        <w:keepNext/>
      </w:pPr>
      <w:r>
        <w:rPr>
          <w:rFonts w:ascii="Calibri" w:hAnsi="Calibri" w:eastAsia="Microsoft YaHei"/>
          <w:b/>
          <w:color w:val="1F4D78"/>
          <w:sz w:val="20"/>
        </w:rPr>
        <w:t>29. QA-009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数据包包含多个有效数据资源。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QUAL-010 或 QUAL-003。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每个有效 resource_id 均生成资源级质量总分、等级和质量系数。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bl>
    <w:p>
      <w:pPr>
        <w:spacing w:after="40"/>
      </w:pPr>
    </w:p>
    <w:p>
      <w:pPr>
        <w:keepNext/>
      </w:pPr>
      <w:r>
        <w:rPr>
          <w:rFonts w:ascii="Calibri" w:hAnsi="Calibri" w:eastAsia="Microsoft YaHei"/>
          <w:b/>
          <w:color w:val="1F4D78"/>
          <w:sz w:val="20"/>
        </w:rPr>
        <w:t>30. QA-010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包级质量分由资源级聚合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已完成资源级评估。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查看包级质量结果。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包级 score 等于资源级 score 按资源权重聚合后的结果，误差在精度范围内。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bl>
    <w:p>
      <w:pPr>
        <w:spacing w:after="40"/>
      </w:pPr>
    </w:p>
    <w:p>
      <w:pPr>
        <w:keepNext/>
      </w:pPr>
      <w:r>
        <w:rPr>
          <w:rFonts w:ascii="Calibri" w:hAnsi="Calibri" w:eastAsia="Microsoft YaHei"/>
          <w:b/>
          <w:color w:val="1F4D78"/>
          <w:sz w:val="20"/>
        </w:rPr>
        <w:t>31. QA-011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查看资源级质量明细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已完成后端逐资源评估。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resource_id、modality、一级指标、二级指标、得分和证据。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w:t>
            </w:r>
          </w:p>
        </w:tc>
      </w:tr>
    </w:tbl>
    <w:p>
      <w:pPr>
        <w:spacing w:after="40"/>
      </w:pPr>
    </w:p>
    <w:p>
      <w:pPr>
        <w:keepNext/>
      </w:pPr>
      <w:r>
        <w:rPr>
          <w:rFonts w:ascii="Calibri" w:hAnsi="Calibri" w:eastAsia="Microsoft YaHei"/>
          <w:b/>
          <w:color w:val="1F4D78"/>
          <w:sz w:val="20"/>
        </w:rPr>
        <w:t>32. QA-012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资源评估部分失败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至少一个资源缺少必要元数据。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系统标记 PARTIAL_SUCCESS 或 FAILED，并能定位失败资源和指标。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w:t>
            </w:r>
          </w:p>
        </w:tc>
      </w:tr>
    </w:tbl>
    <w:p>
      <w:pPr>
        <w:spacing w:after="40"/>
      </w:pPr>
    </w:p>
    <w:p>
      <w:pPr>
        <w:keepNext/>
      </w:pPr>
      <w:r>
        <w:rPr>
          <w:rFonts w:ascii="Calibri" w:hAnsi="Calibri" w:eastAsia="Microsoft YaHei"/>
          <w:b/>
          <w:color w:val="1F4D78"/>
          <w:sz w:val="20"/>
        </w:rPr>
        <w:t>33. DU-001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保存合法基准价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进入数元计量页面。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base_shuyuan_price &gt;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bl>
    <w:p>
      <w:pPr>
        <w:spacing w:after="40"/>
      </w:pPr>
    </w:p>
    <w:p>
      <w:pPr>
        <w:keepNext/>
      </w:pPr>
      <w:r>
        <w:rPr>
          <w:rFonts w:ascii="Calibri" w:hAnsi="Calibri" w:eastAsia="Microsoft YaHei"/>
          <w:b/>
          <w:color w:val="1F4D78"/>
          <w:sz w:val="20"/>
        </w:rPr>
        <w:t>34. DU-002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0 并保存。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系统提示必须大于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bl>
    <w:p>
      <w:pPr>
        <w:spacing w:after="40"/>
      </w:pPr>
    </w:p>
    <w:p>
      <w:pPr>
        <w:keepNext/>
      </w:pPr>
      <w:r>
        <w:rPr>
          <w:rFonts w:ascii="Calibri" w:hAnsi="Calibri" w:eastAsia="Microsoft YaHei"/>
          <w:b/>
          <w:color w:val="1F4D78"/>
          <w:sz w:val="20"/>
        </w:rPr>
        <w:t>35. DU-003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录入调用量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call_count。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bl>
    <w:p>
      <w:pPr>
        <w:spacing w:after="40"/>
      </w:pPr>
    </w:p>
    <w:p>
      <w:pPr>
        <w:keepNext/>
      </w:pPr>
      <w:r>
        <w:rPr>
          <w:rFonts w:ascii="Calibri" w:hAnsi="Calibri" w:eastAsia="Microsoft YaHei"/>
          <w:b/>
          <w:color w:val="1F4D78"/>
          <w:sz w:val="20"/>
        </w:rPr>
        <w:t>36. DU-004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进入调用量录入。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系统提示调用量不得为负。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bl>
    <w:p>
      <w:pPr>
        <w:spacing w:after="40"/>
      </w:pPr>
    </w:p>
    <w:p>
      <w:pPr>
        <w:keepNext/>
      </w:pPr>
      <w:r>
        <w:rPr>
          <w:rFonts w:ascii="Calibri" w:hAnsi="Calibri" w:eastAsia="Microsoft YaHei"/>
          <w:b/>
          <w:color w:val="1F4D78"/>
          <w:sz w:val="20"/>
        </w:rPr>
        <w:t>37. DU-005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已完成质量评估且系数合法。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DU-009。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生成资源级和参与方级计量结果。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38. DU-006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未评估直接计量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39. DU-007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调用量配置为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计量金额为 0 且不报错。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40. DU-008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DU-010。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展示公式、参数和金额明细。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DU-010</w:t>
            </w:r>
          </w:p>
        </w:tc>
      </w:tr>
    </w:tbl>
    <w:p>
      <w:pPr>
        <w:spacing w:after="40"/>
      </w:pPr>
    </w:p>
    <w:p>
      <w:pPr>
        <w:keepNext/>
      </w:pPr>
      <w:r>
        <w:rPr>
          <w:rFonts w:ascii="Calibri" w:hAnsi="Calibri" w:eastAsia="Microsoft YaHei"/>
          <w:b/>
          <w:color w:val="1F4D78"/>
          <w:sz w:val="20"/>
        </w:rPr>
        <w:t>41. UC-001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保存贡献因子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valid_units 和权重。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w:t>
            </w:r>
          </w:p>
        </w:tc>
      </w:tr>
    </w:tbl>
    <w:p>
      <w:pPr>
        <w:spacing w:after="40"/>
      </w:pPr>
    </w:p>
    <w:p>
      <w:pPr>
        <w:keepNext/>
      </w:pPr>
      <w:r>
        <w:rPr>
          <w:rFonts w:ascii="Calibri" w:hAnsi="Calibri" w:eastAsia="Microsoft YaHei"/>
          <w:b/>
          <w:color w:val="1F4D78"/>
          <w:sz w:val="20"/>
        </w:rPr>
        <w:t>42. UC-002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 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进入因子配置。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输入负数。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w:t>
            </w:r>
          </w:p>
        </w:tc>
      </w:tr>
    </w:tbl>
    <w:p>
      <w:pPr>
        <w:spacing w:after="40"/>
      </w:pPr>
    </w:p>
    <w:p>
      <w:pPr>
        <w:keepNext/>
      </w:pPr>
      <w:r>
        <w:rPr>
          <w:rFonts w:ascii="Calibri" w:hAnsi="Calibri" w:eastAsia="Microsoft YaHei"/>
          <w:b/>
          <w:color w:val="1F4D78"/>
          <w:sz w:val="20"/>
        </w:rPr>
        <w:t>43. UC-003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计算贡献度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输出贡献度和归一化贡献。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w:t>
            </w:r>
          </w:p>
        </w:tc>
      </w:tr>
    </w:tbl>
    <w:p>
      <w:pPr>
        <w:spacing w:after="40"/>
      </w:pPr>
    </w:p>
    <w:p>
      <w:pPr>
        <w:keepNext/>
      </w:pPr>
      <w:r>
        <w:rPr>
          <w:rFonts w:ascii="Calibri" w:hAnsi="Calibri" w:eastAsia="Microsoft YaHei"/>
          <w:b/>
          <w:color w:val="1F4D78"/>
          <w:sz w:val="20"/>
        </w:rPr>
        <w:t>44. UC-004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贡献度全为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 valid_units 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计算贡献度/效用。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系统提示无法归一化。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w:t>
            </w:r>
          </w:p>
        </w:tc>
      </w:tr>
    </w:tbl>
    <w:p>
      <w:pPr>
        <w:spacing w:after="40"/>
      </w:pPr>
    </w:p>
    <w:p>
      <w:pPr>
        <w:keepNext/>
      </w:pPr>
      <w:r>
        <w:rPr>
          <w:rFonts w:ascii="Calibri" w:hAnsi="Calibri" w:eastAsia="Microsoft YaHei"/>
          <w:b/>
          <w:color w:val="1F4D78"/>
          <w:sz w:val="20"/>
        </w:rPr>
        <w:t>45. UC-005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配置效用函数来源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utility_source。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保存效用函数版本。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w:t>
            </w:r>
          </w:p>
        </w:tc>
      </w:tr>
    </w:tbl>
    <w:p>
      <w:pPr>
        <w:spacing w:after="40"/>
      </w:pPr>
    </w:p>
    <w:p>
      <w:pPr>
        <w:keepNext/>
      </w:pPr>
      <w:r>
        <w:rPr>
          <w:rFonts w:ascii="Calibri" w:hAnsi="Calibri" w:eastAsia="Microsoft YaHei"/>
          <w:b/>
          <w:color w:val="1F4D78"/>
          <w:sz w:val="20"/>
        </w:rPr>
        <w:t>46. UC-006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效用因子非法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效用函数配置页。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quality_factor=0。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系统阻止保存或计算。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UTIL-007/UTIL-008</w:t>
            </w:r>
          </w:p>
        </w:tc>
      </w:tr>
    </w:tbl>
    <w:p>
      <w:pPr>
        <w:spacing w:after="40"/>
      </w:pPr>
    </w:p>
    <w:p>
      <w:pPr>
        <w:keepNext/>
      </w:pPr>
      <w:r>
        <w:rPr>
          <w:rFonts w:ascii="Calibri" w:hAnsi="Calibri" w:eastAsia="Microsoft YaHei"/>
          <w:b/>
          <w:color w:val="1F4D78"/>
          <w:sz w:val="20"/>
        </w:rPr>
        <w:t>47. UC-007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计算效用值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贡献度已归一化。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每个参与方生成 utility_value。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UTIL-008</w:t>
            </w:r>
          </w:p>
        </w:tc>
      </w:tr>
    </w:tbl>
    <w:p>
      <w:pPr>
        <w:spacing w:after="40"/>
      </w:pPr>
    </w:p>
    <w:p>
      <w:pPr>
        <w:keepNext/>
      </w:pPr>
      <w:r>
        <w:rPr>
          <w:rFonts w:ascii="Calibri" w:hAnsi="Calibri" w:eastAsia="Microsoft YaHei"/>
          <w:b/>
          <w:color w:val="1F4D78"/>
          <w:sz w:val="20"/>
        </w:rPr>
        <w:t>48. UC-008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可追溯贡献、质量、场景参数。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UTIL-009</w:t>
            </w:r>
          </w:p>
        </w:tc>
      </w:tr>
    </w:tbl>
    <w:p>
      <w:pPr>
        <w:spacing w:after="40"/>
      </w:pPr>
    </w:p>
    <w:p>
      <w:pPr>
        <w:keepNext/>
      </w:pPr>
      <w:r>
        <w:rPr>
          <w:rFonts w:ascii="Calibri" w:hAnsi="Calibri" w:eastAsia="Microsoft YaHei"/>
          <w:b/>
          <w:color w:val="1F4D78"/>
          <w:sz w:val="20"/>
        </w:rPr>
        <w:t>49. MDS-001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默认算法为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进入算法页面。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查看算法模式。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默认选择 MD_DSHAP。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MDS-002/MDS-004</w:t>
            </w:r>
          </w:p>
        </w:tc>
      </w:tr>
    </w:tbl>
    <w:p>
      <w:pPr>
        <w:spacing w:after="40"/>
      </w:pPr>
    </w:p>
    <w:p>
      <w:pPr>
        <w:keepNext/>
      </w:pPr>
      <w:r>
        <w:rPr>
          <w:rFonts w:ascii="Calibri" w:hAnsi="Calibri" w:eastAsia="Microsoft YaHei"/>
          <w:b/>
          <w:color w:val="1F4D78"/>
          <w:sz w:val="20"/>
        </w:rPr>
        <w:t>50. MDS-002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基础 Shapley 作为基线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参与方数量较少。</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启用 baseline_check。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基础 Shapley 结果仅显示为基线。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MDS-003</w:t>
            </w:r>
          </w:p>
        </w:tc>
      </w:tr>
    </w:tbl>
    <w:p>
      <w:pPr>
        <w:spacing w:after="40"/>
      </w:pPr>
    </w:p>
    <w:p>
      <w:pPr>
        <w:keepNext/>
      </w:pPr>
      <w:r>
        <w:rPr>
          <w:rFonts w:ascii="Calibri" w:hAnsi="Calibri" w:eastAsia="Microsoft YaHei"/>
          <w:b/>
          <w:color w:val="1F4D78"/>
          <w:sz w:val="20"/>
        </w:rPr>
        <w:t>51. MDS-003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单数据源主体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权重为 1，展示简化说明。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52. MDS-004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多主体 MD-DShap 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多个数据源主体且有效用值。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输出权重且合计为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53. MDS-005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非数据主体隔离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存在运营方或中试基地。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启动算法。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非数据主体不进入 participant_set。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MDS-005/MDS-011</w:t>
            </w:r>
          </w:p>
        </w:tc>
      </w:tr>
    </w:tbl>
    <w:p>
      <w:pPr>
        <w:spacing w:after="40"/>
      </w:pPr>
    </w:p>
    <w:p>
      <w:pPr>
        <w:keepNext/>
      </w:pPr>
      <w:r>
        <w:rPr>
          <w:rFonts w:ascii="Calibri" w:hAnsi="Calibri" w:eastAsia="Microsoft YaHei"/>
          <w:b/>
          <w:color w:val="1F4D78"/>
          <w:sz w:val="20"/>
        </w:rPr>
        <w:t>54. MDS-006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 UtilityRecord。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55. MDS-007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算法任务运行中。</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展示运行状态或失败原因。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bl>
    <w:p>
      <w:pPr>
        <w:spacing w:after="40"/>
      </w:pPr>
    </w:p>
    <w:p>
      <w:pPr>
        <w:keepNext/>
      </w:pPr>
      <w:r>
        <w:rPr>
          <w:rFonts w:ascii="Calibri" w:hAnsi="Calibri" w:eastAsia="Microsoft YaHei"/>
          <w:b/>
          <w:color w:val="1F4D78"/>
          <w:sz w:val="20"/>
        </w:rPr>
        <w:t>56. MDS-008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coalition、v_before、v_after、marginal_contribution。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MDS-013</w:t>
            </w:r>
          </w:p>
        </w:tc>
      </w:tr>
    </w:tbl>
    <w:p>
      <w:pPr>
        <w:spacing w:after="40"/>
      </w:pPr>
    </w:p>
    <w:p>
      <w:pPr>
        <w:keepNext/>
      </w:pPr>
      <w:r>
        <w:rPr>
          <w:rFonts w:ascii="Calibri" w:hAnsi="Calibri" w:eastAsia="Microsoft YaHei"/>
          <w:b/>
          <w:color w:val="1F4D78"/>
          <w:sz w:val="20"/>
        </w:rPr>
        <w:t>57. MDS-009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 和合计。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MDS-014</w:t>
            </w:r>
          </w:p>
        </w:tc>
      </w:tr>
    </w:tbl>
    <w:p>
      <w:pPr>
        <w:spacing w:after="40"/>
      </w:pPr>
    </w:p>
    <w:p>
      <w:pPr>
        <w:keepNext/>
      </w:pPr>
      <w:r>
        <w:rPr>
          <w:rFonts w:ascii="Calibri" w:hAnsi="Calibri" w:eastAsia="Microsoft YaHei"/>
          <w:b/>
          <w:color w:val="1F4D78"/>
          <w:sz w:val="20"/>
        </w:rPr>
        <w:t>58. MDS-010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查看复杂度说明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已配置算法参数。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展示复杂度优化和近似说明。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MDS-015</w:t>
            </w:r>
          </w:p>
        </w:tc>
      </w:tr>
    </w:tbl>
    <w:p>
      <w:pPr>
        <w:spacing w:after="40"/>
      </w:pPr>
    </w:p>
    <w:p>
      <w:pPr>
        <w:keepNext/>
      </w:pPr>
      <w:r>
        <w:rPr>
          <w:rFonts w:ascii="Calibri" w:hAnsi="Calibri" w:eastAsia="Microsoft YaHei"/>
          <w:b/>
          <w:color w:val="1F4D78"/>
          <w:sz w:val="20"/>
        </w:rPr>
        <w:t>59. MDS-011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重新计算不覆盖历史</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已有算法结果。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 task_id，历史结果可查。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MDS-016</w:t>
            </w:r>
          </w:p>
        </w:tc>
      </w:tr>
    </w:tbl>
    <w:p>
      <w:pPr>
        <w:spacing w:after="40"/>
      </w:pPr>
    </w:p>
    <w:p>
      <w:pPr>
        <w:keepNext/>
      </w:pPr>
      <w:r>
        <w:rPr>
          <w:rFonts w:ascii="Calibri" w:hAnsi="Calibri" w:eastAsia="Microsoft YaHei"/>
          <w:b/>
          <w:color w:val="1F4D78"/>
          <w:sz w:val="20"/>
        </w:rPr>
        <w:t>60. MDS-012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报告包含算法模式、参数、效用来源、假设和边界。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MDS-018</w:t>
            </w:r>
          </w:p>
        </w:tc>
      </w:tr>
    </w:tbl>
    <w:p>
      <w:pPr>
        <w:spacing w:after="40"/>
      </w:pPr>
    </w:p>
    <w:p>
      <w:pPr>
        <w:keepNext/>
      </w:pPr>
      <w:r>
        <w:rPr>
          <w:rFonts w:ascii="Calibri" w:hAnsi="Calibri" w:eastAsia="Microsoft YaHei"/>
          <w:b/>
          <w:color w:val="1F4D78"/>
          <w:sz w:val="20"/>
        </w:rPr>
        <w:t>61. AL-001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进入收益分配页面。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total_revenue。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保存成功，金额保留 2 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w:t>
            </w:r>
          </w:p>
        </w:tc>
      </w:tr>
    </w:tbl>
    <w:p>
      <w:pPr>
        <w:spacing w:after="40"/>
      </w:pPr>
    </w:p>
    <w:p>
      <w:pPr>
        <w:keepNext/>
      </w:pPr>
      <w:r>
        <w:rPr>
          <w:rFonts w:ascii="Calibri" w:hAnsi="Calibri" w:eastAsia="Microsoft YaHei"/>
          <w:b/>
          <w:color w:val="1F4D78"/>
          <w:sz w:val="20"/>
        </w:rPr>
        <w:t>62. AL-002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进入收益配置。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系统提示总收益不得为负。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w:t>
            </w:r>
          </w:p>
        </w:tc>
      </w:tr>
    </w:tbl>
    <w:p>
      <w:pPr>
        <w:spacing w:after="40"/>
      </w:pPr>
    </w:p>
    <w:p>
      <w:pPr>
        <w:keepNext/>
      </w:pPr>
      <w:r>
        <w:rPr>
          <w:rFonts w:ascii="Calibri" w:hAnsi="Calibri" w:eastAsia="Microsoft YaHei"/>
          <w:b/>
          <w:color w:val="1F4D78"/>
          <w:sz w:val="20"/>
        </w:rPr>
        <w:t>63. AL-003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保存数据源收益池比例和非数据主体比例。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保存后后端返回 contract_ratio_plan、contract_ratio_items 和可模拟状态。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64. AL-004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比例合计不为 100%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合同比例合计不等于 1.000000。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 ratio_sum 不合法，不生成数据源收益池。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CONS-003/ALLOC-011</w:t>
            </w:r>
          </w:p>
        </w:tc>
      </w:tr>
    </w:tbl>
    <w:p>
      <w:pPr>
        <w:spacing w:after="40"/>
      </w:pPr>
    </w:p>
    <w:p>
      <w:pPr>
        <w:keepNext/>
      </w:pPr>
      <w:r>
        <w:rPr>
          <w:rFonts w:ascii="Calibri" w:hAnsi="Calibri" w:eastAsia="Microsoft YaHei"/>
          <w:b/>
          <w:color w:val="1F4D78"/>
          <w:sz w:val="20"/>
        </w:rPr>
        <w:t>65. AL-005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MD-DShap 分配模式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已完成算法权重。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MD_DSHAP_WEIGHT。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系统允许执行模拟。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w:t>
            </w:r>
          </w:p>
        </w:tc>
      </w:tr>
    </w:tbl>
    <w:p>
      <w:pPr>
        <w:spacing w:after="40"/>
      </w:pPr>
    </w:p>
    <w:p>
      <w:pPr>
        <w:keepNext/>
      </w:pPr>
      <w:r>
        <w:rPr>
          <w:rFonts w:ascii="Calibri" w:hAnsi="Calibri" w:eastAsia="Microsoft YaHei"/>
          <w:b/>
          <w:color w:val="1F4D78"/>
          <w:sz w:val="20"/>
        </w:rPr>
        <w:t>66. AL-006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 MD-DShap 选择该模式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无算法权重。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选择并执行。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 MD-DShap 权重计算。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ALLOC-007/ALLOC-011</w:t>
            </w:r>
          </w:p>
        </w:tc>
      </w:tr>
    </w:tbl>
    <w:p>
      <w:pPr>
        <w:spacing w:after="40"/>
      </w:pPr>
    </w:p>
    <w:p>
      <w:pPr>
        <w:keepNext/>
      </w:pPr>
      <w:r>
        <w:rPr>
          <w:rFonts w:ascii="Calibri" w:hAnsi="Calibri" w:eastAsia="Microsoft YaHei"/>
          <w:b/>
          <w:color w:val="1F4D78"/>
          <w:sz w:val="20"/>
        </w:rPr>
        <w:t>67. AL-007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已保存合同比例方案、总收益、数据源主体权重。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返回 summary、contract_ratio_plan、contract_ratio_items、data_provider_allocations 和最终结果。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w:t>
            </w:r>
          </w:p>
        </w:tc>
      </w:tr>
    </w:tbl>
    <w:p>
      <w:pPr>
        <w:spacing w:after="40"/>
      </w:pPr>
    </w:p>
    <w:p>
      <w:pPr>
        <w:keepNext/>
      </w:pPr>
      <w:r>
        <w:rPr>
          <w:rFonts w:ascii="Calibri" w:hAnsi="Calibri" w:eastAsia="Microsoft YaHei"/>
          <w:b/>
          <w:color w:val="1F4D78"/>
          <w:sz w:val="20"/>
        </w:rPr>
        <w:t>68. AL-008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金额合计校验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数据源主体金额合计等于 data_provider_revenue_pool，尾差有说明。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ALLOC-012</w:t>
            </w:r>
          </w:p>
        </w:tc>
      </w:tr>
    </w:tbl>
    <w:p>
      <w:pPr>
        <w:spacing w:after="40"/>
      </w:pPr>
    </w:p>
    <w:p>
      <w:pPr>
        <w:keepNext/>
      </w:pPr>
      <w:r>
        <w:rPr>
          <w:rFonts w:ascii="Calibri" w:hAnsi="Calibri" w:eastAsia="Microsoft YaHei"/>
          <w:b/>
          <w:color w:val="1F4D78"/>
          <w:sz w:val="20"/>
        </w:rPr>
        <w:t>69. AL-009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查看方案对比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存在多个方案。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展示合同比例、加权贡献、MD-DShap 差异。</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ALLOC-013</w:t>
            </w:r>
          </w:p>
        </w:tc>
      </w:tr>
    </w:tbl>
    <w:p>
      <w:pPr>
        <w:spacing w:after="40"/>
      </w:pPr>
    </w:p>
    <w:p>
      <w:pPr>
        <w:keepNext/>
      </w:pPr>
      <w:r>
        <w:rPr>
          <w:rFonts w:ascii="Calibri" w:hAnsi="Calibri" w:eastAsia="Microsoft YaHei"/>
          <w:b/>
          <w:color w:val="1F4D78"/>
          <w:sz w:val="20"/>
        </w:rPr>
        <w:t>70. AL-010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查看金额来源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amount_source、contract_ratio、base_pool_amount 和尾差说明。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w:t>
            </w:r>
          </w:p>
        </w:tc>
      </w:tr>
    </w:tbl>
    <w:p>
      <w:pPr>
        <w:spacing w:after="40"/>
      </w:pPr>
    </w:p>
    <w:p>
      <w:pPr>
        <w:keepNext/>
      </w:pPr>
      <w:r>
        <w:rPr>
          <w:rFonts w:ascii="Calibri" w:hAnsi="Calibri" w:eastAsia="Microsoft YaHei"/>
          <w:b/>
          <w:color w:val="1F4D78"/>
          <w:sz w:val="20"/>
        </w:rPr>
        <w:t>71. AL-011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方案状态变为已确认，参数不可直接改。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w:t>
            </w:r>
          </w:p>
        </w:tc>
      </w:tr>
    </w:tbl>
    <w:p>
      <w:pPr>
        <w:spacing w:after="40"/>
      </w:pPr>
    </w:p>
    <w:p>
      <w:pPr>
        <w:keepNext/>
      </w:pPr>
      <w:r>
        <w:rPr>
          <w:rFonts w:ascii="Calibri" w:hAnsi="Calibri" w:eastAsia="Microsoft YaHei"/>
          <w:b/>
          <w:color w:val="1F4D78"/>
          <w:sz w:val="20"/>
        </w:rPr>
        <w:t>72. AL-012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锁定后重算限制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点击重新执行模拟。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系统提示当前只读；复制新版本接口为后端缺口，不做前端假复制。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ALLOC-015/ALLOC-011/ALLOC-014</w:t>
            </w:r>
          </w:p>
        </w:tc>
      </w:tr>
    </w:tbl>
    <w:p>
      <w:pPr>
        <w:spacing w:after="40"/>
      </w:pPr>
    </w:p>
    <w:p>
      <w:pPr>
        <w:keepNext/>
      </w:pPr>
      <w:r>
        <w:rPr>
          <w:rFonts w:ascii="Calibri" w:hAnsi="Calibri" w:eastAsia="Microsoft YaHei"/>
          <w:b/>
          <w:color w:val="1F4D78"/>
          <w:sz w:val="20"/>
        </w:rPr>
        <w:t>73. CO-001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存在后端返回的非数据主体。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CONS-002 保存比例输入。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临时草稿更新；保存方案后金额以后端返回为准。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CONS-002</w:t>
            </w:r>
          </w:p>
        </w:tc>
      </w:tr>
    </w:tbl>
    <w:p>
      <w:pPr>
        <w:spacing w:after="40"/>
      </w:pPr>
    </w:p>
    <w:p>
      <w:pPr>
        <w:keepNext/>
      </w:pPr>
      <w:r>
        <w:rPr>
          <w:rFonts w:ascii="Calibri" w:hAnsi="Calibri" w:eastAsia="Microsoft YaHei"/>
          <w:b/>
          <w:color w:val="1F4D78"/>
          <w:sz w:val="20"/>
        </w:rPr>
        <w:t>74. CO-002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编辑数据源收益池比例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打开抽屉输入百分比。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数据源收益池比例进入草稿，保存后后端返回正式金额。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75. CO-003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比例为负或超过 100%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输入非法比例。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系统阻止保存并提示比例必须在 0 到 100 之间。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76. CO-004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选择数据源主体作为非数据项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提交数据源 party_id。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后端拒绝，提示 NON_DATA_PARTY 不能是数据源主体。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77. CO-005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保存后刷新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保存方案成功。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页面重新 GET contract-ratio。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表格金额、比例、状态以后端返回为准。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78. CO-006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清空配置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CONS-004 并确认。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返回 EMPTY 状态，模拟页显示缺少合同比例方案。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CONS-004</w:t>
            </w:r>
          </w:p>
        </w:tc>
      </w:tr>
    </w:tbl>
    <w:p>
      <w:pPr>
        <w:spacing w:after="40"/>
      </w:pPr>
    </w:p>
    <w:p>
      <w:pPr>
        <w:keepNext/>
      </w:pPr>
      <w:r>
        <w:rPr>
          <w:rFonts w:ascii="Calibri" w:hAnsi="Calibri" w:eastAsia="Microsoft YaHei"/>
          <w:b/>
          <w:color w:val="1F4D78"/>
          <w:sz w:val="20"/>
        </w:rPr>
        <w:t>79. CO-007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查看收益流向预览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已保存或编辑草稿。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查看右侧预览。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展示总收益、合同比例合计、数据源收益池、MD-DShap 权重状态。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w:t>
            </w:r>
          </w:p>
        </w:tc>
      </w:tr>
    </w:tbl>
    <w:p>
      <w:pPr>
        <w:spacing w:after="40"/>
      </w:pPr>
    </w:p>
    <w:p>
      <w:pPr>
        <w:keepNext/>
      </w:pPr>
      <w:r>
        <w:rPr>
          <w:rFonts w:ascii="Calibri" w:hAnsi="Calibri" w:eastAsia="Microsoft YaHei"/>
          <w:b/>
          <w:color w:val="1F4D78"/>
          <w:sz w:val="20"/>
        </w:rPr>
        <w:t>80. CO-008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禁止旧约束字段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进入合同分配规则页。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查看表单和结果。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不展示保底、封顶、固定比例、命中/未命中、约束前/后金额或 constraint_apply_trace。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CONS-011/ALLOC-011</w:t>
            </w:r>
          </w:p>
        </w:tc>
      </w:tr>
    </w:tbl>
    <w:p>
      <w:pPr>
        <w:spacing w:after="40"/>
      </w:pPr>
    </w:p>
    <w:p>
      <w:pPr>
        <w:keepNext/>
      </w:pPr>
      <w:r>
        <w:rPr>
          <w:rFonts w:ascii="Calibri" w:hAnsi="Calibri" w:eastAsia="Microsoft YaHei"/>
          <w:b/>
          <w:color w:val="1F4D78"/>
          <w:sz w:val="20"/>
        </w:rPr>
        <w:t>81. RP-001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存在阶段性结果。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展示预览和模拟参考声明。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REP-001</w:t>
            </w:r>
          </w:p>
        </w:tc>
      </w:tr>
    </w:tbl>
    <w:p>
      <w:pPr>
        <w:spacing w:after="40"/>
      </w:pPr>
    </w:p>
    <w:p>
      <w:pPr>
        <w:keepNext/>
      </w:pPr>
      <w:r>
        <w:rPr>
          <w:rFonts w:ascii="Calibri" w:hAnsi="Calibri" w:eastAsia="Microsoft YaHei"/>
          <w:b/>
          <w:color w:val="1F4D78"/>
          <w:sz w:val="20"/>
        </w:rPr>
        <w:t>82. RP-002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w:t>
            </w:r>
          </w:p>
        </w:tc>
      </w:tr>
    </w:tbl>
    <w:p>
      <w:pPr>
        <w:spacing w:after="40"/>
      </w:pPr>
    </w:p>
    <w:p>
      <w:pPr>
        <w:keepNext/>
      </w:pPr>
      <w:r>
        <w:rPr>
          <w:rFonts w:ascii="Calibri" w:hAnsi="Calibri" w:eastAsia="Microsoft YaHei"/>
          <w:b/>
          <w:color w:val="1F4D78"/>
          <w:sz w:val="20"/>
        </w:rPr>
        <w:t>83. RP-003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P1 不可用说明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环境。</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点击/查看 REP-003。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显示 PDF 为 P1 功能或不可用。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w:t>
            </w:r>
          </w:p>
        </w:tc>
      </w:tr>
    </w:tbl>
    <w:p>
      <w:pPr>
        <w:spacing w:after="40"/>
      </w:pPr>
    </w:p>
    <w:p>
      <w:pPr>
        <w:keepNext/>
      </w:pPr>
      <w:r>
        <w:rPr>
          <w:rFonts w:ascii="Calibri" w:hAnsi="Calibri" w:eastAsia="Microsoft YaHei"/>
          <w:b/>
          <w:color w:val="1F4D78"/>
          <w:sz w:val="20"/>
        </w:rPr>
        <w:t>84. RP-004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 字段符合第 9 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w:t>
            </w:r>
          </w:p>
        </w:tc>
      </w:tr>
    </w:tbl>
    <w:p>
      <w:pPr>
        <w:spacing w:after="40"/>
      </w:pPr>
    </w:p>
    <w:p>
      <w:pPr>
        <w:keepNext/>
      </w:pPr>
      <w:r>
        <w:rPr>
          <w:rFonts w:ascii="Calibri" w:hAnsi="Calibri" w:eastAsia="Microsoft YaHei"/>
          <w:b/>
          <w:color w:val="1F4D78"/>
          <w:sz w:val="20"/>
        </w:rPr>
        <w:t>85. RP-005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可解析且含快照引用。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w:t>
            </w:r>
          </w:p>
        </w:tc>
      </w:tr>
    </w:tbl>
    <w:p>
      <w:pPr>
        <w:spacing w:after="40"/>
      </w:pPr>
    </w:p>
    <w:p>
      <w:pPr>
        <w:keepNext/>
      </w:pPr>
      <w:r>
        <w:rPr>
          <w:rFonts w:ascii="Calibri" w:hAnsi="Calibri" w:eastAsia="Microsoft YaHei"/>
          <w:b/>
          <w:color w:val="1F4D78"/>
          <w:sz w:val="20"/>
        </w:rPr>
        <w:t>86. RP-006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报告披露算法模式、参数、效用来源、近似假设。</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w:t>
            </w:r>
          </w:p>
        </w:tc>
      </w:tr>
    </w:tbl>
    <w:p>
      <w:pPr>
        <w:spacing w:after="40"/>
      </w:pPr>
    </w:p>
    <w:p>
      <w:pPr>
        <w:keepNext/>
      </w:pPr>
      <w:r>
        <w:rPr>
          <w:rFonts w:ascii="Calibri" w:hAnsi="Calibri" w:eastAsia="Microsoft YaHei"/>
          <w:b/>
          <w:color w:val="1F4D78"/>
          <w:sz w:val="20"/>
        </w:rPr>
        <w:t>87. RP-007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提示确认书专用导出未启用，不生成 mock 确认书文件。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w:t>
            </w:r>
          </w:p>
        </w:tc>
      </w:tr>
    </w:tbl>
    <w:p>
      <w:pPr>
        <w:spacing w:after="40"/>
      </w:pPr>
    </w:p>
    <w:p>
      <w:pPr>
        <w:keepNext/>
      </w:pPr>
      <w:r>
        <w:rPr>
          <w:rFonts w:ascii="Calibri" w:hAnsi="Calibri" w:eastAsia="Microsoft YaHei"/>
          <w:b/>
          <w:color w:val="1F4D78"/>
          <w:sz w:val="20"/>
        </w:rPr>
        <w:t>88. RP-008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重复导出不覆盖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已存在同类报告。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再次导出。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生成新版本，旧文件保留。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REP-002/REP-004/REP-005</w:t>
            </w:r>
          </w:p>
        </w:tc>
      </w:tr>
    </w:tbl>
    <w:p>
      <w:pPr>
        <w:spacing w:after="40"/>
      </w:pPr>
    </w:p>
    <w:p>
      <w:pPr>
        <w:keepNext/>
      </w:pPr>
      <w:r>
        <w:rPr>
          <w:rFonts w:ascii="Calibri" w:hAnsi="Calibri" w:eastAsia="Microsoft YaHei"/>
          <w:b/>
          <w:color w:val="1F4D78"/>
          <w:sz w:val="20"/>
        </w:rPr>
        <w:t>89. AU-001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查询计算日志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存在计算操作。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按模块、状态筛选并展示结果。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w:t>
            </w:r>
          </w:p>
        </w:tc>
      </w:tr>
    </w:tbl>
    <w:p>
      <w:pPr>
        <w:spacing w:after="40"/>
      </w:pPr>
    </w:p>
    <w:p>
      <w:pPr>
        <w:keepNext/>
      </w:pPr>
      <w:r>
        <w:rPr>
          <w:rFonts w:ascii="Calibri" w:hAnsi="Calibri" w:eastAsia="Microsoft YaHei"/>
          <w:b/>
          <w:color w:val="1F4D78"/>
          <w:sz w:val="20"/>
        </w:rPr>
        <w:t>90. AU-002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选择一条计算日志。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展示输入、参数、输出快照。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AUD-006</w:t>
            </w:r>
          </w:p>
        </w:tc>
      </w:tr>
    </w:tbl>
    <w:p>
      <w:pPr>
        <w:spacing w:after="40"/>
      </w:pPr>
    </w:p>
    <w:p>
      <w:pPr>
        <w:keepNext/>
      </w:pPr>
      <w:r>
        <w:rPr>
          <w:rFonts w:ascii="Calibri" w:hAnsi="Calibri" w:eastAsia="Microsoft YaHei"/>
          <w:b/>
          <w:color w:val="1F4D78"/>
          <w:sz w:val="20"/>
        </w:rPr>
        <w:t>91. AU-003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失败日志保留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存在计算失败。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失败原因可查。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AUD-002/AUD-006</w:t>
            </w:r>
          </w:p>
        </w:tc>
      </w:tr>
    </w:tbl>
    <w:p>
      <w:pPr>
        <w:spacing w:after="40"/>
      </w:pPr>
    </w:p>
    <w:p>
      <w:pPr>
        <w:keepNext/>
      </w:pPr>
      <w:r>
        <w:rPr>
          <w:rFonts w:ascii="Calibri" w:hAnsi="Calibri" w:eastAsia="Microsoft YaHei"/>
          <w:b/>
          <w:color w:val="1F4D78"/>
          <w:sz w:val="20"/>
        </w:rPr>
        <w:t>92. AU-004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存在日志记录。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w:t>
            </w:r>
          </w:p>
        </w:tc>
      </w:tr>
    </w:tbl>
    <w:p>
      <w:pPr>
        <w:spacing w:after="40"/>
      </w:pPr>
    </w:p>
    <w:p>
      <w:pPr>
        <w:keepNext/>
      </w:pPr>
      <w:r>
        <w:rPr>
          <w:rFonts w:ascii="Calibri" w:hAnsi="Calibri" w:eastAsia="Microsoft YaHei"/>
          <w:b/>
          <w:color w:val="1F4D78"/>
          <w:sz w:val="20"/>
        </w:rPr>
        <w:t>93. AU-005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导出范围按筛选条件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已设置筛选条件。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只导出当前筛选范围。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w:t>
            </w:r>
          </w:p>
        </w:tc>
      </w:tr>
    </w:tbl>
    <w:p>
      <w:pPr>
        <w:spacing w:after="40"/>
      </w:pPr>
    </w:p>
    <w:p>
      <w:pPr>
        <w:keepNext/>
      </w:pPr>
      <w:r>
        <w:rPr>
          <w:rFonts w:ascii="Calibri" w:hAnsi="Calibri" w:eastAsia="Microsoft YaHei"/>
          <w:b/>
          <w:color w:val="1F4D78"/>
          <w:sz w:val="20"/>
        </w:rPr>
        <w:t>94. AU-006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普通用户不可查看审计日志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普通查看用户登录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访问审计日志。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系统阻止或隐藏菜单。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AUD-001/AUD-006</w:t>
            </w:r>
          </w:p>
        </w:tc>
      </w:tr>
    </w:tbl>
    <w:p>
      <w:pPr>
        <w:spacing w:after="40"/>
      </w:pPr>
    </w:p>
    <w:p>
      <w:pPr>
        <w:pStyle w:val="Heading1"/>
      </w:pPr>
      <w:r>
        <w:t>13. P0/P1 实施优先级与修改落地清单</w:t>
      </w:r>
    </w:p>
    <w:p>
      <w:pPr>
        <w:keepNext/>
      </w:pPr>
      <w:r>
        <w:rPr>
          <w:rFonts w:ascii="Calibri" w:hAnsi="Calibri" w:eastAsia="Microsoft YaHei"/>
          <w:b/>
          <w:color w:val="1F4D78"/>
          <w:sz w:val="20"/>
        </w:rPr>
        <w:t>1.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补本地操作员和权限说明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页面和文档保留角色、按钮权限、只读/可操作说明。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4 章、第 7 章、第 12 章。</w:t>
            </w:r>
          </w:p>
        </w:tc>
      </w:tr>
    </w:tbl>
    <w:p>
      <w:pPr>
        <w:spacing w:after="40"/>
      </w:pPr>
    </w:p>
    <w:p>
      <w:pPr>
        <w:keepNext/>
      </w:pPr>
      <w:r>
        <w:rPr>
          <w:rFonts w:ascii="Calibri" w:hAnsi="Calibri" w:eastAsia="Microsoft YaHei"/>
          <w:b/>
          <w:color w:val="1F4D78"/>
          <w:sz w:val="20"/>
        </w:rPr>
        <w:t>2.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Markdown/CSV/JSON/JSONL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按第 9 章字段清单生成导出文件。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RP-001 至 RP-008。</w:t>
            </w:r>
          </w:p>
        </w:tc>
      </w:tr>
    </w:tbl>
    <w:p>
      <w:pPr>
        <w:spacing w:after="40"/>
      </w:pPr>
    </w:p>
    <w:p>
      <w:pPr>
        <w:keepNext/>
      </w:pPr>
      <w:r>
        <w:rPr>
          <w:rFonts w:ascii="Calibri" w:hAnsi="Calibri" w:eastAsia="Microsoft YaHei"/>
          <w:b/>
          <w:color w:val="1F4D78"/>
          <w:sz w:val="20"/>
        </w:rPr>
        <w:t>3.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默认策略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algorithm_mode=MD_DSHAP；基础 Shapley 只作 baseline_check。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 MDS-001 至 MDS-012。</w:t>
            </w:r>
          </w:p>
        </w:tc>
      </w:tr>
    </w:tbl>
    <w:p>
      <w:pPr>
        <w:spacing w:after="40"/>
      </w:pPr>
    </w:p>
    <w:p>
      <w:pPr>
        <w:keepNext/>
      </w:pPr>
      <w:r>
        <w:rPr>
          <w:rFonts w:ascii="Calibri" w:hAnsi="Calibri" w:eastAsia="Microsoft YaHei"/>
          <w:b/>
          <w:color w:val="1F4D78"/>
          <w:sz w:val="20"/>
        </w:rPr>
        <w:t>4.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按钮需求补齐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每个主要按钮必须有编号、入口、字段、流程、异常、日志、验收。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7 章和第 8.4 节。</w:t>
            </w:r>
          </w:p>
        </w:tc>
      </w:tr>
    </w:tbl>
    <w:p>
      <w:pPr>
        <w:spacing w:after="40"/>
      </w:pPr>
    </w:p>
    <w:p>
      <w:pPr>
        <w:keepNext/>
      </w:pPr>
      <w:r>
        <w:rPr>
          <w:rFonts w:ascii="Calibri" w:hAnsi="Calibri" w:eastAsia="Microsoft YaHei"/>
          <w:b/>
          <w:color w:val="1F4D78"/>
          <w:sz w:val="20"/>
        </w:rPr>
        <w:t>5.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导出字段清单补齐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每个导出文件列出字段/章节清单。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9 章。</w:t>
            </w:r>
          </w:p>
        </w:tc>
      </w:tr>
    </w:tbl>
    <w:p>
      <w:pPr>
        <w:spacing w:after="40"/>
      </w:pPr>
    </w:p>
    <w:p>
      <w:pPr>
        <w:keepNext/>
      </w:pPr>
      <w:r>
        <w:rPr>
          <w:rFonts w:ascii="Calibri" w:hAnsi="Calibri" w:eastAsia="Microsoft YaHei"/>
          <w:b/>
          <w:color w:val="1F4D78"/>
          <w:sz w:val="20"/>
        </w:rPr>
        <w:t>6.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登录与 RBAC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实现用户、角色、权限、按钮权限和操作日志。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用户与权限管理（P1）用例和权限矩阵。</w:t>
            </w:r>
          </w:p>
        </w:tc>
      </w:tr>
    </w:tbl>
    <w:p>
      <w:pPr>
        <w:spacing w:after="40"/>
      </w:pPr>
    </w:p>
    <w:p>
      <w:pPr>
        <w:keepNext/>
      </w:pPr>
      <w:r>
        <w:rPr>
          <w:rFonts w:ascii="Calibri" w:hAnsi="Calibri" w:eastAsia="Microsoft YaHei"/>
          <w:b/>
          <w:color w:val="1F4D78"/>
          <w:sz w:val="20"/>
        </w:rPr>
        <w:t>7.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基于 Markdown/模板生成 PDF，视觉和内容一致。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w:t>
            </w:r>
          </w:p>
        </w:tc>
      </w:tr>
    </w:tbl>
    <w:p>
      <w:pPr>
        <w:spacing w:after="40"/>
      </w:pPr>
    </w:p>
    <w:p>
      <w:pPr>
        <w:keepNext/>
      </w:pPr>
      <w:r>
        <w:rPr>
          <w:rFonts w:ascii="Calibri" w:hAnsi="Calibri" w:eastAsia="Microsoft YaHei"/>
          <w:b/>
          <w:color w:val="1F4D78"/>
          <w:sz w:val="20"/>
        </w:rPr>
        <w:t>8.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异步任务进度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长任务异步执行并展示进度。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bl>
    <w:p>
      <w:pPr>
        <w:spacing w:after="40"/>
      </w:pPr>
    </w:p>
    <w:p>
      <w:pPr>
        <w:pStyle w:val="Heading1"/>
      </w:pPr>
      <w:r>
        <w:t>14. 结论</w:t>
      </w:r>
    </w:p>
    <w:p>
      <w:r>
        <w:rPr>
          <w:rFonts w:ascii="Calibri" w:hAnsi="Calibri" w:eastAsia="Microsoft YaHei"/>
          <w:b w:val="0"/>
          <w:i w:val="0"/>
          <w:sz w:val="22"/>
        </w:rPr>
        <w:t>本 V1.4.3 需求规格说明书将系统定义为“数据收益分配模拟与审计说明系统”。当前版本按真实代码同步用户与权限管理的 P0/P1 边界、PDF 导出的版本边界、MD-DShap 默认算法策略、按钮级需求颗粒度、导出文件字段清单、合同比例主流程和 runtime/DDL 边界。</w:t>
      </w:r>
    </w:p>
    <w:p>
      <w:r>
        <w:rPr>
          <w:rFonts w:ascii="Calibri" w:hAnsi="Calibri" w:eastAsia="Microsoft YaHei"/>
          <w:b w:val="0"/>
          <w:i w:val="0"/>
          <w:sz w:val="22"/>
        </w:rPr>
        <w:t>系统链路为：数据接入 -&gt; 结构化数据资源识别 -&gt; 参与方管理并区分数据源主体和非数据源主体 -&gt; 数据源主体关联有效结构化数据资源 -&gt; 质量评估 -&gt; 数元计量 -&gt; 数据源主体贡献度与效用计算 -&gt; 对数据源主体执行 MD-DShap 权重计算 -&gt; 配置总收益和合同比例方案 -&gt; 形成非数据主体合同金额与数据源收益池 -&gt; 执行收益分配模拟 -&gt; 使用 MD-DShap 归一化权重分配数据源主体收益池 -&gt; 尾差处理 -&gt; 报告生成与导出 -&gt; 审计追溯。</w:t>
      </w:r>
    </w:p>
    <w:p>
      <w:r>
        <w:rPr>
          <w:rFonts w:ascii="Calibri" w:hAnsi="Calibri" w:eastAsia="Microsoft YaHei"/>
          <w:b w:val="0"/>
          <w:i w:val="0"/>
          <w:sz w:val="22"/>
        </w:rPr>
        <w:t>系统输出仅作为收益分配模拟参考，不构成法律结算、财务付款或合同履约指令。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需求规格说明书（差异检查与按钮级强化版）</dc:title>
  <dc:subject>DVAS documentation generated from Markdown source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