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40"/>
        </w:rPr>
        <w:t>数据收益分配系统 V1.2 系统详细功能设计文档</w:t>
      </w:r>
    </w:p>
    <w:p>
      <w:pPr>
        <w:spacing w:after="200"/>
      </w:pPr>
      <w:r>
        <w:rPr>
          <w:rFonts w:ascii="Calibri" w:hAnsi="Calibri" w:eastAsia="Microsoft YaHei"/>
          <w:color w:val="5A5A5A"/>
          <w:sz w:val="18"/>
        </w:rPr>
        <w:t>源文件: 数据收益分配系统_系统详细功能设计_V1.1_导航结构更新版.md    生成日期: 2026-06-19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4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3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文档名称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V1.2 系统详细功能设计文档》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系统名称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数据收益分配系统（DVAS，Data Value Allocation System）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文档版本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V1.1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编写日期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 年 6 月 17 日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设计依据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《数据收益分配系统 V1.2 需求规格说明书（差异检查与按钮级强化版）》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文档定位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为后续数据库设计、接口设计、UI 原型设计、前端页面拆解和测试用例落地提供前期输入。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适用范围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本地演示系统与 P1 权限/PDF/异步任务扩展的功能设计准备。</w:t>
            </w:r>
          </w:p>
        </w:tc>
      </w:tr>
    </w:tbl>
    <w:p/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版本</w:t>
            </w:r>
          </w:p>
        </w:tc>
        <w:tc>
          <w:tcPr>
            <w:tcW w:type="dxa" w:w="13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日期</w:t>
            </w:r>
          </w:p>
        </w:tc>
        <w:tc>
          <w:tcPr>
            <w:tcW w:type="dxa" w:w="53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修改内容</w:t>
            </w:r>
          </w:p>
        </w:tc>
        <w:tc>
          <w:tcPr>
            <w:tcW w:type="dxa" w:w="13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状态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V1.1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2026-06-17</w:t>
            </w:r>
          </w:p>
        </w:tc>
        <w:tc>
          <w:tcPr>
            <w:tcW w:type="dxa" w:w="53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 V1.2 需求规格说明书，形成系统详细功能设计；补充页面、按钮、状态、候选表、服务、导出字段和 UI/数据库设计输入。</w:t>
            </w:r>
          </w:p>
        </w:tc>
        <w:tc>
          <w:tcPr>
            <w:tcW w:type="dxa" w:w="13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本次提交稿</w:t>
            </w:r>
          </w:p>
        </w:tc>
      </w:tr>
    </w:tbl>
    <w:p/>
    <w:p>
      <w:pPr>
        <w:pStyle w:val="Heading1"/>
      </w:pPr>
      <w:r>
        <w:t>1. 文档定位与设计原则</w:t>
      </w:r>
    </w:p>
    <w:p>
      <w:pPr>
        <w:pStyle w:val="Heading2"/>
      </w:pPr>
      <w:r>
        <w:t>1.1 设计目标</w:t>
      </w:r>
    </w:p>
    <w:p>
      <w:r>
        <w:rPr>
          <w:rFonts w:ascii="Calibri" w:hAnsi="Calibri" w:eastAsia="Microsoft YaHei"/>
          <w:b w:val="0"/>
          <w:i w:val="0"/>
          <w:sz w:val="22"/>
        </w:rPr>
        <w:t>本文档不是重复需求规格说明书，而是把需求转换为后续开发可用的功能设计输入。输出重点包括：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明确每个业务模块在系统中的职责边界。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明确页面、按钮、表单、状态、异常、日志和输出之间的关系。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为数据库设计提供候选表、字段、关系、状态、枚举和约束输入。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为 UI 设计提供页面路由、信息区块、按钮状态、弹窗、空状态、错误提示和 trace 展示要求。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为接口设计提供服务分层、核心操作、输入输出和副作用。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为测试设计提供模块级和按钮级验收映射。</w:t>
      </w:r>
    </w:p>
    <w:p>
      <w:pPr>
        <w:pStyle w:val="Heading2"/>
      </w:pPr>
      <w:r>
        <w:t>1.2 设计边界</w:t>
      </w:r>
    </w:p>
    <w:p>
      <w:r>
        <w:rPr>
          <w:rFonts w:ascii="Calibri" w:hAnsi="Calibri" w:eastAsia="Microsoft YaHei"/>
          <w:b w:val="0"/>
          <w:i w:val="0"/>
          <w:sz w:val="22"/>
        </w:rPr>
        <w:t>P0 版本以“本地可跑通、可演示、可导出、可审计”为边界，不要求登录、生产级 RBAC、PDF、异步队列、多租户和真实财务结算。P1 在 P0 稳定后扩展登录、权限、PDF、CSV/XLSX 导入、异步任务进度和历史报告管理。</w:t>
      </w:r>
    </w:p>
    <w:p>
      <w:r>
        <w:rPr>
          <w:rFonts w:ascii="Calibri" w:hAnsi="Calibri" w:eastAsia="Microsoft YaHei"/>
          <w:b w:val="0"/>
          <w:i w:val="0"/>
          <w:sz w:val="22"/>
        </w:rPr>
        <w:t>系统输出为收益分配模拟参考，不构成法律结算、财务付款、合同履约或主管单位审批结果。所有页面与报告必须保留“模拟参考，非法律结算”说明。</w:t>
      </w:r>
    </w:p>
    <w:p>
      <w:pPr>
        <w:pStyle w:val="Heading2"/>
      </w:pPr>
      <w:r>
        <w:t>1.3 功能设计原则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计算链路可分段执行：数据接入、质量评估、数元计量、贡献效用、MD-DShap、收益分配、报告导出均可独立触发，也可由首页一键执行。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历史结果不可静默覆盖：重新评估、重新计量、重新计算和重新导出均生成新版本。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算法结果只进入权重层：MD-DShap 输出权重，不直接形成付款指令。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非数据主体默认不进算法池：运营方、中试基地、技术服务方和专家方按合同优先或约束处理，默认不进入 MD-DShap。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导出字段固定化：P0 产生 Markdown、CSV、JSON、JSONL；每个文件有明确字段清单。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审计快照贯穿全流程：计算类操作必须保存输入快照、参数快照、输出快照和算法版本。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UI 先表达流程状态，再展示计算明细：页面必须让用户知道当前处于哪个业务状态、哪些按钮可用、哪些前置条件未满足。</w:t>
      </w:r>
    </w:p>
    <w:p>
      <w:pPr>
        <w:pStyle w:val="Heading1"/>
      </w:pPr>
      <w:r>
        <w:t>2. 从需求差异到功能设计的落地关系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差异编号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需求差异</w:t>
            </w:r>
          </w:p>
        </w:tc>
        <w:tc>
          <w:tcPr>
            <w:tcW w:type="dxa" w:w="49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功能设计落地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用户与权限管理：P0 未实现登录和 RBAC。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保留本地操作员；所有按钮仍按角色权限标注；P1 增加 user/role/permission 表和权限拦截。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 导出：当前主要 md/csv/json/jsonl。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报告服务只实现 Markdown、CSV、JSON、JSONL；P1 增加 PDF 渲染服务与报告模板配置。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MD-DShap：当前基础 Shapley/DAUS 为主。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算法模式默认 MD_DSHAP；基础 Shapley 只作为小规模 baseline_check，不作为默认分配模式。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每个按钮需求不够细。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本文按模块列出按钮设计，至少包含入口、前置、输入、规则、状态、副作用、异常、日志和验收映射。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GAP-005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导出字段清单不够。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第 9 章固定 P0 输出文件、生成时机、数据来源和字段清单，作为后续报告服务和数据库字段设计输入。</w:t>
            </w:r>
          </w:p>
        </w:tc>
      </w:tr>
    </w:tbl>
    <w:p/>
    <w:p>
      <w:pPr>
        <w:pStyle w:val="Heading1"/>
      </w:pPr>
      <w:r>
        <w:t>3. 总体功能架构设计</w:t>
      </w:r>
    </w:p>
    <w:p>
      <w:pPr>
        <w:pStyle w:val="Heading2"/>
      </w:pPr>
      <w:r>
        <w:t>3.1 功能分层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层级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职责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对应一级导航/二级功能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入口与状态层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项目状态、流程导航、风险提示、快捷操作。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系统首页：一级页面，内部展示项目总览、流程入口、风险提示、一键计算区块。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数据准备层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输入文件、演示数据、资源识别、参与方维护。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数据管理：数据接入管理、数据资源管理、参与方管理。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质量与计量层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数据质量、数元计量、贡献信号、效用输入。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数元贡献度计量：质量评估管理、数元计量管理、贡献度与效用计算。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算法权重层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效用函数、MD-DShap、基线 Shapley、边际贡献。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收益分配计算：MD-DShap 计算管理。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分配约束层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收益池、合同优先、分配模式、合同约束。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收益分配计算：收益分配模拟、合同约束管理。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报告审计层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报告、字段导出、操作日志、计算 trace。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报告生成与导出；系统管理：审计日志管理。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系统支撑层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参数、权限、用户、字典、模板。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系统管理：参数配置、用户与权限管理（P1）。</w:t>
            </w:r>
          </w:p>
        </w:tc>
      </w:tr>
    </w:tbl>
    <w:p/>
    <w:p>
      <w:pPr>
        <w:pStyle w:val="Heading2"/>
      </w:pPr>
      <w:r>
        <w:t>3.2 模块划分总表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SYS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一级页面；内部展示项目总览、流程入口、风险提示、一键计算区块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AllocationProject、AuditLog、ReportRecord、SystemParameter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草稿/已接入/已分配/已导出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演示数据选择、JSON 上传、格式校验、失败详情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DataPackage、InputSnapshot、UploadValidationResult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草稿 -&gt; 已接入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资源识别、字段/模态/样本统计、数据源主体关联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DataResource、DataResourcePartyRelation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 -&gt; 可评估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 / 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数据源主体、运营方、中试基地、专家方等主体维护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Party、DataResourcePartyRelation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有效/停用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QUAL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指标权重、质量评分、等级、证据说明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QualityAssessment、QualityScoreDetail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 -&gt; 已评估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基准价、调用量、场景/质量/技术/专家/发展系数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ShuyuanMetering、ShuyuanMeteringDetail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已评估 -&gt; 已计量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UTIL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 / 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贡献因子、归一化贡献、效用函数、效用 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ContributionRecord、UtilityRecord、UtilityTrace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已计量 -&gt; 已计算效用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默认权重算法、任务集合、边际贡献、权重、审计快照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MDDShapTask、MDDShapResult、MDDShapMarginalTrace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已计算效用 -&gt; 已计算权重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ALLOC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总收益、合同优先、数据源收益池、分配模式、分配结果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AllocationScenario、AllocationResult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已计算权重 -&gt; 已分配/已确认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CONS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 / 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保底、封顶、最小、最大、固定比例、优先分配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ContractConstraint、ConstraintApplyTrace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配置生效/禁用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REP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Markdown/CSV/JSON/JSONL 导出，PDF 为 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ReportRecord、ExportFile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已分配/已确认 -&gt; 已导出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PARAM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场景系数、质量权重、算法参数、报告模板、文案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SystemParameter、ParameterVersion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参数版本化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USER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登录、用户、角色、权限、密码重置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User、Role、Permission、UserRole、RolePermission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本地操作员 -&gt; RBAC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AUD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模块编码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导航归属 / 模块名称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 / 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核心职责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操作日志、计算日志、快照、导出记录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主要候选数据对象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AuditLog、SnapshotStore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关键状态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全流程只读追溯</w:t>
            </w:r>
          </w:p>
        </w:tc>
      </w:tr>
    </w:tbl>
    <w:p>
      <w:pPr>
        <w:spacing w:after="40"/>
      </w:pPr>
    </w:p>
    <w:p>
      <w:pPr>
        <w:pStyle w:val="Heading2"/>
      </w:pPr>
      <w:r>
        <w:t>3.3 主业务链路</w:t>
      </w:r>
    </w:p>
    <w:p>
      <w:r>
        <w:rPr>
          <w:rFonts w:ascii="Calibri" w:hAnsi="Calibri" w:eastAsia="Microsoft YaHei"/>
          <w:b w:val="0"/>
          <w:i w:val="0"/>
          <w:sz w:val="22"/>
        </w:rPr>
        <w:t>主链路按以下顺序推进：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创建项目或选择演示数据。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上传或初始化数据包，生成输入快照。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识别数据资源、字段、模态和基础统计。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维护参与方，区分数据源主体和非数据贡献主体。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将数据资源关联到数据源主体。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配置质量指标权重并执行质量评估。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配置数元基准价、系数和调用量，执行数元计量。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配置贡献因子，计算贡献度和归一化贡献。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配置效用函数，计算效用值并保留 trace。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以 MD-DShap 为默认算法计算参与方权重。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配置总收益、合同优先分配和数据源收益池。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选择分配模式并执行收益分配模拟。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应用合同约束，生成约束前后金额。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锁定分配方案或复制新版本重新计算。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导出报告、明细、算法审计说明和审计日志。</w:t>
      </w:r>
    </w:p>
    <w:p>
      <w:pPr>
        <w:pStyle w:val="Heading2"/>
      </w:pPr>
      <w:r>
        <w:t>3.4 状态流转设计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草稿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项目刚创建，尚未接入数据。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 JSON、选择演示数据、编辑项目。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启动质量评估、导出最终报告。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流程条第 1 步高亮；后续按钮置灰。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已接入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已接入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数据包校验通过。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预览、资源关联、参与方维护、质量评估。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导出最终报告。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数据接入完成标识；质量评估按钮可用。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已评估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质量评估完成。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查看质量、重新评估、执行数元计量。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修改已被锁定的输入。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质量卡展示分数和等级。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已计量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数元计量完成。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查看计量明细、贡献度计算。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覆盖历史计量结果。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数元计量卡展示汇总金额。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已计算效用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已计算效用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贡献度和效用值完成。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 trace、启动 MD-DShap。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导出最终报告。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算法入口可用。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已计算权重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已计算权重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权重完成。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查看权重、边际贡献、执行收益分配。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删除参与方。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权重表和算法审计入口可用。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已分配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已分配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收益分配模拟完成。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查看分配结果、方案对比、锁定、导出。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删除输入数据。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分配结果表可见。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已确认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已确认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人工锁定参考方案。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导出、归档、复制新版本。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直接修改参数或重算。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所有核心配置按钮置灰。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已导出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进入条件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报告文件生成。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允许的主操作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下载、查看历史、复制新版本。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禁止操作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静默覆盖原报告。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UI 表现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报告记录显示 report_id 和 checksum。</w:t>
            </w:r>
          </w:p>
        </w:tc>
      </w:tr>
    </w:tbl>
    <w:p>
      <w:pPr>
        <w:spacing w:after="40"/>
      </w:pPr>
    </w:p>
    <w:p>
      <w:pPr>
        <w:pStyle w:val="Heading2"/>
      </w:pPr>
      <w:r>
        <w:t>3.5 跨模块依赖关系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当前模块</w:t>
            </w:r>
          </w:p>
        </w:tc>
        <w:tc>
          <w:tcPr>
            <w:tcW w:type="dxa" w:w="1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依赖模块</w:t>
            </w:r>
          </w:p>
        </w:tc>
        <w:tc>
          <w:tcPr>
            <w:tcW w:type="dxa" w:w="463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依赖数据</w:t>
            </w:r>
          </w:p>
        </w:tc>
        <w:tc>
          <w:tcPr>
            <w:tcW w:type="dxa" w:w="19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失败处理</w:t>
            </w:r>
          </w:p>
        </w:tc>
      </w:tr>
      <w:tr>
        <w:tc>
          <w:tcPr>
            <w:tcW w:type="dxa" w:w="1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数据接入、数据资源</w:t>
            </w:r>
          </w:p>
        </w:tc>
        <w:tc>
          <w:tcPr>
            <w:tcW w:type="dxa" w:w="46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DataPackage、DataResource、质量参数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未接入或空数据时阻止评估。</w:t>
            </w:r>
          </w:p>
        </w:tc>
      </w:tr>
      <w:tr>
        <w:tc>
          <w:tcPr>
            <w:tcW w:type="dxa" w:w="1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质量评估、数据资源</w:t>
            </w:r>
          </w:p>
        </w:tc>
        <w:tc>
          <w:tcPr>
            <w:tcW w:type="dxa" w:w="46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QualityAssessment、资源调用量、系数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未评估时提示先完成质量评估。</w:t>
            </w:r>
          </w:p>
        </w:tc>
      </w:tr>
      <w:tr>
        <w:tc>
          <w:tcPr>
            <w:tcW w:type="dxa" w:w="1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贡献度计算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参与方、资源、数元计量</w:t>
            </w:r>
          </w:p>
        </w:tc>
        <w:tc>
          <w:tcPr>
            <w:tcW w:type="dxa" w:w="46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Party、valid_units、权重因子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总贡献为 0 时阻止归一化。</w:t>
            </w:r>
          </w:p>
        </w:tc>
      </w:tr>
      <w:tr>
        <w:tc>
          <w:tcPr>
            <w:tcW w:type="dxa" w:w="1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效用计算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贡献度、质量评估、场景参数</w:t>
            </w:r>
          </w:p>
        </w:tc>
        <w:tc>
          <w:tcPr>
            <w:tcW w:type="dxa" w:w="46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normalized_contribution、quality_factor、scenario_factor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因子 \&lt;=0 时阻止。</w:t>
            </w:r>
          </w:p>
        </w:tc>
      </w:tr>
      <w:tr>
        <w:tc>
          <w:tcPr>
            <w:tcW w:type="dxa" w:w="1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效用计算、参与方管理</w:t>
            </w:r>
          </w:p>
        </w:tc>
        <w:tc>
          <w:tcPr>
            <w:tcW w:type="dxa" w:w="46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UtilityRecord、participant_set、task_set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无数据源主体或无效用值时阻止。</w:t>
            </w:r>
          </w:p>
        </w:tc>
      </w:tr>
      <w:tr>
        <w:tc>
          <w:tcPr>
            <w:tcW w:type="dxa" w:w="1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MD-DShap、合同约束、参与方</w:t>
            </w:r>
          </w:p>
        </w:tc>
        <w:tc>
          <w:tcPr>
            <w:tcW w:type="dxa" w:w="46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participant_weight、revenue_pool、constraints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权重不为 1 或优先金额超总收益时阻止。</w:t>
            </w:r>
          </w:p>
        </w:tc>
      </w:tr>
      <w:tr>
        <w:tc>
          <w:tcPr>
            <w:tcW w:type="dxa" w:w="1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全链路结果</w:t>
            </w:r>
          </w:p>
        </w:tc>
        <w:tc>
          <w:tcPr>
            <w:tcW w:type="dxa" w:w="46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结果快照、审计日志、导出字段</w:t>
            </w:r>
          </w:p>
        </w:tc>
        <w:tc>
          <w:tcPr>
            <w:tcW w:type="dxa" w:w="19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未完成前置步骤时禁用对应导出。</w:t>
            </w:r>
          </w:p>
        </w:tc>
      </w:tr>
    </w:tbl>
    <w:p/>
    <w:p>
      <w:pPr>
        <w:pStyle w:val="Heading1"/>
      </w:pPr>
      <w:r>
        <w:t>4. 角色与权限功能设计</w:t>
      </w:r>
    </w:p>
    <w:p>
      <w:pPr>
        <w:pStyle w:val="Heading2"/>
      </w:pPr>
      <w:r>
        <w:t>4.1 P0 与 P1 权限策略</w:t>
      </w:r>
    </w:p>
    <w:p>
      <w:r>
        <w:rPr>
          <w:rFonts w:ascii="Calibri" w:hAnsi="Calibri" w:eastAsia="Microsoft YaHei"/>
          <w:b w:val="0"/>
          <w:i w:val="0"/>
          <w:sz w:val="22"/>
        </w:rPr>
        <w:t>P0 使用“本地操作员”模式，不强制登录，但每个操作仍需要在设计上保留操作人字段，默认值为 local_operator。P1 启用登录和 RBAC 后，用户、角色、权限、菜单和按钮需要进入统一权限模型。</w:t>
      </w:r>
    </w:p>
    <w:p>
      <w:pPr>
        <w:pStyle w:val="Heading2"/>
      </w:pPr>
      <w:r>
        <w:t>4.2 权限动作类型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动作类型</w:t>
            </w:r>
          </w:p>
        </w:tc>
        <w:tc>
          <w:tcPr>
            <w:tcW w:type="dxa" w:w="190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  <w:tc>
          <w:tcPr>
            <w:tcW w:type="dxa" w:w="52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典型按钮</w:t>
            </w:r>
          </w:p>
        </w:tc>
      </w:tr>
      <w:tr>
        <w:tc>
          <w:tcPr>
            <w:tcW w:type="dxa" w:w="2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VIEW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只读查看。</w:t>
            </w:r>
          </w:p>
        </w:tc>
        <w:tc>
          <w:tcPr>
            <w:tcW w:type="dxa" w:w="52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查看详情、预览、查看日志。</w:t>
            </w:r>
          </w:p>
        </w:tc>
      </w:tr>
      <w:tr>
        <w:tc>
          <w:tcPr>
            <w:tcW w:type="dxa" w:w="2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新增数据。</w:t>
            </w:r>
          </w:p>
        </w:tc>
        <w:tc>
          <w:tcPr>
            <w:tcW w:type="dxa" w:w="52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新增参与方、新增约束、选择演示数据。</w:t>
            </w:r>
          </w:p>
        </w:tc>
      </w:tr>
      <w:tr>
        <w:tc>
          <w:tcPr>
            <w:tcW w:type="dxa" w:w="2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修改配置或业务对象。</w:t>
            </w:r>
          </w:p>
        </w:tc>
        <w:tc>
          <w:tcPr>
            <w:tcW w:type="dxa" w:w="52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编辑参与方、配置权重、配置参数。</w:t>
            </w:r>
          </w:p>
        </w:tc>
      </w:tr>
      <w:tr>
        <w:tc>
          <w:tcPr>
            <w:tcW w:type="dxa" w:w="2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DELETE_DISABLE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删除、停用或撤回。</w:t>
            </w:r>
          </w:p>
        </w:tc>
        <w:tc>
          <w:tcPr>
            <w:tcW w:type="dxa" w:w="52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停用参与方、删除数据包、停用约束。</w:t>
            </w:r>
          </w:p>
        </w:tc>
      </w:tr>
      <w:tr>
        <w:tc>
          <w:tcPr>
            <w:tcW w:type="dxa" w:w="2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触发计算。</w:t>
            </w:r>
          </w:p>
        </w:tc>
        <w:tc>
          <w:tcPr>
            <w:tcW w:type="dxa" w:w="52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启动质量评估、执行数元计量、启动 MD-DShap、执行收益分配。</w:t>
            </w:r>
          </w:p>
        </w:tc>
      </w:tr>
      <w:tr>
        <w:tc>
          <w:tcPr>
            <w:tcW w:type="dxa" w:w="2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EXPORT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文件导出。</w:t>
            </w:r>
          </w:p>
        </w:tc>
        <w:tc>
          <w:tcPr>
            <w:tcW w:type="dxa" w:w="52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CSV、生成 Markdown、导出审计日志。</w:t>
            </w:r>
          </w:p>
        </w:tc>
      </w:tr>
      <w:tr>
        <w:tc>
          <w:tcPr>
            <w:tcW w:type="dxa" w:w="22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CONFIRM</w:t>
            </w:r>
          </w:p>
        </w:tc>
        <w:tc>
          <w:tcPr>
            <w:tcW w:type="dxa" w:w="190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方案锁定或人工确认。</w:t>
            </w:r>
          </w:p>
        </w:tc>
        <w:tc>
          <w:tcPr>
            <w:tcW w:type="dxa" w:w="52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锁定分配方案、确认报告。</w:t>
            </w:r>
          </w:p>
        </w:tc>
      </w:tr>
    </w:tbl>
    <w:p/>
    <w:p>
      <w:pPr>
        <w:pStyle w:val="Heading2"/>
      </w:pPr>
      <w:r>
        <w:t>4.3 角色功能矩阵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角色</w:t>
            </w:r>
          </w:p>
        </w:tc>
        <w:tc>
          <w:tcPr>
            <w:tcW w:type="dxa" w:w="426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允许重点操作</w:t>
            </w:r>
          </w:p>
        </w:tc>
        <w:tc>
          <w:tcPr>
            <w:tcW w:type="dxa" w:w="31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禁止重点操作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本地操作员</w:t>
            </w:r>
          </w:p>
        </w:tc>
        <w:tc>
          <w:tcPr>
            <w:tcW w:type="dxa" w:w="42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全流程操作、计算、导出、审计查看。</w:t>
            </w:r>
          </w:p>
        </w:tc>
        <w:tc>
          <w:tcPr>
            <w:tcW w:type="dxa" w:w="3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不代表生产级权限模型。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业务管理员</w:t>
            </w:r>
          </w:p>
        </w:tc>
        <w:tc>
          <w:tcPr>
            <w:tcW w:type="dxa" w:w="42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数据接入、参与方、收益池、分配模拟、报告导出。</w:t>
            </w:r>
          </w:p>
        </w:tc>
        <w:tc>
          <w:tcPr>
            <w:tcW w:type="dxa" w:w="3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不应独立修改系统级权限。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算法审核员</w:t>
            </w:r>
          </w:p>
        </w:tc>
        <w:tc>
          <w:tcPr>
            <w:tcW w:type="dxa" w:w="42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质量评估、效用计算、MD-DShap、算法审计导出。</w:t>
            </w:r>
          </w:p>
        </w:tc>
        <w:tc>
          <w:tcPr>
            <w:tcW w:type="dxa" w:w="3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不应维护合同优先金额。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合同审核员</w:t>
            </w:r>
          </w:p>
        </w:tc>
        <w:tc>
          <w:tcPr>
            <w:tcW w:type="dxa" w:w="42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合同约束、合同优先分配、分配结果审核。</w:t>
            </w:r>
          </w:p>
        </w:tc>
        <w:tc>
          <w:tcPr>
            <w:tcW w:type="dxa" w:w="3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不应修改算法参数。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审计员</w:t>
            </w:r>
          </w:p>
        </w:tc>
        <w:tc>
          <w:tcPr>
            <w:tcW w:type="dxa" w:w="42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只读查看报告、日志、快照、导出审计文件。</w:t>
            </w:r>
          </w:p>
        </w:tc>
        <w:tc>
          <w:tcPr>
            <w:tcW w:type="dxa" w:w="3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不应触发计算或修改参数。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普通查看用户</w:t>
            </w:r>
          </w:p>
        </w:tc>
        <w:tc>
          <w:tcPr>
            <w:tcW w:type="dxa" w:w="42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查看已确认结果和已发布报告。</w:t>
            </w:r>
          </w:p>
        </w:tc>
        <w:tc>
          <w:tcPr>
            <w:tcW w:type="dxa" w:w="3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不应查看未确认草稿和计算 trace。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系统管理员 P1</w:t>
            </w:r>
          </w:p>
        </w:tc>
        <w:tc>
          <w:tcPr>
            <w:tcW w:type="dxa" w:w="426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用户、角色、权限、系统参数、模板。</w:t>
            </w:r>
          </w:p>
        </w:tc>
        <w:tc>
          <w:tcPr>
            <w:tcW w:type="dxa" w:w="3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不应替代业务确认。</w:t>
            </w:r>
          </w:p>
        </w:tc>
      </w:tr>
    </w:tbl>
    <w:p/>
    <w:p>
      <w:pPr>
        <w:pStyle w:val="Heading1"/>
      </w:pPr>
      <w:r>
        <w:t>5. 页面导航与 UI 信息架构</w:t>
      </w:r>
    </w:p>
    <w:p>
      <w:pPr>
        <w:pStyle w:val="Heading2"/>
      </w:pPr>
      <w:r>
        <w:t>5.1 页面路由清单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系统首页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一级页面内部展示项目总览、流程入口、风险提示和一键计算区块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选择演示数据、上传输入文件、启动完整计算、查看风险提示、查看报告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数据包列表、上传结果、失败详情、预览入口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选择演示数据、上传 JSON、查看详情、查看失败原因、删除/停用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资源列表、字段统计、模态标签、主体关联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查看详情、关联参与方、设置是否进入计算、导出摘要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数据管理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参与方列表、类型、算法集合标记、合同主体标记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新增、编辑、启用/停用、关联资源、查看贡献结果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指标体系、权重配置、评分结果、证据说明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配置权重、启动评估、查看维度分、重新评估、导出报告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基准价、调用量、系数配置、计量明细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配置基准价、录入调用量、执行计量、查看明细、导出结果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数元贡献度计量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数元贡献度计量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贡献因子、归一化贡献、效用函数、trace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配置贡献因子、计算贡献度、配置效用函数、计算效用值、查看 trace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算法模式、参与方集合、任务集合、参数、边际贡献、权重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配置参数、启动计算、查看进度、查看边际贡献、查看权重、重新计算、导出审计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收益池、合同优先、模式选择、约束前后金额、方案对比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配置总收益、配置优先分配、选择模式、执行模拟、锁定方案、导出结果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收益分配计算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收益分配计算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约束列表、约束类型、对象、优先级、生效状态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新增约束、编辑约束、启用/禁用、查看约束检查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报告生成与导出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报告预览、导出记录、文件清单、历史版本 P1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Markdown、导出 CSV、导出 JSON、导出审计日志、生成 PDF P1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质量权重、算法默认参数、风险提示文案、精度规则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新增/编辑参数、恢复默认、保存版本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用户列表、角色、权限矩阵、账号状态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新增用户、编辑用户、禁用、重置密码、配置权限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系统管理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一级导航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二级功能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路由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页面核心内容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日志查询、快照详情、计算 trace、导出记录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核心按钮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查询、查看详情、导出审计日志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i w:val="0"/>
          <w:sz w:val="22"/>
        </w:rPr>
        <w:t>系统首页不设置二级窗口，项目总览、流程入口、风险提示和一键计算仅为首页内部区块。历史路由如 /quality、/shuyuan、/utility、/md-dshap、/allocation、/constraints、/audit、/parameters、/users 可作为兼容别名，但不作为新版左侧导航主展示路径。</w:t>
      </w:r>
    </w:p>
    <w:p>
      <w:pPr>
        <w:pStyle w:val="Heading2"/>
      </w:pPr>
      <w:r>
        <w:t>5.2 全局页面布局规则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顶部显示系统名称、当前项目、当前状态、当前操作人和风险提示入口。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左侧菜单必须按照“系统首页、数据管理、数元贡献度计量、收益分配计算、报告生成与导出、系统管理”的顺序展示；系统首页不设二级菜单，数据管理下设数据接入管理、数据资源管理、参与方管理，数元贡献度计量下设质量评估管理、数元计量管理、贡献度与效用计算，收益分配计算下设 MD-DShap 计算管理、收益分配模拟、合同约束管理，系统管理下设参数配置、用户与权限管理（P1）、审计日志管理。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页面顶部固定显示当前项目状态条：草稿、已接入、已评估、已计量、已计算效用、已计算权重、已分配、已确认、已导出。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每个计算页面必须显示前置条件检查列表，未满足项以禁用按钮和明确文案提示。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每个导出页面必须显示导出字段清单和“模拟参考，非法律结算”说明。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每个查看 trace 的页面采用“摘要表 + 展开抽屉/弹窗”的交互，避免主表过宽。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已锁定或已导出的项目，核心配置按钮默认置灰，用户只能复制新版本后修改。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空状态必须说明下一步操作，而不是只显示“暂无数据”。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错误提示必须定位到字段、前置条件或业务规则。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所有重要操作包括删除、停用、重新计算、锁定方案、导出报告必须二次确认。</w:t>
      </w:r>
    </w:p>
    <w:p>
      <w:pPr>
        <w:pStyle w:val="Heading2"/>
      </w:pPr>
      <w:r>
        <w:t>5.3 页面组件设计输入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组件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使用场景</w:t>
            </w:r>
          </w:p>
        </w:tc>
        <w:tc>
          <w:tcPr>
            <w:tcW w:type="dxa" w:w="453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设计要求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状态进度条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首页和所有业务页面顶部。</w:t>
            </w:r>
          </w:p>
        </w:tc>
        <w:tc>
          <w:tcPr>
            <w:tcW w:type="dxa" w:w="453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展示当前项目状态；点击状态可跳转到对应模块；未解锁状态不可点击。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数据表格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数据包、资源、参与方、分配结果、日志。</w:t>
            </w:r>
          </w:p>
        </w:tc>
        <w:tc>
          <w:tcPr>
            <w:tcW w:type="dxa" w:w="453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支持空状态、筛选、分页、操作列；字段过多时固定关键列。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参数表单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质量权重、数元系数、贡献因子、算法参数。</w:t>
            </w:r>
          </w:p>
        </w:tc>
        <w:tc>
          <w:tcPr>
            <w:tcW w:type="dxa" w:w="453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必填校验、取值范围、恢复默认、保存版本。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计算类页面。</w:t>
            </w:r>
          </w:p>
        </w:tc>
        <w:tc>
          <w:tcPr>
            <w:tcW w:type="dxa" w:w="453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每项显示通过/未通过；未通过时禁用计算按钮。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 抽屉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效用、MD-DShap、约束调整、审计日志。</w:t>
            </w:r>
          </w:p>
        </w:tc>
        <w:tc>
          <w:tcPr>
            <w:tcW w:type="dxa" w:w="453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展示输入、公式、参数、输出、快照 ID。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风险提示卡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首页、上传页、算法页、报告页。</w:t>
            </w:r>
          </w:p>
        </w:tc>
        <w:tc>
          <w:tcPr>
            <w:tcW w:type="dxa" w:w="453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必须包含模拟数据、非法律结算、禁止敏感数据。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导出确认弹窗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报告导出、审计导出。</w:t>
            </w:r>
          </w:p>
        </w:tc>
        <w:tc>
          <w:tcPr>
            <w:tcW w:type="dxa" w:w="453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展示文件类型、字段清单、版本号、免责声明。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复制新版本弹窗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已确认或已导出后修改。</w:t>
            </w:r>
          </w:p>
        </w:tc>
        <w:tc>
          <w:tcPr>
            <w:tcW w:type="dxa" w:w="453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说明原版本不可覆盖，新版本继承哪些数据。</w:t>
            </w:r>
          </w:p>
        </w:tc>
      </w:tr>
    </w:tbl>
    <w:p/>
    <w:p>
      <w:pPr>
        <w:pStyle w:val="Heading1"/>
      </w:pPr>
      <w:r>
        <w:t>6. 核心业务数据对象与数据库设计输入</w:t>
      </w:r>
    </w:p>
    <w:p>
      <w:pPr>
        <w:pStyle w:val="Heading2"/>
      </w:pPr>
      <w:r>
        <w:t>6.1 候选表清单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allocation_project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项目/场景主表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 PK, project_name, scenario_name, status, current_package_id, current_algorithm_task_id, created_by, created_at, updated_at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项目名称唯一性可按演示环境放宽；状态进入已导出后禁止直接改关键输入。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data_package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输入数据包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 PK, project_id FK, package_name, source_type, file_name, file_size, checksum, status, input_snapshot_id, validation_result_id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同一项目可有多个数据包版本；上传失败不生成有效包。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input_snapshot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snapshot_id PK, project_id, object_type, object_id, content_json, checksum,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计算和导出必须引用快照，历史结果不得因原对象变化而改变。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upload_validation_result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upload_validation_result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上传校验结果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validation_result_id PK, package_id, is_valid, error_code, error_field, error_message, detail_json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失败详情页面直接读取本表。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data_resource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resource_id PK, package_id FK, resource_name, modality, field_count, sample_count, missing_rate, include_in_calculation,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只保存元数据和统计信息，不保存真实敏感原文。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data_resource_party_relation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data_resource_party_relation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资源-参与方关系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relation_id PK, resource_id FK, party_id FK, split_ratio, is_primary_provider,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资源进入计算前必须至少关联一个数据源主体。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party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 PK, project_id FK, party_name, party_type, include_in_md_dshap, is_data_provider, credit_code, contact_name,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项目内 party_name 唯一；历史引用后不得物理删除。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quality_assessment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 PK, project_id, package_id, score, level, quality_factor, parameter_snapshot_id, evidence_summary,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重新评估生成新版本。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quality_score_detail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quality_score_detail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质量维度得分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 PK, assessment_id FK, dimension_code, dimension_name, parent_dimension_code, weight, score, evidence_text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支持一级/二级指标树。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shuyuan_metering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数元计量主表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metering_id PK, project_id, assessment_id, base_price, scenario_coefficient, quality_coefficient, technology_coefficient, expert_coefficient, development_coefficient, total_amount,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公式参数必须随结果保存。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shuyuan_metering_detail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shuyuan_metering_detail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detail_id PK, metering_id FK, resource_id, party_id, call_count, coefficient_json, metering_amount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资源级、参与方级、项目级汇总均由明细聚合。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contribution_record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contribution_id PK, project_id, party_id, valid_units, usage_weight, coverage_weight, scarcity_weight, contribution_score, normalized_contribution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总贡献为 0 时不得生成 normalized_contribution。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utility_record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utility_id PK, project_id, party_id, task_id, normalized_contribution, quality_factor, usage_factor, scenario_factor, utility_value, trace_id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的 v(S,t) 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utility_trace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效用计算 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 PK, utility_id FK, formula_text, input_json, output_json,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用于算法审计和 UI 展开。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15. md_dshap_task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任务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 PK, project_id, algorithm_mode, participant_set_json, task_set_json, seed, sample_rounds, epsilon, status, algorithm_version, parameter_snapshot_id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 为默认；BASIC_SHAPLEY 仅用于小规模基线。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16. md_dshap_result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 PK, task_id FK, party_id, participant_weight, task_level_weight_json, normalized_weight, approximation_note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权重合计必须归一化为 1，保留 6 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17. md_dshap_marginal_trace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边际贡献明细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 PK, task_id, party_id, task_key, coalition_key, marginal_contribution, iteration_no, seed,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可按采样轮次或任务维度折叠展示。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18. allocation_scenario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 PK, project_id, total_revenue, priority_allocation_amount, data_provider_revenue_pool, allocation_mode, status, locked_by, locked_at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锁定后不能直接重算。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19. allocation_priority_item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allocation_priority_item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合同优先分配项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item_id PK, allocation_id FK, party_id, value_type, priority_amount, priority_ratio, priority, basis_text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非数据贡献主体可先分配。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20. contract_constraint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constraint_id PK, project_id, party_id, constraint_name, constraint_type, value_type, constraint_value, priority, status, description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已被报告引用后只能停用。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21. allocation_result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分配结果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 PK, allocation_id FK, party_id, raw_weight, normalized_weight, pre_constraint_amount, post_constraint_amount, constraint_adjustment_reason, rounding_delta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source_level_allocation.csv 的主数据来源。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22. constraint_apply_trace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constraint_apply_trace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约束执行 trace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trace_id PK, allocation_id, constraint_id, party_id, before_amount, after_amount, adjustment_amount, reason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用于约束调整前后对比。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23. report_record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报告记录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 PK, project_id, report_type, file_name, file_format, file_path, checksum, created_by, created_at, source_snapshot_id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已导出报告不得静默覆盖。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24. audit_log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 PK, project_id, module_code, operation_type, object_type, object_id, operator_id, before_value_json, after_value_json, status, failure_reason, created_at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所有新增、编辑、删除、计算、导出必须记录。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25. system_parameter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parameter_id PK, parameter_code, parameter_name, parameter_type, default_value, current_value, scope, is_editable, version_no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参数修改只影响新计算。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26. user / role / permission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候选表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 / role / 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用途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用户权限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user_id, role_id, permission_id, user_role, role_permission, status, password_hash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设计说明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不启用登录，仅保留本地操作员。</w:t>
            </w:r>
          </w:p>
        </w:tc>
      </w:tr>
    </w:tbl>
    <w:p>
      <w:pPr>
        <w:spacing w:after="40"/>
      </w:pPr>
    </w:p>
    <w:p>
      <w:pPr>
        <w:pStyle w:val="Heading2"/>
      </w:pPr>
      <w:r>
        <w:t>6.2 主外键关系建议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allocation_project 为项目根对象，几乎所有业务表均应带 project_id。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data_package 归属 allocation_project，一个项目可以存在多个数据包版本。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data_resource 归属 data_package，并通过 data_resource_party_relation 关联 party。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party 归属 allocation_project，项目内名称唯一。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quality_assessment 引用 data_package 和质量参数快照。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shuyuan_metering 引用 quality_assessment，明细引用 data_resource 和 party。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contribution_record 与 utility_record 均以 party_id 为主体维度。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md_dshap_task 引用效用版本和参数快照，md_dshap_result 和 md_dshap_marginal_trace 引用 task_id。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allocation_scenario 引用项目、收益池配置、算法权重结果和合同约束版本。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allocation_result 引用 allocation_scenario 和 party，是分配导出的主事实表。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report_record 引用项目和输出快照，保存文件路径、校验摘要和版本。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audit_log 可引用任意对象，应保留 object_type + object_id 的通用字段。</w:t>
      </w:r>
    </w:p>
    <w:p>
      <w:pPr>
        <w:pStyle w:val="Heading2"/>
      </w:pPr>
      <w:r>
        <w:t>6.3 字段类型与精度规则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字段类型</w:t>
            </w:r>
          </w:p>
        </w:tc>
        <w:tc>
          <w:tcPr>
            <w:tcW w:type="dxa" w:w="29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建议类型</w:t>
            </w:r>
          </w:p>
        </w:tc>
        <w:tc>
          <w:tcPr>
            <w:tcW w:type="dxa" w:w="46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规则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</w:t>
            </w:r>
          </w:p>
        </w:tc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4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展示保留 2 位，计算使用 Decimal，禁止 float。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</w:t>
            </w:r>
          </w:p>
        </w:tc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Decimal(18,6)</w:t>
            </w:r>
          </w:p>
        </w:tc>
        <w:tc>
          <w:tcPr>
            <w:tcW w:type="dxa" w:w="4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权重合计需校验为 1，允许 0.000001 内误差。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分数</w:t>
            </w:r>
          </w:p>
        </w:tc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Decimal(8,4)</w:t>
            </w:r>
          </w:p>
        </w:tc>
        <w:tc>
          <w:tcPr>
            <w:tcW w:type="dxa" w:w="4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质量分、贡献分、效用值可保留 4 位或 6 位。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系数</w:t>
            </w:r>
          </w:p>
        </w:tc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Decimal(12,6)</w:t>
            </w:r>
          </w:p>
        </w:tc>
        <w:tc>
          <w:tcPr>
            <w:tcW w:type="dxa" w:w="4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所有系数必须大于 0，调用量除外。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</w:t>
            </w:r>
          </w:p>
        </w:tc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Integer / BigInteger</w:t>
            </w:r>
          </w:p>
        </w:tc>
        <w:tc>
          <w:tcPr>
            <w:tcW w:type="dxa" w:w="4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必须大于等于 0。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快照内容</w:t>
            </w:r>
          </w:p>
        </w:tc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/ Text</w:t>
            </w:r>
          </w:p>
        </w:tc>
        <w:tc>
          <w:tcPr>
            <w:tcW w:type="dxa" w:w="4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需要 checksum，避免历史篡改。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日志内容</w:t>
            </w:r>
          </w:p>
        </w:tc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/ JSONL</w:t>
            </w:r>
          </w:p>
        </w:tc>
        <w:tc>
          <w:tcPr>
            <w:tcW w:type="dxa" w:w="4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before/after 推荐 JSON。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枚举</w:t>
            </w:r>
          </w:p>
        </w:tc>
        <w:tc>
          <w:tcPr>
            <w:tcW w:type="dxa" w:w="29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 + 字典表可选</w:t>
            </w:r>
          </w:p>
        </w:tc>
        <w:tc>
          <w:tcPr>
            <w:tcW w:type="dxa" w:w="4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可硬编码，P1 可迁移到系统字典。</w:t>
            </w:r>
          </w:p>
        </w:tc>
      </w:tr>
    </w:tbl>
    <w:p/>
    <w:p>
      <w:pPr>
        <w:pStyle w:val="Heading2"/>
      </w:pPr>
      <w:r>
        <w:t>6.4 索引建议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表</w:t>
            </w:r>
          </w:p>
        </w:tc>
        <w:tc>
          <w:tcPr>
            <w:tcW w:type="dxa" w:w="670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建议索引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status, created_at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checksum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package_id, modality, include_in_calculation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 + party_name unique, party_type, include_in_md_dshap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package_id, version_no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assessment_id, version_no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utility_record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task_id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status, algorithm_mode, created_at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party_id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allocation_id, party_id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status, priority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report_type, created_at</w:t>
            </w:r>
          </w:p>
        </w:tc>
      </w:tr>
      <w:tr>
        <w:tc>
          <w:tcPr>
            <w:tcW w:type="dxa" w:w="26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</w:t>
            </w:r>
          </w:p>
        </w:tc>
        <w:tc>
          <w:tcPr>
            <w:tcW w:type="dxa" w:w="67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module_code, operation_type, object_id, created_at</w:t>
            </w:r>
          </w:p>
        </w:tc>
      </w:tr>
    </w:tbl>
    <w:p/>
    <w:p>
      <w:pPr>
        <w:pStyle w:val="Heading1"/>
      </w:pPr>
      <w:r>
        <w:t>7. 模块详细功能设计</w:t>
      </w:r>
    </w:p>
    <w:p>
      <w:r>
        <w:rPr>
          <w:rFonts w:ascii="Calibri" w:hAnsi="Calibri" w:eastAsia="Microsoft YaHei"/>
          <w:b w:val="0"/>
          <w:i w:val="0"/>
          <w:sz w:val="22"/>
        </w:rPr>
        <w:t>本章按模块给出“页面目的、功能单元、关键数据、按钮行为、数据库副作用、UI 设计输入”。按钮行为采用压缩功能卡形式，后续 UI 设计可直接转为页面按钮和交互说明，后续数据库设计可直接映射到候选表和字段。</w:t>
      </w:r>
    </w:p>
    <w:p>
      <w:pPr>
        <w:pStyle w:val="Heading2"/>
      </w:pPr>
      <w:r>
        <w:t>7.1 系统首页（SYS）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模块职责：项目总览、流程入口、风险提示、一键计算。</w:t>
      </w:r>
    </w:p>
    <w:p>
      <w:r>
        <w:rPr>
          <w:rFonts w:ascii="Calibri" w:hAnsi="Calibri" w:eastAsia="Microsoft YaHei"/>
          <w:b w:val="0"/>
          <w:i w:val="0"/>
          <w:sz w:val="22"/>
        </w:rPr>
        <w:t>系统首页为一级导航页面，不设置二级窗口。页面内部区块不进入 nav_menu，不作为独立路由，不单独配置权限菜单。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关键数据对象：AllocationProject、AuditLog、ReportRecord。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关键状态：草稿/已接入/已分配/已导出。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7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68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/dashboard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系统首页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项目总览、流程入口、风险提示、一键计算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选择演示数据、上传输入文件、进入流程、启动完整计算、查看报告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6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6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1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2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4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SYS-002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</w:t>
            </w:r>
          </w:p>
        </w:tc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初始化项目、数据包、默认参与方和默认参数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写入 allocation_project/data_package/input_snapshot/audit_log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SYS-004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启动完整计算</w:t>
            </w:r>
          </w:p>
        </w:tc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按质量、计量、效用、MD-DShap、分配顺序执行管线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写入每阶段结果和 trace；失败时记录失败节点</w:t>
            </w:r>
          </w:p>
        </w:tc>
      </w:tr>
      <w:tr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SYS-005</w:t>
            </w:r>
          </w:p>
        </w:tc>
        <w:tc>
          <w:tcPr>
            <w:tcW w:type="dxa" w:w="11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查看系统风险提示</w:t>
            </w:r>
          </w:p>
        </w:tc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展示模拟参考、禁止真实敏感数据、非法律结算说明</w:t>
            </w:r>
          </w:p>
        </w:tc>
        <w:tc>
          <w:tcPr>
            <w:tcW w:type="dxa" w:w="45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不改状态；加载失败使用默认文案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首页不应重复计算业务结果，只聚合读取各阶段最新版本和状态。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一键计算应调用 Pipeline/Orchestration 服务，内部逐阶段写入日志。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风险提示文案来自系统参数；加载失败时使用默认内置文案。</w:t>
      </w:r>
    </w:p>
    <w:p>
      <w:pPr>
        <w:pStyle w:val="Heading2"/>
      </w:pPr>
      <w:r>
        <w:t>7.2 数据接入管理（DATA）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模块职责：演示数据选择、JSON 上传、格式校验、失败详情。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关键数据对象：DataPackage、InputSnapshot、UploadValidationResult。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关键状态：草稿 -&gt; 已接入。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/data/ingestion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数据接入管理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数据包列表、上传结果、失败详情、预览入口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选择演示数据、上传 JSON、查看详情、查看失败原因、删除/停用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24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4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DATA-002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从内置样例生成标准输入快照</w:t>
            </w:r>
          </w:p>
        </w:tc>
        <w:tc>
          <w:tcPr>
            <w:tcW w:type="dxa" w:w="4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生成有效 DataPackage，状态改为已接入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 JSON 输入文件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校验文件、解析 JSON、校验必填字段和业务字段</w:t>
            </w:r>
          </w:p>
        </w:tc>
        <w:tc>
          <w:tcPr>
            <w:tcW w:type="dxa" w:w="4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成功写 DataPackage；失败写 UploadValidationResult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DATA-007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数据预览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展示字段、模态、样本数、缺失率和脱敏摘要</w:t>
            </w:r>
          </w:p>
        </w:tc>
        <w:tc>
          <w:tcPr>
            <w:tcW w:type="dxa" w:w="4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只读，不展示敏感原文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DATA-008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上传失败详情查看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定位错误字段、错误类型、修复建议</w:t>
            </w:r>
          </w:p>
        </w:tc>
        <w:tc>
          <w:tcPr>
            <w:tcW w:type="dxa" w:w="4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从 UploadValidationResult 读取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DATA-009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删除/停用数据包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未被引用可逻辑删除；已导出只能复制新版本</w:t>
            </w:r>
          </w:p>
        </w:tc>
        <w:tc>
          <w:tcPr>
            <w:tcW w:type="dxa" w:w="43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记录影响范围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上传成功才生成有效 DataPackage；上传失败仅记录校验结果。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输入快照必须保存原始结构化输入和 checksum。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预览页面读取摘要信息，不读取真实敏感原文。</w:t>
      </w:r>
    </w:p>
    <w:p>
      <w:pPr>
        <w:pStyle w:val="Heading2"/>
      </w:pPr>
      <w:r>
        <w:t>7.3 数据资源管理（RES）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模块职责：资源识别、字段/模态/样本统计、数据源主体关联。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关键数据对象：DataResource、DataResourcePartyRelation。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关键状态：已接入 -&gt; 可评估。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/data/resources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数据资源管理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资源列表、字段统计、模态标签、主体关联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查看详情、关联参与方、设置是否进入计算、导出摘要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5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35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2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417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RES-002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数据资源详情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展示资源元数据、字段统计、模态标签和关联主体</w:t>
            </w:r>
          </w:p>
        </w:tc>
        <w:tc>
          <w:tcPr>
            <w:tcW w:type="dxa" w:w="4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只读；异常时显示资源不存在</w:t>
            </w:r>
          </w:p>
        </w:tc>
      </w:tr>
      <w:tr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RES-005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数据源主体关联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选择一个或多个数据源主体并配置拆分比例</w:t>
            </w:r>
          </w:p>
        </w:tc>
        <w:tc>
          <w:tcPr>
            <w:tcW w:type="dxa" w:w="4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data_resource_party_relation；影响算法集合</w:t>
            </w:r>
          </w:p>
        </w:tc>
      </w:tr>
      <w:tr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RES-007</w:t>
            </w:r>
          </w:p>
        </w:tc>
        <w:tc>
          <w:tcPr>
            <w:tcW w:type="dxa" w:w="135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数据资源导出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导出资源摘要和关联关系</w:t>
            </w:r>
          </w:p>
        </w:tc>
        <w:tc>
          <w:tcPr>
            <w:tcW w:type="dxa" w:w="4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report_record/audit_log，不导出敏感原文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资源统计字段应在接入阶段生成，避免 UI 每次重新扫描。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资源与参与方关系使用中间表，支持多主体拆分。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已导出项目中的资源关系修改必须走复制新版本。</w:t>
      </w:r>
    </w:p>
    <w:p>
      <w:pPr>
        <w:pStyle w:val="Heading2"/>
      </w:pPr>
      <w:r>
        <w:t>7.4 参与方管理（PARTY）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模块职责：数据源主体、运营方、中试基地、专家方等主体维护。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关键数据对象：Party、DataResourcePartyRelation。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关键状态：有效/停用。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/data/parties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参与方列表、类型、算法集合标记、合同主体标记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新增、编辑、启用/停用、关联资源、查看贡献结果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2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47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新增参与方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录入主体名称、类型、算法集合标记和联系人</w:t>
            </w:r>
          </w:p>
        </w:tc>
        <w:tc>
          <w:tcPr>
            <w:tcW w:type="dxa" w:w="47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数据源主体默认 include_in_md_dshap=true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PARTY-003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编辑参与方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修改主体字段，关键字段历史引用后需新版本</w:t>
            </w:r>
          </w:p>
        </w:tc>
        <w:tc>
          <w:tcPr>
            <w:tcW w:type="dxa" w:w="47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before/after 日志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PARTY-005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启用/停用参与方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控制主体是否参与新计算</w:t>
            </w:r>
          </w:p>
        </w:tc>
        <w:tc>
          <w:tcPr>
            <w:tcW w:type="dxa" w:w="47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历史结果继续展示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PARTY-006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关联数据资源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从主体角度维护资源关系</w:t>
            </w:r>
          </w:p>
        </w:tc>
        <w:tc>
          <w:tcPr>
            <w:tcW w:type="dxa" w:w="47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与 RES-005 双向同步</w:t>
            </w:r>
          </w:p>
        </w:tc>
      </w:tr>
      <w:tr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PARTY-008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查看参与方贡献结果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汇总贡献度、效用、权重、金额</w:t>
            </w:r>
          </w:p>
        </w:tc>
        <w:tc>
          <w:tcPr>
            <w:tcW w:type="dxa" w:w="47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读取 contribution/utility/md_dshap/allocation 结果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party_type 决定 include_in_md_dshap 默认值，但用户可在有权限时调整。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party_name 在同一项目内唯一。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停用主体不参与新计算，但历史结果仍展示。</w:t>
      </w:r>
    </w:p>
    <w:p>
      <w:pPr>
        <w:pStyle w:val="Heading2"/>
      </w:pPr>
      <w:r>
        <w:t>7.5 质量评估管理（QUAL）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模块职责：指标权重、质量评分、等级、证据说明。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关键数据对象：QualityAssessment、QualityScoreDetail。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关键状态：已接入 -&gt; 已评估。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/metering/quality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质量评估管理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指标体系、权重配置、评分结果、证据说明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配置权重、启动评估、查看维度分、重新评估、导出报告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8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38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18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47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QUAL-002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质量指标权重配置</w:t>
            </w:r>
          </w:p>
        </w:tc>
        <w:tc>
          <w:tcPr>
            <w:tcW w:type="dxa" w:w="18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配置一级/二级指标权重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权重合计必须为 1，写参数快照</w:t>
            </w:r>
          </w:p>
        </w:tc>
      </w:tr>
      <w:t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QUAL-003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启动质量评估</w:t>
            </w:r>
          </w:p>
        </w:tc>
        <w:tc>
          <w:tcPr>
            <w:tcW w:type="dxa" w:w="18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计算质量总分、维度分、等级和证据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quality_assessment/quality_score_detail</w:t>
            </w:r>
          </w:p>
        </w:tc>
      </w:tr>
      <w:t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QUAL-006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查看二级指标得分</w:t>
            </w:r>
          </w:p>
        </w:tc>
        <w:tc>
          <w:tcPr>
            <w:tcW w:type="dxa" w:w="18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展开一级维度下的二级指标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只读显示 score/weight/evidence</w:t>
            </w:r>
          </w:p>
        </w:tc>
      </w:tr>
      <w:tr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QUAL-009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重新评估</w:t>
            </w:r>
          </w:p>
        </w:tc>
        <w:tc>
          <w:tcPr>
            <w:tcW w:type="dxa" w:w="18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以当前数据和参数生成新评估版本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不覆盖旧 assessment_id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质量权重和评分结果都要版本化。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质量等级映射 quality_factor，供数元和效用模块读取。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重新评估生成新 assessment_id。</w:t>
      </w:r>
    </w:p>
    <w:p>
      <w:pPr>
        <w:pStyle w:val="Heading2"/>
      </w:pPr>
      <w:r>
        <w:t>7.6 数元计量管理（DU）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模块职责：基准价、调用量、场景/质量/技术/专家/发展系数。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关键数据对象：ShuyuanMetering、ShuyuanMeteringDetail。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关键状态：已评估 -&gt; 已计量。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/metering/shuyuan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数元计量管理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基准价、调用量、系数配置、计量明细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配置基准价、录入调用量、执行计量、查看明细、导出结果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27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基准数元配置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设置 base_shuyuan_price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必须大于 0，写参数快照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调用量录入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资源级/模态级录入 call_count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&gt;=0；0 调用量金额为 0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执行数元计量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按基准价、系数、调用量计算计量金额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shuyuan_metering 和 detail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查看数元计量明细</w:t>
            </w:r>
          </w:p>
        </w:tc>
        <w:tc>
          <w:tcPr>
            <w:tcW w:type="dxa" w:w="27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展示公式展开和参数版本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只读追溯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计量公式参数必须随 metering 结果固化。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资源级明细是项目级和参与方级汇总的唯一来源。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调用量为 0 允许计算，结果为 0。</w:t>
      </w:r>
    </w:p>
    <w:p>
      <w:pPr>
        <w:pStyle w:val="Heading2"/>
      </w:pPr>
      <w:r>
        <w:t>7.7 贡献度与效用计算（UTIL）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模块职责：贡献因子、归一化贡献、效用函数、效用 trace。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关键数据对象：ContributionRecord、UtilityRecord、UtilityTrace。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关键状态：已计量 -&gt; 已计算效用。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91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9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/metering/utility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9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贡献度与效用计算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9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贡献因子、归一化贡献、效用函数、trace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9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配置贡献因子、计算贡献度、配置效用函数、计算效用值、查看 trace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9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4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9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23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493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19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UTIL-001</w:t>
            </w:r>
          </w:p>
        </w:tc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贡献因子配置</w:t>
            </w:r>
          </w:p>
        </w:tc>
        <w:tc>
          <w:tcPr>
            <w:tcW w:type="dxa" w:w="49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 valid_units、usage_weight、coverage_weight、scarcity_weight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valid_units&gt;=0，权重&gt;0</w:t>
            </w:r>
          </w:p>
        </w:tc>
      </w:tr>
      <w:tr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UTIL-006</w:t>
            </w:r>
          </w:p>
        </w:tc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贡献度计算</w:t>
            </w:r>
          </w:p>
        </w:tc>
        <w:tc>
          <w:tcPr>
            <w:tcW w:type="dxa" w:w="49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计算贡献度并归一化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总贡献为 0 时阻止</w:t>
            </w:r>
          </w:p>
        </w:tc>
      </w:tr>
      <w:tr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UTIL-007</w:t>
            </w:r>
          </w:p>
        </w:tc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效用函数配置</w:t>
            </w:r>
          </w:p>
        </w:tc>
        <w:tc>
          <w:tcPr>
            <w:tcW w:type="dxa" w:w="49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配置质量因子、使用因子、场景因子和来源说明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报告必须披露来源</w:t>
            </w:r>
          </w:p>
        </w:tc>
      </w:tr>
      <w:tr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UTIL-008</w:t>
            </w:r>
          </w:p>
        </w:tc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效用值计算</w:t>
            </w:r>
          </w:p>
        </w:tc>
        <w:tc>
          <w:tcPr>
            <w:tcW w:type="dxa" w:w="49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 utility_value 并生成 trace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状态推进到已计算效用</w:t>
            </w:r>
          </w:p>
        </w:tc>
      </w:tr>
      <w:tr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UTIL-009</w:t>
            </w:r>
          </w:p>
        </w:tc>
        <w:tc>
          <w:tcPr>
            <w:tcW w:type="dxa" w:w="123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查看效用计算过程</w:t>
            </w:r>
          </w:p>
        </w:tc>
        <w:tc>
          <w:tcPr>
            <w:tcW w:type="dxa" w:w="49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查看公式、输入、输出、版本</w:t>
            </w:r>
          </w:p>
        </w:tc>
        <w:tc>
          <w:tcPr>
            <w:tcW w:type="dxa" w:w="19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只读 trace 面板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贡献度归一化前必须校验总贡献大于 0。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效用函数来源必须写入 snapshot，用于报告披露。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trace 应保存公式、输入值、输出值和参数版本。</w:t>
      </w:r>
    </w:p>
    <w:p>
      <w:pPr>
        <w:pStyle w:val="Heading2"/>
      </w:pPr>
      <w:r>
        <w:t>7.8 MD-DShap 计算管理（MDS）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模块职责：MD-DShap 计算管理，包括默认权重算法、任务集合、边际贡献、权重、审计快照。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关键数据对象：MDDShapTask、MDDShapResult、MDDShapMarginalTrace。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关键状态：已计算效用 -&gt; 已计算权重。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/allocation/md-dshap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算法模式、参与方集合、任务集合、参数、边际贡献、权重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配置参数、启动计算、查看进度、查看边际贡献、查看权重、重新计算、导出审计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3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3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 MD-DShap 计算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校验效用、参与方集合、任务集合和参数后执行默认算法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task/result/marginal_trace/audit_snapshot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MDS-012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查看计算进度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展示等待、计算中、成功、失败状态和阶段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异步；P0 可显示同步阶段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MDS-013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查看边际贡献明细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按参与方、任务、联盟、轮次查看 marginal_contribution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支持折叠和筛选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MDS-014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查看参与方权重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 participant_weight、task_level_weight、normalized_weight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权重合计=1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MDS-015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查看复杂度优化说明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展示默认 MD-DShap、采样/动态近似、边界说明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报告同步披露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MDS-016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重新计算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复制旧参数或新参数重新生成任务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不覆盖历史 task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MDS-017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导出算法结果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导出算法输入、参数、输出、边际 trace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report_record</w:t>
            </w:r>
          </w:p>
        </w:tc>
      </w:tr>
      <w:tr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MDS-018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生成算法审计说明</w:t>
            </w:r>
          </w:p>
        </w:tc>
        <w:tc>
          <w:tcPr>
            <w:tcW w:type="dxa" w:w="38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生成算法模式、参数、效用来源、假设、边界说明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作为 md_dshap_audit_report.md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默认 algorithm_mode=MD_DSHAP。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参与方集合只能包含 include_in_md_dshap=true 的数据源主体。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基础 Shapley 仅保留为小规模 baseline_check。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边际贡献明细可能较多，UI 应分页或折叠。</w:t>
      </w:r>
    </w:p>
    <w:p>
      <w:pPr>
        <w:pStyle w:val="Heading2"/>
      </w:pPr>
      <w:r>
        <w:t>7.9 收益分配模拟（ALLOC）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模块职责：收益分配模拟，包括总收益、合同优先、数据源收益池、分配模式、分配结果。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关键数据对象：AllocationScenario、AllocationResult。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关键状态：已计算权重 -&gt; 已分配/已确认。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/allocation/simulation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收益池、合同优先、模式选择、约束前后金额、方案对比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配置总收益、配置优先分配、选择模式、执行模拟、锁定方案、导出结果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配置总收益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录入 total_revenue 和币种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金额&gt;=0，精度 2 位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配置合同优先分配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为非数据主体配置优先金额/比例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优先总额不得超过总收益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选择分配模式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MD-DShap 权重分配，可选合同比例/加权贡献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不作为默认最终模式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执行收益分配模拟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先扣优先分配，再按数据源权重分配，再应用约束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allocation_result/constraint_trace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查看分配方案对比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对比合同比例、加权贡献、MD-DShap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展示权重来源和金额差异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锁定分配方案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人工确认参考方案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状态已分配 -&gt; 已确认；锁定后只读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导出分配结果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allocation_result.\* 和 source_level_allocation.csv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report_id/checksum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先扣合同优先分配，再形成数据源收益池。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分配结果必须同时保存约束前金额和约束后金额。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锁定方案后所有关键配置只读。</w:t>
      </w:r>
    </w:p>
    <w:p>
      <w:pPr>
        <w:pStyle w:val="Heading2"/>
      </w:pPr>
      <w:r>
        <w:t>7.10 合同约束管理（CONS）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模块职责：合同约束管理，包括保底、封顶、最小、最大、固定比例、优先分配。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关键数据对象：ContractConstraint、ConstraintApplyTrace。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关键状态：配置生效/禁用。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/allocation/constraints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合同约束管理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约束列表、约束类型、对象、优先级、生效状态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新增约束、编辑约束、启用/禁用、查看约束检查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6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25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349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CONS-002</w:t>
            </w:r>
          </w:p>
        </w:tc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新增合同约束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配置约束对象、类型、值、优先级、说明</w:t>
            </w:r>
          </w:p>
        </w:tc>
        <w:tc>
          <w:tcPr>
            <w:tcW w:type="dxa" w:w="34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contract_constraint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CONS-003</w:t>
            </w:r>
          </w:p>
        </w:tc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编辑合同约束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未被锁定时修改规则</w:t>
            </w:r>
          </w:p>
        </w:tc>
        <w:tc>
          <w:tcPr>
            <w:tcW w:type="dxa" w:w="34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参数修改不回改历史结果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CONS-004</w:t>
            </w:r>
          </w:p>
        </w:tc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删除/停用合同约束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已被引用只能停用</w:t>
            </w:r>
          </w:p>
        </w:tc>
        <w:tc>
          <w:tcPr>
            <w:tcW w:type="dxa" w:w="34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二次确认并写日志</w:t>
            </w:r>
          </w:p>
        </w:tc>
      </w:tr>
      <w:tr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CONS-011</w:t>
            </w:r>
          </w:p>
        </w:tc>
        <w:tc>
          <w:tcPr>
            <w:tcW w:type="dxa" w:w="16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查看约束检查结果</w:t>
            </w:r>
          </w:p>
        </w:tc>
        <w:tc>
          <w:tcPr>
            <w:tcW w:type="dxa" w:w="25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展示约束前后金额和调整原因</w:t>
            </w:r>
          </w:p>
        </w:tc>
        <w:tc>
          <w:tcPr>
            <w:tcW w:type="dxa" w:w="349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读取 constraint_apply_trace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合同约束按优先级顺序执行。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每条约束应用结果写入 constraint_apply_trace。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已被报告引用的约束只能停用，不能物理删除。</w:t>
      </w:r>
    </w:p>
    <w:p>
      <w:pPr>
        <w:pStyle w:val="Heading2"/>
      </w:pPr>
      <w:r>
        <w:t>7.11 报告生成与导出（REP）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模块职责：报告生成与导出，包括 Markdown/CSV/JSON/JSONL 导出，PDF 为 P1。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关键数据对象：ReportRecord、ExportFile。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关键状态：已分配/已确认 -&gt; 已导出。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4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3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/reports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报告生成与导出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报告预览、导出记录、文件清单、历史版本 P1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Markdown、导出 CSV、导出 JSON、导出审计日志、生成 PDF P1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04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73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211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3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226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REP-001</w:t>
            </w:r>
          </w:p>
        </w:tc>
        <w:tc>
          <w:tcPr>
            <w:tcW w:type="dxa" w:w="21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报告预览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展示报告目录、风险说明和待导出文件</w:t>
            </w:r>
          </w:p>
        </w:tc>
        <w:tc>
          <w:tcPr>
            <w:tcW w:type="dxa" w:w="226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未完成前置时禁用相关导出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REP-002</w:t>
            </w:r>
          </w:p>
        </w:tc>
        <w:tc>
          <w:tcPr>
            <w:tcW w:type="dxa" w:w="21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Markdown 报告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生成质量、数元、算法、分配、确认书等 md</w:t>
            </w:r>
          </w:p>
        </w:tc>
        <w:tc>
          <w:tcPr>
            <w:tcW w:type="dxa" w:w="226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必须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REP-003</w:t>
            </w:r>
          </w:p>
        </w:tc>
        <w:tc>
          <w:tcPr>
            <w:tcW w:type="dxa" w:w="21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PDF 报告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基于模板渲染 PDF</w:t>
            </w:r>
          </w:p>
        </w:tc>
        <w:tc>
          <w:tcPr>
            <w:tcW w:type="dxa" w:w="226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实现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REP-004</w:t>
            </w:r>
          </w:p>
        </w:tc>
        <w:tc>
          <w:tcPr>
            <w:tcW w:type="dxa" w:w="21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CSV 明细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导出分配、资源、计量、算法明细</w:t>
            </w:r>
          </w:p>
        </w:tc>
        <w:tc>
          <w:tcPr>
            <w:tcW w:type="dxa" w:w="226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字段必须符合清单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REP-005</w:t>
            </w:r>
          </w:p>
        </w:tc>
        <w:tc>
          <w:tcPr>
            <w:tcW w:type="dxa" w:w="21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JSON 结果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导出结构化结果和 assumptions</w:t>
            </w:r>
          </w:p>
        </w:tc>
        <w:tc>
          <w:tcPr>
            <w:tcW w:type="dxa" w:w="226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便于自动验收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REP-006</w:t>
            </w:r>
          </w:p>
        </w:tc>
        <w:tc>
          <w:tcPr>
            <w:tcW w:type="dxa" w:w="21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导出算法审计说明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MD-DShap 审计报告</w:t>
            </w:r>
          </w:p>
        </w:tc>
        <w:tc>
          <w:tcPr>
            <w:tcW w:type="dxa" w:w="226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必须包含模式、参数、来源、假设</w:t>
            </w:r>
          </w:p>
        </w:tc>
      </w:tr>
      <w:tr>
        <w:tc>
          <w:tcPr>
            <w:tcW w:type="dxa" w:w="181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REP-009</w:t>
            </w:r>
          </w:p>
        </w:tc>
        <w:tc>
          <w:tcPr>
            <w:tcW w:type="dxa" w:w="21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导出收益分配确认书</w:t>
            </w:r>
          </w:p>
        </w:tc>
        <w:tc>
          <w:tcPr>
            <w:tcW w:type="dxa" w:w="31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输出模拟参考和人工确认说明</w:t>
            </w:r>
          </w:p>
        </w:tc>
        <w:tc>
          <w:tcPr>
            <w:tcW w:type="dxa" w:w="226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不得写成法律结算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导出前必须校验前置结果和字段清单。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每次导出生成 report_id、文件名、checksum。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PDF 为 P1，不影响 P0 Markdown 导出。</w:t>
      </w:r>
    </w:p>
    <w:p>
      <w:pPr>
        <w:pStyle w:val="Heading2"/>
      </w:pPr>
      <w:r>
        <w:t>7.12 参数配置（PARAM）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模块职责：参数配置，包括场景系数、质量权重、算法参数、报告模板、风险提示文案。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关键数据对象：SystemParameter、ParameterVersion。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关键状态：参数版本化。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/system/parameters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参数配置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质量权重、算法默认参数、风险提示文案、精度规则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新增/编辑参数、恢复默认、保存版本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7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44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160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6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PARAM-001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场景系数配置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 scenario_coefficient 默认值和范围</w:t>
            </w:r>
          </w:p>
        </w:tc>
        <w:tc>
          <w:tcPr>
            <w:tcW w:type="dxa" w:w="16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影响新计量/效用</w:t>
            </w:r>
          </w:p>
        </w:tc>
      </w:tr>
      <w:tr>
        <w:tc>
          <w:tcPr>
            <w:tcW w:type="dxa" w:w="16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PARAM-002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质量权重配置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维护质量指标权重模板</w:t>
            </w:r>
          </w:p>
        </w:tc>
        <w:tc>
          <w:tcPr>
            <w:tcW w:type="dxa" w:w="16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版本化</w:t>
            </w:r>
          </w:p>
        </w:tc>
      </w:tr>
      <w:tr>
        <w:tc>
          <w:tcPr>
            <w:tcW w:type="dxa" w:w="16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PARAM-004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参数配置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 seed、sample_rounds、epsilon 默认值</w:t>
            </w:r>
          </w:p>
        </w:tc>
        <w:tc>
          <w:tcPr>
            <w:tcW w:type="dxa" w:w="16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修改后需重新计算才生效</w:t>
            </w:r>
          </w:p>
        </w:tc>
      </w:tr>
      <w:tr>
        <w:tc>
          <w:tcPr>
            <w:tcW w:type="dxa" w:w="160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PARAM-008</w:t>
            </w:r>
          </w:p>
        </w:tc>
        <w:tc>
          <w:tcPr>
            <w:tcW w:type="dxa" w:w="17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风险提示文案配置</w:t>
            </w:r>
          </w:p>
        </w:tc>
        <w:tc>
          <w:tcPr>
            <w:tcW w:type="dxa" w:w="44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维护页面和报告免责声明</w:t>
            </w:r>
          </w:p>
        </w:tc>
        <w:tc>
          <w:tcPr>
            <w:tcW w:type="dxa" w:w="16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缺失时使用系统默认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参数修改只影响新计算，不回改历史结果。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高风险参数修改需要二次确认。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参数必须有默认值、取值范围、生效方式和版本号。</w:t>
      </w:r>
    </w:p>
    <w:p>
      <w:pPr>
        <w:pStyle w:val="Heading2"/>
      </w:pPr>
      <w:r>
        <w:t>7.13 用户与权限管理（P1）（USER）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模块职责：登录、用户、角色、权限、密码重置。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关键数据对象：User、Role、Permission、UserRole、RolePermission。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关键状态：本地操作员 -&gt; RBAC。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/system/users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用户与权限管理（P1）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用户列表、角色、权限矩阵、账号状态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新增用户、编辑用户、禁用、重置密码、配置权限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4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224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2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2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USER-001</w:t>
            </w:r>
          </w:p>
        </w:tc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用户查询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按账号、姓名、角色、状态查询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USER-002</w:t>
            </w:r>
          </w:p>
        </w:tc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新增用户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创建账号并分配角色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USER-007</w:t>
            </w:r>
          </w:p>
        </w:tc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重置密码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管理员触发密码重置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USER-009</w:t>
            </w:r>
          </w:p>
        </w:tc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权限配置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配置角色与按钮/菜单权限</w:t>
            </w:r>
          </w:p>
        </w:tc>
        <w:tc>
          <w:tcPr>
            <w:tcW w:type="dxa" w:w="22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P1 才启用登录和 RBAC。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权限模型需要覆盖菜单、页面、按钮和导出动作。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P0 的 local_operator 可视为系统内置用户。</w:t>
      </w:r>
    </w:p>
    <w:p>
      <w:pPr>
        <w:pStyle w:val="Heading2"/>
      </w:pPr>
      <w:r>
        <w:t>7.14 审计日志管理（AUD）</w:t>
      </w:r>
    </w:p>
    <w:p>
      <w:r>
        <w:rPr>
          <w:rFonts w:ascii="Calibri" w:hAnsi="Calibri" w:eastAsia="Microsoft YaHei"/>
          <w:b w:val="0"/>
          <w:i w:val="0"/>
          <w:sz w:val="22"/>
        </w:rPr>
        <w:t>模块职责：审计日志管理，包括操作日志、计算日志、快照、导出记录。</w:t>
      </w:r>
    </w:p>
    <w:p>
      <w:r>
        <w:rPr>
          <w:rFonts w:ascii="Calibri" w:hAnsi="Calibri" w:eastAsia="Microsoft YaHei"/>
          <w:b w:val="0"/>
          <w:i w:val="0"/>
          <w:sz w:val="22"/>
        </w:rPr>
        <w:t>关键数据对象：AuditLog、SnapshotStore。</w:t>
      </w:r>
    </w:p>
    <w:p>
      <w:r>
        <w:rPr>
          <w:rFonts w:ascii="Calibri" w:hAnsi="Calibri" w:eastAsia="Microsoft YaHei"/>
          <w:b w:val="0"/>
          <w:i w:val="0"/>
          <w:sz w:val="22"/>
        </w:rPr>
        <w:t>关键状态：全流程只读追溯。</w:t>
      </w:r>
    </w:p>
    <w:p>
      <w:pPr>
        <w:pStyle w:val="Heading3"/>
      </w:pPr>
      <w:r>
        <w:t>页面设计输入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65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入口路由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/system/audit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页面名称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审计日志管理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页面区块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日志查询、快照详情、计算 trace、导出记录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核心按钮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查询、查看详情、导出审计日志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空状态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说明当前缺少的前置数据，并给出下一步按钮。</w:t>
            </w:r>
          </w:p>
        </w:tc>
      </w:tr>
      <w:tr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异常状态</w:t>
            </w:r>
          </w:p>
        </w:tc>
        <w:tc>
          <w:tcPr>
            <w:tcW w:type="dxa" w:w="65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展示字段级或业务规则级错误；计算失败需提供查看详情入口。</w:t>
            </w:r>
          </w:p>
        </w:tc>
      </w:tr>
    </w:tbl>
    <w:p/>
    <w:p>
      <w:pPr>
        <w:pStyle w:val="Heading3"/>
      </w:pPr>
      <w:r>
        <w:t>按钮与功能单元设计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9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49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299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业务行为</w:t>
            </w:r>
          </w:p>
        </w:tc>
        <w:tc>
          <w:tcPr>
            <w:tcW w:type="dxa" w:w="33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数据副作用与设计要点</w:t>
            </w:r>
          </w:p>
        </w:tc>
      </w:tr>
      <w:tr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AUD-002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计算日志查询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按模块、任务、时间查询计算日志</w:t>
            </w:r>
          </w:p>
        </w:tc>
        <w:tc>
          <w:tcPr>
            <w:tcW w:type="dxa" w:w="33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读取 audit_log/snapshot_store</w:t>
            </w:r>
          </w:p>
        </w:tc>
      </w:tr>
      <w:tr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AUD-006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查看日志详情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展示输入快照、参数快照、输出快照、失败原因</w:t>
            </w:r>
          </w:p>
        </w:tc>
        <w:tc>
          <w:tcPr>
            <w:tcW w:type="dxa" w:w="33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审计员只读</w:t>
            </w:r>
          </w:p>
        </w:tc>
      </w:tr>
      <w:tr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AUD-007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导出审计日志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jsonl 或 markdown 审计说明</w:t>
            </w:r>
          </w:p>
        </w:tc>
        <w:tc>
          <w:tcPr>
            <w:tcW w:type="dxa" w:w="337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写 report_record</w:t>
            </w:r>
          </w:p>
        </w:tc>
      </w:tr>
    </w:tbl>
    <w:p/>
    <w:p>
      <w:pPr>
        <w:pStyle w:val="Heading3"/>
      </w:pPr>
      <w:r>
        <w:t>数据库与接口设计提示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计算类日志必须挂接输入快照、参数快照、输出快照。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审计员可按模块、操作、对象、时间、结果筛选。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sz w:val="22"/>
        </w:rPr>
        <w:t>日志导出使用 JSONL，便于逐行审计和自动校验。</w:t>
      </w:r>
    </w:p>
    <w:p>
      <w:pPr>
        <w:pStyle w:val="Heading1"/>
      </w:pPr>
      <w:r>
        <w:t>8. MD-DShap 专题功能设计</w:t>
      </w:r>
    </w:p>
    <w:p>
      <w:pPr>
        <w:pStyle w:val="Heading2"/>
      </w:pPr>
      <w:r>
        <w:t>8.1 产品定位</w:t>
      </w:r>
    </w:p>
    <w:p>
      <w:r>
        <w:rPr>
          <w:rFonts w:ascii="Calibri" w:hAnsi="Calibri" w:eastAsia="Microsoft YaHei"/>
          <w:b w:val="0"/>
          <w:i w:val="0"/>
          <w:sz w:val="22"/>
        </w:rPr>
        <w:t>MD-DShap 是系统默认权重计算策略。基础 Shapley 仅在参与方数量较少时作为基线校验，不作为默认最终分配模式。MD-DShap 模块必须同时满足产品需求、算法需求和审计需求。</w:t>
      </w:r>
    </w:p>
    <w:p>
      <w:pPr>
        <w:pStyle w:val="Heading2"/>
      </w:pPr>
      <w:r>
        <w:t>8.2 算法输入设计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输入项</w:t>
            </w:r>
          </w:p>
        </w:tc>
        <w:tc>
          <w:tcPr>
            <w:tcW w:type="dxa" w:w="2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字段建议</w:t>
            </w:r>
          </w:p>
        </w:tc>
        <w:tc>
          <w:tcPr>
            <w:tcW w:type="dxa" w:w="11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来源模块</w:t>
            </w:r>
          </w:p>
        </w:tc>
        <w:tc>
          <w:tcPr>
            <w:tcW w:type="dxa" w:w="440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校验规则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数据源主体集合 P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participant_set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只允许 include_in_md_dshap=true 且 party_type=DATA_PROVIDER 的主体。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任务集合 T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task_set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数据资源/场景配置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可使用 default_task；多任务模式必须显式传入。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 v(S,t)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utility_function_snapshot_id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效用计算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必须有来源说明、公式说明和参数快照。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质量评分 q_i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quality_factor / quality_score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取最新或用户选择的质量评估版本。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 c_i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normalized_contribution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贡献度计算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合计应为 1。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场景参数 s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scenario_factor / scenario_id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系统参数/场景配置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系数必须大于 0。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随机种子 seed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seed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大于等于 0，默认 42。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采样轮次 n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sample_rounds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完整开放；P0 可内置默认值。</w:t>
            </w:r>
          </w:p>
        </w:tc>
      </w:tr>
      <w:tr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收敛阈值 epsilon</w:t>
            </w:r>
          </w:p>
        </w:tc>
        <w:tc>
          <w:tcPr>
            <w:tcW w:type="dxa" w:w="27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epsilon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算法参数</w:t>
            </w:r>
          </w:p>
        </w:tc>
        <w:tc>
          <w:tcPr>
            <w:tcW w:type="dxa" w:w="44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大于 0；P1 用于异步或长任务。</w:t>
            </w:r>
          </w:p>
        </w:tc>
      </w:tr>
    </w:tbl>
    <w:p/>
    <w:p>
      <w:pPr>
        <w:pStyle w:val="Heading2"/>
      </w:pPr>
      <w:r>
        <w:t>8.3 算法输出设计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输出项</w:t>
            </w:r>
          </w:p>
        </w:tc>
        <w:tc>
          <w:tcPr>
            <w:tcW w:type="dxa" w:w="42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字段建议</w:t>
            </w:r>
          </w:p>
        </w:tc>
        <w:tc>
          <w:tcPr>
            <w:tcW w:type="dxa" w:w="203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用途</w:t>
            </w:r>
          </w:p>
        </w:tc>
      </w:tr>
      <w:tr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</w:t>
            </w:r>
          </w:p>
        </w:tc>
        <w:tc>
          <w:tcPr>
            <w:tcW w:type="dxa" w:w="42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 / normalized_weight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参与方综合权重，进入收益分配。</w:t>
            </w:r>
          </w:p>
        </w:tc>
      </w:tr>
      <w:tr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task_level_weight</w:t>
            </w:r>
          </w:p>
        </w:tc>
        <w:tc>
          <w:tcPr>
            <w:tcW w:type="dxa" w:w="42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task_level_weight_json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多任务下每个任务维度的权重。</w:t>
            </w:r>
          </w:p>
        </w:tc>
      </w:tr>
      <w:tr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marginal_contribution_trace</w:t>
            </w:r>
          </w:p>
        </w:tc>
        <w:tc>
          <w:tcPr>
            <w:tcW w:type="dxa" w:w="42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审计算法边际贡献过程。</w:t>
            </w:r>
          </w:p>
        </w:tc>
      </w:tr>
      <w:tr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approximation_note</w:t>
            </w:r>
          </w:p>
        </w:tc>
        <w:tc>
          <w:tcPr>
            <w:tcW w:type="dxa" w:w="42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approximation_note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披露采样、动态估值、近似假设和边界。</w:t>
            </w:r>
          </w:p>
        </w:tc>
      </w:tr>
      <w:tr>
        <w:tc>
          <w:tcPr>
            <w:tcW w:type="dxa" w:w="30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</w:t>
            </w:r>
          </w:p>
        </w:tc>
        <w:tc>
          <w:tcPr>
            <w:tcW w:type="dxa" w:w="42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algorithm_audit_snapshot_id</w:t>
            </w:r>
          </w:p>
        </w:tc>
        <w:tc>
          <w:tcPr>
            <w:tcW w:type="dxa" w:w="20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报告导出和审计追溯。</w:t>
            </w:r>
          </w:p>
        </w:tc>
      </w:tr>
    </w:tbl>
    <w:p/>
    <w:p>
      <w:pPr>
        <w:pStyle w:val="Heading2"/>
      </w:pPr>
      <w:r>
        <w:t>8.4 v(S,t) 与效用函数规则</w:t>
      </w:r>
    </w:p>
    <w:p>
      <w:r>
        <w:rPr>
          <w:rFonts w:ascii="Calibri" w:hAnsi="Calibri" w:eastAsia="Microsoft YaHei"/>
          <w:b w:val="0"/>
          <w:i w:val="0"/>
          <w:sz w:val="22"/>
        </w:rPr>
        <w:t>P0 默认规则：</w:t>
      </w:r>
    </w:p>
    <w:p>
      <w:r>
        <w:rPr>
          <w:rFonts w:ascii="Calibri" w:hAnsi="Calibri" w:eastAsia="Microsoft YaHei"/>
          <w:b w:val="0"/>
          <w:i w:val="0"/>
          <w:sz w:val="22"/>
        </w:rPr>
        <w:t>v(S,t) = sum(utility_value_i,t for i in S) + synergy_adjustment(S,t)</w:t>
      </w:r>
    </w:p>
    <w:p>
      <w:r>
        <w:rPr>
          <w:rFonts w:ascii="Calibri" w:hAnsi="Calibri" w:eastAsia="Microsoft YaHei"/>
          <w:b w:val="0"/>
          <w:i w:val="0"/>
          <w:sz w:val="22"/>
        </w:rPr>
        <w:t>其中 synergy_adjustment(S,t) P0 默认可为 0，P1 可扩展为多模态协同、数据互补性、场景协同项或专家调整项。空集合规则为 v(∅,t)=0。单参与方场景不启动完整 MD-DShap，直接输出权重 1，并在页面和报告中披露“单主体简化分配”。</w:t>
      </w:r>
    </w:p>
    <w:p>
      <w:pPr>
        <w:pStyle w:val="Heading2"/>
      </w:pPr>
      <w:r>
        <w:t>8.5 核心按钮完整功能卡</w:t>
      </w:r>
    </w:p>
    <w:p>
      <w:pPr>
        <w:pStyle w:val="Heading3"/>
      </w:pPr>
      <w:r>
        <w:t>MDS-011 启动 MD-DShap 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 -&gt; 启动计算。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数据包已接入；质量评估已完成；贡献度和效用值已计算；至少一个数据源主体；参与方集合已确认。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算法模式、参与方集合、任务集合、效用函数来源、seed、sample_rounds、epsilon、保存边际明细、启动计算按钮。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输入字段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participant_set、task_set、utility_source、quality_score、contribution_score、scenario_parameter、seed、sample_rounds、epsilon。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MD_DSHAP；非数据主体不得进入算法集合；基础 Shapley 只作 baseline_check；每次计算生成新 task。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操作流程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校验前置 -&gt; 创建任务 -&gt; 固化输入/参数快照 -&gt; 执行算法 -&gt; 归一化权重 -&gt; 写边际 trace -&gt; 生成审计快照。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participant_weight、task_level_weight、marginal_contribution_trace、approximation_note、algorithm_audit_snapshot。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已计算效用 -&gt; 已计算权重。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未完成效用、无参与方、权重归一化失败、算法执行失败、参与方过多未开启采样。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操作人、时间、算法模式、版本、参与方集合、任务集合、参数、输入快照、输出快照、失败原因。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合法输入可完成；非数据主体隔离；权重合计为 1；结果保留 6 位；审计说明可生成。</w:t>
            </w:r>
          </w:p>
        </w:tc>
      </w:tr>
    </w:tbl>
    <w:p/>
    <w:p>
      <w:pPr>
        <w:pStyle w:val="Heading3"/>
      </w:pPr>
      <w:r>
        <w:t>MDS-012 查看计算进度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1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2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计算管理 -&gt; 任务状态区。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已创建算法任务。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任务状态、阶段、开始时间、结束时间、失败原因、刷新按钮。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可同步显示阶段；P1 异步轮询任务状态。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PENDING/RUNNING/SUCCESS/FAILED/CANCELLED。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任务不存在、任务失败、任务超时。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状态变化日志。</w:t>
            </w:r>
          </w:p>
        </w:tc>
      </w:tr>
      <w:tr>
        <w:tc>
          <w:tcPr>
            <w:tcW w:type="dxa" w:w="211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任务运行和失败均有明确状态展示。</w:t>
            </w:r>
          </w:p>
        </w:tc>
      </w:tr>
    </w:tbl>
    <w:p/>
    <w:p>
      <w:pPr>
        <w:pStyle w:val="Heading3"/>
      </w:pPr>
      <w:r>
        <w:t>MDS-013 查看边际贡献明细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4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1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-&gt; 边际贡献明细。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算法计算完成且保存边际明细。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参与方筛选、任务筛选、轮次筛选、联盟 key、边际贡献、累计权重、导出按钮。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明细只读；数据量较大时分页；不保存明细时展示说明。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marginal_contribution_trace 表格。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未计算、未保存明细、明细加载失败。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可不记录查看；导出必须记录。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可按参与方和任务查看边际贡献。</w:t>
            </w:r>
          </w:p>
        </w:tc>
      </w:tr>
    </w:tbl>
    <w:p/>
    <w:p>
      <w:pPr>
        <w:pStyle w:val="Heading3"/>
      </w:pPr>
      <w:r>
        <w:t>MDS-014 查看参与方权重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-&gt; 参与方权重。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算法计算成功。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party_name、participant_weight、task_level_weight、normalized_weight、排名、权重来源。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权重合计为 1；保留 6 位；展示算法模式和版本。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权重表。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未计算、权重合计异常、版本缺失。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可不记录查看；异常需记录。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权重可用于收益分配，且与导出文件一致。</w:t>
            </w:r>
          </w:p>
        </w:tc>
      </w:tr>
    </w:tbl>
    <w:p/>
    <w:p>
      <w:pPr>
        <w:pStyle w:val="Heading3"/>
      </w:pPr>
      <w:r>
        <w:t>MDS-015 查看复杂度优化说明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-&gt; 复杂度优化说明。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可在计算前后查看；计算后显示实际参数。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 Shapley 对比、MD-DShap 默认策略、采样/动态说明、近似假设、适用边界。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必须说明基础 Shapley 仅作基线；必须披露近似假设。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complexity_note / approximation_note。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参数缺失时显示默认说明。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P0 可不记录查看。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报告中能同步生成复杂度和边界说明。</w:t>
            </w:r>
          </w:p>
        </w:tc>
      </w:tr>
    </w:tbl>
    <w:p/>
    <w:p>
      <w:pPr>
        <w:pStyle w:val="Heading3"/>
      </w:pPr>
      <w:r>
        <w:t>MDS-016 重新计算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0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0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-&gt; 重新计算。</w:t>
            </w:r>
          </w:p>
        </w:tc>
      </w:tr>
      <w:t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0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已存在历史算法任务。</w:t>
            </w:r>
          </w:p>
        </w:tc>
      </w:tr>
      <w:t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0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复制上次参数、修改参数、重新计算、版本说明。</w:t>
            </w:r>
          </w:p>
        </w:tc>
      </w:tr>
      <w:t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0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不覆盖历史 task；生成新 task_id；若项目已导出，需复制新版本。</w:t>
            </w:r>
          </w:p>
        </w:tc>
      </w:tr>
      <w:t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0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新算法任务和新权重结果。</w:t>
            </w:r>
          </w:p>
        </w:tc>
      </w:tr>
      <w:t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0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历史任务不存在、项目锁定、参数非法。</w:t>
            </w:r>
          </w:p>
        </w:tc>
      </w:tr>
      <w:t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0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旧 task、新 task、参数差异。</w:t>
            </w:r>
          </w:p>
        </w:tc>
      </w:tr>
      <w:tr>
        <w:tc>
          <w:tcPr>
            <w:tcW w:type="dxa" w:w="22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0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历史结果仍可查，新结果独立存在。</w:t>
            </w:r>
          </w:p>
        </w:tc>
      </w:tr>
    </w:tbl>
    <w:p/>
    <w:p>
      <w:pPr>
        <w:pStyle w:val="Heading3"/>
      </w:pPr>
      <w:r>
        <w:t>MDS-017 导出算法结果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4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-&gt; 导出算法结果。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算法计算成功。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JSON、导出 CSV、字段清单、确认弹窗。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文件必须包含算法输入、参数、输出、边际 trace、版本和免责声明。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md_dshap_result.json、md_dshap_marginal_trace.csv。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未计算、文件写入失败、字段缺失。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report_id、文件名、checksum、导出人。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4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导出字段与第 9 章一致。</w:t>
            </w:r>
          </w:p>
        </w:tc>
      </w:tr>
    </w:tbl>
    <w:p/>
    <w:p>
      <w:pPr>
        <w:pStyle w:val="Heading3"/>
      </w:pPr>
      <w:r>
        <w:t>MDS-018 生成算法审计说明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4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项目</w:t>
            </w:r>
          </w:p>
        </w:tc>
        <w:tc>
          <w:tcPr>
            <w:tcW w:type="dxa" w:w="71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设计内容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入口路径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-&gt; 生成算法审计说明。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算法计算成功且存在参数快照。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页面元素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生成按钮、预览、下载、审计字段清单。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业务规则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必须披露算法模式、参数、效用函数来源、近似假设、边界说明。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输出结果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md_dshap_audit_report.md。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异常处理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算法结果缺失、快照缺失、报告生成失败。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日志记录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report_id、source_snapshot_id、checksum。</w:t>
            </w:r>
          </w:p>
        </w:tc>
      </w:tr>
      <w:tr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验收标准</w:t>
            </w:r>
          </w:p>
        </w:tc>
        <w:tc>
          <w:tcPr>
            <w:tcW w:type="dxa" w:w="71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报告可追溯输入、参数、输出和假设。</w:t>
            </w:r>
          </w:p>
        </w:tc>
      </w:tr>
    </w:tbl>
    <w:p/>
    <w:p>
      <w:pPr>
        <w:pStyle w:val="Heading1"/>
      </w:pPr>
      <w:r>
        <w:t>9. 报告导出与字段设计</w:t>
      </w:r>
    </w:p>
    <w:p>
      <w:pPr>
        <w:pStyle w:val="Heading2"/>
      </w:pPr>
      <w:r>
        <w:t>9.1 P0 输出文件清单</w:t>
      </w: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1. allocation_result.json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scenario_id, total_revenue, priority_allocation, data_provider_revenue_pool, allocation_mode, weight_source, results\[\], constraints\[\], rounding_note, disclaimer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2. allocation_result.csv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allocation_result.csv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scenario_id, party_id, party_name, raw_weight, normalized_weight, amount, adjusted_amount, adjustment_reason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3. source_level_allocation.csv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source_level_allocation.csv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scenario_id, party_id, party_name, party_type, is_data_provider, raw_weight, normalized_weight, pre_constraint_amount, post_constraint_amount, constraint_adjustment_reason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4. quality_assessment_report.md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quality_assessment_report.md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package_id, assessment_id, total_score, quality_level, quality_factor, dimension_scores, evidence_summary, low_quality_warning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5. quality_assessment_result.json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assessment_id, project_id, package_id, metric_version, weights, scores, quality_factor, evidence, warnings, created_at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6. shuyuan_metering_statement.md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shuyuan_metering_statement.md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metering_id, base_shuyuan_price, scenario_coefficient, quality_coefficient, technology_coefficient, expert_coefficient, development_coefficient, call_count, metering_amount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7. contribution_utility_result.csv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contribution_utility_result.csv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贡献与效用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party_id, valid_units, usage_weight, coverage_weight, scarcity_weight, contribution_score, normalized_contribution, quality_factor, usage_factor, scenario_factor, utility_value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8. md_dshap_result.json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md_dshap_result.json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algorithm_mode, participant_set, task_set, seed, sample_rounds, epsilon, participant_weight, task_level_weight, approximation_note, algorithm_version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9. md_dshap_marginal_trace.csv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md_dshap_marginal_trace.csv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task_id, task_key, iteration_no, coalition_key, party_id, marginal_contribution, cumulative_weight, seed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10. md_dshap_audit_report.md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md_dshap_audit_report.md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algorithm_mode, algorithm_version, input_snapshot, utility_source, parameters, v(S,t), approximation_assumption, boundary_note, participant_weight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11. allocation_summary.md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allocation_summary.md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project_summary, data_summary, quality_summary, utility_summary, algorithm_summary, allocation_summary, constraints_summary, disclaimer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12. allocation_confirmation_statement.md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allocation_confirmation_statement.md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allocation_id, confirmed_by, confirmed_at, selected_scheme, final_reference_amounts, non_legal_disclaimer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13. audit_log.jsonl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audit_log.jsonl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log_id, project_id, module_code, operation_type, object_type, object_id, operator_id, before_value, after_value, status, failure_reason, created_at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Calibri" w:hAnsi="Calibri" w:eastAsia="Microsoft YaHei"/>
          <w:b/>
          <w:color w:val="1F4D78"/>
          <w:sz w:val="20"/>
        </w:rPr>
        <w:t>14. assumptions.json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文件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assumptions.json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生成模块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格式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核心字段/内容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project_id, assumptions\[\], algorithm_boundary, data_boundary, contract_boundary, version_info</w:t>
            </w:r>
          </w:p>
        </w:tc>
      </w:tr>
    </w:tbl>
    <w:p>
      <w:pPr>
        <w:spacing w:after="40"/>
      </w:pPr>
    </w:p>
    <w:p>
      <w:pPr>
        <w:pStyle w:val="Heading2"/>
      </w:pPr>
      <w:r>
        <w:t>9.2 source_level_allocation.csv 固定字段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229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类型建议</w:t>
            </w:r>
          </w:p>
        </w:tc>
        <w:tc>
          <w:tcPr>
            <w:tcW w:type="dxa" w:w="21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 ID。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scenario_id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分配场景 ID。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party_id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 ID。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party_name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参与方名称。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enum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参与方类型。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is_data_provider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boolean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是否数据源主体。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raw_weight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decimal(18,6)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约束前原始权重。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normalized_weight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decimal(18,6)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归一化权重。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pre_constraint_amount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合同约束前金额。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post_constraint_amount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decimal(18,2)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合同约束后金额。</w:t>
            </w:r>
          </w:p>
        </w:tc>
      </w:tr>
      <w:tr>
        <w:tc>
          <w:tcPr>
            <w:tcW w:type="dxa" w:w="4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constraint_adjustment_reason</w:t>
            </w:r>
          </w:p>
        </w:tc>
        <w:tc>
          <w:tcPr>
            <w:tcW w:type="dxa" w:w="22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string</w:t>
            </w:r>
          </w:p>
        </w:tc>
        <w:tc>
          <w:tcPr>
            <w:tcW w:type="dxa" w:w="21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约束调整原因。</w:t>
            </w:r>
          </w:p>
        </w:tc>
      </w:tr>
    </w:tbl>
    <w:p/>
    <w:p>
      <w:pPr>
        <w:pStyle w:val="Heading2"/>
      </w:pPr>
      <w:r>
        <w:t>9.3 导出版本与文件命名</w:t>
      </w:r>
    </w:p>
    <w:p>
      <w:r>
        <w:rPr>
          <w:rFonts w:ascii="Calibri" w:hAnsi="Calibri" w:eastAsia="Microsoft YaHei"/>
          <w:b w:val="0"/>
          <w:i w:val="0"/>
          <w:sz w:val="22"/>
        </w:rPr>
        <w:t>文件名建议格式：项目名称_报告类型_版本号_生成时间.扩展名。每次导出生成唯一 report_id 和 checksum，不得覆盖同名历史文件。报告中必须包含“模拟参考，非法律结算”说明。</w:t>
      </w:r>
    </w:p>
    <w:p>
      <w:pPr>
        <w:pStyle w:val="Heading1"/>
      </w:pPr>
      <w:r>
        <w:t>10. 服务与接口设计输入</w:t>
      </w:r>
    </w:p>
    <w:p>
      <w:r>
        <w:rPr>
          <w:rFonts w:ascii="Calibri" w:hAnsi="Calibri" w:eastAsia="Microsoft YaHei"/>
          <w:b w:val="0"/>
          <w:i w:val="0"/>
          <w:sz w:val="22"/>
        </w:rPr>
        <w:t>本章给出后续后端接口或服务函数拆分建议。P0 可以不提供完整 REST API，但内部服务应按相同边界拆分，避免 UI 直接调用算法细节。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9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服务</w:t>
            </w:r>
          </w:p>
        </w:tc>
        <w:tc>
          <w:tcPr>
            <w:tcW w:type="dxa" w:w="33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核心方法</w:t>
            </w:r>
          </w:p>
        </w:tc>
        <w:tc>
          <w:tcPr>
            <w:tcW w:type="dxa" w:w="125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职责</w:t>
            </w:r>
          </w:p>
        </w:tc>
        <w:tc>
          <w:tcPr>
            <w:tcW w:type="dxa" w:w="33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读写数据对象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create_project / copy_project_version / get_project_status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项目创建、版本复制、状态汇总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allocation_project、audit_log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DataIngestionService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select_demo_case / upload_json / validate_input / preview_package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数据接入、校验、预览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data_package、input_snapshot、upload_validation_result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ResourceService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list_resources / bind_party / export_resource_summary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资源元数据和主体关联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data_resource、data_resource_party_relation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create_party / update_party / set_status / bind_resource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参与方维护和关联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party、data_resource_party_relation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save_weights / evaluate / reevaluate / get_score_detail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质量评分和证据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quality_assessment、quality_score_detail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save_metering_params / calculate / get_detail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数元计量公式计算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shuyuan_metering、shuyuan_metering_detail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UtilityService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calculate_contribution / configure_utility / calculate_utility / get_trace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贡献度归一化和效用 trace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contribution_record、utility_record、utility_trace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MDDShapService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start_task / get_progress / get_marginal_trace / get_weights / rerun / export_audit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默认算法执行和审计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md_dshap_task、md_dshap_result、md_dshap_marginal_trace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save_revenue_pool / save_priority_items / simulate / lock_scheme / compare_schemes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收益分配模拟和方案锁定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allocation_scenario、allocation_priority_item、allocation_result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create_constraint / update_constraint / disable_constraint / apply_constraints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合同约束配置和执行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contract_constraint、constraint_apply_trace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preview / export_markdown / export_csv / export_json / export_pdf_p1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报告和明细导出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report_record、export_file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query_logs / get_snapshot / export_audit_log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审计日志查询和导出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audit_log、snapshot_store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get_parameters / update_parameter / restore_default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系统参数版本维护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system_parameter、parameter_version</w:t>
            </w:r>
          </w:p>
        </w:tc>
      </w:tr>
      <w:tr>
        <w:tc>
          <w:tcPr>
            <w:tcW w:type="dxa" w:w="13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UserAccessService</w:t>
            </w:r>
          </w:p>
        </w:tc>
        <w:tc>
          <w:tcPr>
            <w:tcW w:type="dxa" w:w="33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login / create_user / assign_role / check_permission</w:t>
            </w:r>
          </w:p>
        </w:tc>
        <w:tc>
          <w:tcPr>
            <w:tcW w:type="dxa" w:w="12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P1 用户与权限</w:t>
            </w:r>
          </w:p>
        </w:tc>
        <w:tc>
          <w:tcPr>
            <w:tcW w:type="dxa" w:w="33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user、role、permission</w:t>
            </w:r>
          </w:p>
        </w:tc>
      </w:tr>
    </w:tbl>
    <w:p/>
    <w:p>
      <w:pPr>
        <w:pStyle w:val="Heading2"/>
      </w:pPr>
      <w:r>
        <w:t>10.1 计算服务统一输入输出结构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9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字段</w:t>
            </w:r>
          </w:p>
        </w:tc>
        <w:tc>
          <w:tcPr>
            <w:tcW w:type="dxa" w:w="526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project_id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必填，定位项目。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input_snapshot_id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计算输入快照；重新计算时必须重新生成或引用。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parameter_snapshot_id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参数快照；保存当次参数。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requested_by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操作人；P0 为 local_operator。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run_mode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manual、full_pipeline、rerun。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result_id/task_id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计算成功后的结果对象 ID。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SUCCESS / FAILED。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failure_reason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失败原因；成功为空。</w:t>
            </w:r>
          </w:p>
        </w:tc>
      </w:tr>
      <w:tr>
        <w:tc>
          <w:tcPr>
            <w:tcW w:type="dxa" w:w="40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output_snapshot_id</w:t>
            </w:r>
          </w:p>
        </w:tc>
        <w:tc>
          <w:tcPr>
            <w:tcW w:type="dxa" w:w="526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输出快照；导出和审计引用。</w:t>
            </w:r>
          </w:p>
        </w:tc>
      </w:tr>
    </w:tbl>
    <w:p/>
    <w:p>
      <w:pPr>
        <w:pStyle w:val="Heading2"/>
      </w:pPr>
      <w:r>
        <w:t>10.2 统一错误码建议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2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错误码</w:t>
            </w:r>
          </w:p>
        </w:tc>
        <w:tc>
          <w:tcPr>
            <w:tcW w:type="dxa" w:w="19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场景</w:t>
            </w:r>
          </w:p>
        </w:tc>
        <w:tc>
          <w:tcPr>
            <w:tcW w:type="dxa" w:w="32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UI 提示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DVAS_INPUT_FORMAT_ERROR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JSON 或文件格式错误。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文件解析失败，请检查 JSON 格式。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DVAS_REQUIRED_FIELD_MISSING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必填字段缺失。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输入文件缺少 XXX 字段。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DVAS_PERMISSION_DENIED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权限不足。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当前用户无操作权限。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DVAS_PRECONDITION_NOT_MET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前置步骤未完成。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请先完成 XXX。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DVAS_WEIGHT_INVALID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权重合计异常。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权重配置不合法或合计不为 1。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DVAS_FACTOR_INVALID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系数非法。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系数必须大于 0。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DVAS_REVENUE_INVALID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收益金额非法。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收益金额不得为负。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DVAS_PRIORITY_EXCEEDS_REVENUE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合同优先金额超总收益。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合同优先分配金额不得超过总收益。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DVAS_ALGORITHM_FAILED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算法执行失败。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计算失败，请查看详情。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DVAS_EXPORT_FAILED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导出失败。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报告生成失败，请查看详情。</w:t>
            </w:r>
          </w:p>
        </w:tc>
      </w:tr>
      <w:tr>
        <w:tc>
          <w:tcPr>
            <w:tcW w:type="dxa" w:w="424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DVAS_LOCKED_VERSION</w:t>
            </w:r>
          </w:p>
        </w:tc>
        <w:tc>
          <w:tcPr>
            <w:tcW w:type="dxa" w:w="19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已锁定或已导出版本被修改。</w:t>
            </w:r>
          </w:p>
        </w:tc>
        <w:tc>
          <w:tcPr>
            <w:tcW w:type="dxa" w:w="32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已导出报告的数据不可直接修改，请复制新版本。</w:t>
            </w:r>
          </w:p>
        </w:tc>
      </w:tr>
    </w:tbl>
    <w:p/>
    <w:p>
      <w:pPr>
        <w:pStyle w:val="Heading1"/>
      </w:pPr>
      <w:r>
        <w:t>11. 枚举字典设计输入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枚举</w:t>
            </w:r>
          </w:p>
        </w:tc>
        <w:tc>
          <w:tcPr>
            <w:tcW w:type="dxa" w:w="71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建议取值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project_status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DRAFT, INGESTED, ASSESSED, METERED, UTILITY_CALCULATED, WEIGHT_CALCULATED, ALLOCATED, CONFIRMED, EXPORTED, WITHDRAWN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party_type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DATA_PROVIDER, PILOT_BASE, OPERATOR, TECH_SERVICE, EXPERT_REVIEWER, CONTRACT_PARTY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modality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TEXT, IMAGE, MEDICAL_IMAGE, AUDIO, STRUCTURED, MIXED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algorithm_mode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MD_DSHAP, BASIC_SHAPLEY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allocation_mode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MD_DSHAP_WEIGHT, WEIGHTED_CONTRIBUTION, CONTRACT_RATIO, MANUAL_REFERENCE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constraint_type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MIN_AMOUNT, MAX_AMOUNT, CAP_AMOUNT, FLOOR_AMOUNT, FIXED_RATIO, PRIORITY_ALLOCATION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value_type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AMOUNT, RATIO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report_type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QUALITY, SHUYUAN, UTILITY, MD_DSHAP, ALLOCATION, AUDIT, CONFIRMATION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operation_type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CREATE, UPDATE, DELETE, DISABLE, CALCULATE, EXPORT, CONFIRM, LOGIN, VIEW</w:t>
            </w:r>
          </w:p>
        </w:tc>
      </w:tr>
      <w:tr>
        <w:tc>
          <w:tcPr>
            <w:tcW w:type="dxa" w:w="22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task_status</w:t>
            </w:r>
          </w:p>
        </w:tc>
        <w:tc>
          <w:tcPr>
            <w:tcW w:type="dxa" w:w="71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PENDING, RUNNING, SUCCESS, FAILED, CANCELLED</w:t>
            </w:r>
          </w:p>
        </w:tc>
      </w:tr>
    </w:tbl>
    <w:p/>
    <w:p>
      <w:pPr>
        <w:pStyle w:val="Heading1"/>
      </w:pPr>
      <w:r>
        <w:t>12. 审计、快照与版本设计</w:t>
      </w:r>
    </w:p>
    <w:p>
      <w:pPr>
        <w:pStyle w:val="Heading2"/>
      </w:pPr>
      <w:r>
        <w:t>12.1 必须记录日志的操作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1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操作类别</w:t>
            </w:r>
          </w:p>
        </w:tc>
        <w:tc>
          <w:tcPr>
            <w:tcW w:type="dxa" w:w="392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典型按钮</w:t>
            </w:r>
          </w:p>
        </w:tc>
        <w:tc>
          <w:tcPr>
            <w:tcW w:type="dxa" w:w="392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必须记录内容</w:t>
            </w:r>
          </w:p>
        </w:tc>
      </w:tr>
      <w:tr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</w:t>
            </w:r>
          </w:p>
        </w:tc>
        <w:tc>
          <w:tcPr>
            <w:tcW w:type="dxa" w:w="39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新增参与方、新增约束、选择演示数据。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操作人、时间、对象 ID、新增字段。</w:t>
            </w:r>
          </w:p>
        </w:tc>
      </w:tr>
      <w:tr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</w:t>
            </w:r>
          </w:p>
        </w:tc>
        <w:tc>
          <w:tcPr>
            <w:tcW w:type="dxa" w:w="39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配置权重、编辑参与方、配置总收益、配置参数。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修改前值、修改后值、参数版本。</w:t>
            </w:r>
          </w:p>
        </w:tc>
      </w:tr>
      <w:tr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删除/停用</w:t>
            </w:r>
          </w:p>
        </w:tc>
        <w:tc>
          <w:tcPr>
            <w:tcW w:type="dxa" w:w="39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删除数据包、停用参与方、停用约束。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影响范围、二次确认、操作结果。</w:t>
            </w:r>
          </w:p>
        </w:tc>
      </w:tr>
      <w:tr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</w:t>
            </w:r>
          </w:p>
        </w:tc>
        <w:tc>
          <w:tcPr>
            <w:tcW w:type="dxa" w:w="39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启动质量评估、数元计量、效用计算、MD-DShap、收益分配。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输入快照、参数快照、输出快照、算法版本、失败原因。</w:t>
            </w:r>
          </w:p>
        </w:tc>
      </w:tr>
      <w:tr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</w:t>
            </w:r>
          </w:p>
        </w:tc>
        <w:tc>
          <w:tcPr>
            <w:tcW w:type="dxa" w:w="39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导出报告、导出 CSV、导出日志。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report_id、文件名、格式、checksum、字段范围。</w:t>
            </w:r>
          </w:p>
        </w:tc>
      </w:tr>
      <w:tr>
        <w:tc>
          <w:tcPr>
            <w:tcW w:type="dxa" w:w="151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确认</w:t>
            </w:r>
          </w:p>
        </w:tc>
        <w:tc>
          <w:tcPr>
            <w:tcW w:type="dxa" w:w="39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锁定分配方案。</w:t>
            </w:r>
          </w:p>
        </w:tc>
        <w:tc>
          <w:tcPr>
            <w:tcW w:type="dxa" w:w="39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确认人、确认时间、人工说明、方案版本。</w:t>
            </w:r>
          </w:p>
        </w:tc>
      </w:tr>
    </w:tbl>
    <w:p/>
    <w:p>
      <w:pPr>
        <w:pStyle w:val="Heading2"/>
      </w:pPr>
      <w:r>
        <w:t>12.2 快照策略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输入快照：上传 JSON、演示数据初始化、复制新版本时生成。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参数快照：质量权重、数元系数、贡献因子、效用函数、MD-DShap 参数、收益池、合同约束在计算前生成。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输出快照：每次计算成功后生成，导出报告引用输出快照。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报告快照：每次导出报告时保存报告内容摘要、文件路径、checksum。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历史快照不得修改；如需修订，生成新版本并保留来源版本号。</w:t>
      </w:r>
    </w:p>
    <w:p>
      <w:pPr>
        <w:pStyle w:val="Heading1"/>
      </w:pPr>
      <w:r>
        <w:t>13. 数据库设计前置约束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所有主业务表必须包含 project_id 或可通过外键追溯到 project_id。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所有可重复执行的计算结果必须包含 version_no、created_at、created_by。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金额字段使用 Decimal，不使用 float。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权重字段统一保留 6 位，金额字段统一保留 2 位。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历史结果引用的数据不得物理删除；删除类操作优先使用 status 标记。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已导出报告引用的输入、参数、结果和约束必须不可变。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大字段如输入快照、输出快照、边际贡献 trace 可使用 JSON 存储，但必须有 checksum。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日志表应支持按项目、模块、对象、操作类型和时间范围查询。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P1 用户权限表应支持菜单级、页面级、按钮级和导出级权限。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报告文件路径和 checksum 必须入库，避免无法追溯导出版本。</w:t>
      </w:r>
    </w:p>
    <w:p>
      <w:pPr>
        <w:pStyle w:val="Heading1"/>
      </w:pPr>
      <w:r>
        <w:t>14. UI 设计前置约束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左侧导航必须采用六个一级菜单：系统首页、数据管理、数元贡献度计量、收益分配计算、报告生成与导出、系统管理；各二级功能必须与第 5.1 节一致。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首页必须展示完整流程状态、项目总览、流程入口、风险提示和一键计算入口，避免用户不知道下一步做什么。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每个模块顶部必须显示当前项目名称、状态、最近版本和风险提示。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计算按钮必须先展示前置条件检查结果，未满足时禁用。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表格操作列的高风险按钮必须二次确认。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“重新计算”按钮必须提示不会覆盖历史结果。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“导出”弹窗必须展示导出文件、字段范围、报告版本和免责声明。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MD-DShap 页面必须突出“默认算法为 MD-DShap，基础 Shapley 仅作基线”。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收益分配页面必须展示“合同优先分配 -&gt; 数据源收益池 -&gt; 权重分配 -&gt; 合同约束调整”的顺序。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约束前金额和约束后金额必须并列展示，不能只展示最终金额。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审计页面必须支持从日志跳转到输入快照、参数快照和输出快照。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已确认/已导出项目的编辑按钮必须置灰，并提供“复制新版本”入口。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P1 登录后，权限不足的按钮应隐藏或禁用，并显示角色原因。</w:t>
      </w:r>
    </w:p>
    <w:p>
      <w:pPr>
        <w:pStyle w:val="Heading1"/>
      </w:pPr>
      <w:r>
        <w:t>15. 验收映射</w:t>
      </w:r>
    </w:p>
    <w:p>
      <w:pPr>
        <w:pStyle w:val="Heading2"/>
      </w:pPr>
      <w:r>
        <w:t>15.1 模块级验收数量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模块</w:t>
            </w:r>
          </w:p>
        </w:tc>
        <w:tc>
          <w:tcPr>
            <w:tcW w:type="dxa" w:w="178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用例数量</w:t>
            </w:r>
          </w:p>
        </w:tc>
        <w:tc>
          <w:tcPr>
            <w:tcW w:type="dxa" w:w="57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覆盖范围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数据接入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上传、演示数据、校验、失败详情、预览、删除/停用、输入快照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参与方管理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新增、编辑、停用、主体类型、算法集合隔离、资源关联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质量评估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权重合法性、评估、维度分、证据、低质量提示、重新评估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数元计量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基准价、调用量、系数、公式、0 调用量、明细、版本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效用计算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贡献因子、贡献度、归一化、效用函数、效用值、trace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默认算法、输入输出、单主体、多主体、边际贡献、权重、复杂度说明、重新计算、审计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收益分配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总收益、合同优先、模式、约束前后、方案对比、锁定、尾差、导出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合同约束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新增、编辑、停用、保底、封顶、固定比例、优先级、调整 trace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报告导出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Markdown、CSV、JSON、字段清单、版本、非法律说明、PDF P1</w:t>
            </w:r>
          </w:p>
        </w:tc>
      </w:tr>
      <w:tr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审计日志</w:t>
            </w:r>
          </w:p>
        </w:tc>
        <w:tc>
          <w:tcPr>
            <w:tcW w:type="dxa" w:w="178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  <w:tc>
          <w:tcPr>
            <w:tcW w:type="dxa" w:w="57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操作日志、计算日志、快照、失败原因、导出、权限</w:t>
            </w:r>
          </w:p>
        </w:tc>
      </w:tr>
    </w:tbl>
    <w:p/>
    <w:p>
      <w:pPr>
        <w:pStyle w:val="Heading2"/>
      </w:pPr>
      <w:r>
        <w:t>15.2 按钮级验收原则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每个按钮必须至少验证：可见性、启用条件、权限、前置条件、成功输出、异常提示、日志记录。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计算按钮必须额外验证：输入快照、参数快照、输出快照、算法版本、结果精度。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导出按钮必须额外验证：文件是否生成、字段是否完整、报告免责声明、report_id 和 checksum。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删除/停用/锁定按钮必须额外验证：二次确认、影响范围、历史不可变。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重新计算按钮必须额外验证：旧结果保留、新结果生成新版本、报告引用不被回改。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sz w:val="22"/>
        </w:rPr>
        <w:t>MD-DShap 按钮必须额外验证：默认算法、非数据主体隔离、权重合计为 1、边际 trace 可追溯。</w:t>
      </w:r>
    </w:p>
    <w:p>
      <w:pPr>
        <w:pStyle w:val="Heading1"/>
      </w:pPr>
      <w:r>
        <w:t>16. P0 与 P1 交付边界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能力</w:t>
            </w:r>
          </w:p>
        </w:tc>
        <w:tc>
          <w:tcPr>
            <w:tcW w:type="dxa" w:w="419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P0</w:t>
            </w:r>
          </w:p>
        </w:tc>
        <w:tc>
          <w:tcPr>
            <w:tcW w:type="dxa" w:w="3229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P1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操作员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本地操作员。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登录、用户、角色、权限。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输入格式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演示数据、JSON。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CSV/XLSX 模板导入。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计算方式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同步计算，演示规模。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异步任务、任务进度。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算法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MD-DShap，基础 Shapley 基线。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支持更多采样参数和收敛展示。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Markdown、CSV、JSON、JSONL。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PDF 模板、历史报告管理。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审计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计算日志、参数快照、输出快照。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更完整的访问日志和权限审计。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数据库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可使用本地文件或轻量数据库映射候选表。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正式关系数据库和权限表。</w:t>
            </w:r>
          </w:p>
        </w:tc>
      </w:tr>
      <w:tr>
        <w:tc>
          <w:tcPr>
            <w:tcW w:type="dxa" w:w="1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UI</w:t>
            </w:r>
          </w:p>
        </w:tc>
        <w:tc>
          <w:tcPr>
            <w:tcW w:type="dxa" w:w="419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Streamlit 或轻 Web UI。</w:t>
            </w:r>
          </w:p>
        </w:tc>
        <w:tc>
          <w:tcPr>
            <w:tcW w:type="dxa" w:w="3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完整 Web 后台、权限菜单和异步状态。</w:t>
            </w:r>
          </w:p>
        </w:tc>
      </w:tr>
    </w:tbl>
    <w:p/>
    <w:p>
      <w:pPr>
        <w:pStyle w:val="Heading1"/>
      </w:pPr>
      <w:r>
        <w:t>17. 附录 A：核心按钮索引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30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功能编号</w:t>
            </w:r>
          </w:p>
        </w:tc>
        <w:tc>
          <w:tcPr>
            <w:tcW w:type="dxa" w:w="152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按钮/功能</w:t>
            </w:r>
          </w:p>
        </w:tc>
        <w:tc>
          <w:tcPr>
            <w:tcW w:type="dxa" w:w="130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所属模块</w:t>
            </w:r>
          </w:p>
        </w:tc>
        <w:tc>
          <w:tcPr>
            <w:tcW w:type="dxa" w:w="522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sz w:val="18"/>
              </w:rPr>
              <w:t>功能摘要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初始化项目、数据包、默认参与方和默认参数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SYS-004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启动完整计算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按质量、计量、效用、MD-DShap、分配顺序执行管线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SYS-005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查看系统风险提示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SYS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展示模拟参考、禁止真实敏感数据、非法律结算说明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选择演示数据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从内置样例生成标准输入快照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 JSON 输入文件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校验文件、解析 JSON、校验必填字段和业务字段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DATA-007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数据预览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展示字段、模态、样本数、缺失率和脱敏摘要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DATA-008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上传失败详情查看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定位错误字段、错误类型、修复建议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DATA-009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删除/停用数据包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未被引用可逻辑删除；已导出只能复制新版本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数据资源详情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展示资源元数据、字段统计、模态标签和关联主体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RES-005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数据源主体关联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选择一个或多个数据源主体并配置拆分比例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RES-007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数据资源导出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导出资源摘要和关联关系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新增参与方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录入主体名称、类型、算法集合标记和联系人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编辑参与方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修改主体字段，关键字段历史引用后需新版本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PARTY-005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启用/停用参与方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控制主体是否参与新计算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PARTY-006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关联数据资源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从主体角度维护资源关系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PARTY-008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查看参与方贡献结果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PARTY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汇总贡献度、效用、权重、金额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质量指标权重配置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配置一级/二级指标权重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启动质量评估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计算质量总分、维度分、等级和证据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QUAL-006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查看二级指标得分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展开一级维度下的二级指标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QUAL-009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重新评估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QUAL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以当前数据和参数生成新评估版本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基准数元配置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设置 base_shuyuan_price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调用量录入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资源级/模态级录入 call_count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DU-009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执行数元计量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按基准价、系数、调用量计算计量金额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DU-010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查看数元计量明细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DU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展示公式展开和参数版本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UTIL-001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贡献因子配置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 valid_units、usage_weight、coverage_weight、scarcity_weight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UTIL-006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贡献度计算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计算贡献度并归一化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UTIL-007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效用函数配置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配置质量因子、使用因子、场景因子和来源说明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UTIL-008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效用值计算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 utility_value 并生成 trace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UTIL-009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查看效用计算过程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UTIL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查看公式、输入、输出、版本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MDS-011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启动 MD-DShap 计算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校验效用、参与方集合、任务集合和参数后执行默认算法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查看计算进度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展示等待、计算中、成功、失败状态和阶段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查看边际贡献明细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按参与方、任务、联盟、轮次查看 marginal_contribution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MDS-014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查看参与方权重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 participant_weight、task_level_weight、normalized_weight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MDS-015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查看复杂度优化说明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展示默认 MD-DShap、采样/动态近似、边界说明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MDS-016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重新计算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复制旧参数或新参数重新生成任务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MDS-017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导出算法结果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导出算法输入、参数、输出、边际 trace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MDS-018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生成算法审计说明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生成算法模式、参数、效用来源、假设、边界说明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配置总收益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录入 total_revenue 和币种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ALLOC-005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配置合同优先分配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为非数据主体配置优先金额/比例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ALLOC-007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选择分配模式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默认 MD-DShap 权重分配，可选合同比例/加权贡献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ALLOC-011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执行收益分配模拟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先扣优先分配，再按数据源权重分配，再应用约束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查看分配方案对比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对比合同比例、加权贡献、MD-DShap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ALLOC-015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锁定分配方案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人工确认参考方案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ALLOC-016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导出分配结果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allocation_result.\* 和 source_level_allocation.csv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新增合同约束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配置约束对象、类型、值、优先级、说明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编辑合同约束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未被锁定时修改规则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CONS-004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删除/停用合同约束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已被引用只能停用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CONS-011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查看约束检查结果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展示约束前后金额和调整原因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REP-001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报告预览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展示报告目录、风险说明和待导出文件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Markdown 报告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生成质量、数元、算法、分配、确认书等 md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REP-003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生成 PDF 报告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基于模板渲染 PDF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REP-004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CSV 明细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导出分配、资源、计量、算法明细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REP-005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JSON 结果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导出结构化结果和 assumptions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REP-006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导出算法审计说明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MD-DShap 审计报告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REP-009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导出收益分配确认书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REP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输出模拟参考和人工确认说明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计算日志查询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按模块、任务、时间查询计算日志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AUD-006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查看日志详情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展示输入快照、参数快照、输出快照、失败原因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AUD-007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导出审计日志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AUD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导出 jsonl 或 markdown 审计说明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PARAM-001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场景系数配置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 scenario_coefficient 默认值和范围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质量权重配置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维护质量指标权重模板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PARAM-004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MD-DShap 参数配置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 seed、sample_rounds、epsilon 默认值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PARAM-008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风险提示文案配置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PARAM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维护页面和报告免责声明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USER-001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用户查询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按账号、姓名、角色、状态查询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USER-002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新增用户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创建账号并分配角色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USER-007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重置密码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管理员触发密码重置</w:t>
            </w:r>
          </w:p>
        </w:tc>
      </w:tr>
      <w:tr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USER-009</w:t>
            </w:r>
          </w:p>
        </w:tc>
        <w:tc>
          <w:tcPr>
            <w:tcW w:type="dxa" w:w="152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权限配置</w:t>
            </w:r>
          </w:p>
        </w:tc>
        <w:tc>
          <w:tcPr>
            <w:tcW w:type="dxa" w:w="130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USER</w:t>
            </w:r>
          </w:p>
        </w:tc>
        <w:tc>
          <w:tcPr>
            <w:tcW w:type="dxa" w:w="52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配置角色与按钮/菜单权限</w:t>
            </w:r>
          </w:p>
        </w:tc>
      </w:tr>
    </w:tbl>
    <w:p/>
    <w:p>
      <w:pPr>
        <w:pStyle w:val="Heading1"/>
      </w:pPr>
      <w:r>
        <w:t>18. 结论</w:t>
      </w:r>
    </w:p>
    <w:p>
      <w:r>
        <w:rPr>
          <w:rFonts w:ascii="Calibri" w:hAnsi="Calibri" w:eastAsia="Microsoft YaHei"/>
          <w:b w:val="0"/>
          <w:i w:val="0"/>
          <w:sz w:val="22"/>
        </w:rPr>
        <w:t>本文档在 V1.2 需求规格说明书基础上，将系统需求转换为功能模块、页面路由、按钮行为、候选表、服务边界、导出字段、审计快照和验收映射。本次导航结构更新后，左侧导航固定为“系统首页、数据管理、数元贡献度计量、收益分配计算、报告生成与导出、系统管理”六个一级菜单，并将原有功能模块映射到对应二级功能。后续数据库设计可直接依据第 6、11、12、13 章建立表结构和约束；UI 设计可直接依据第 5、7、8、14 章建立页面原型和交互流程；后端接口设计可依据第 10 章拆分服务和统一输入输出。</w:t>
      </w:r>
    </w:p>
    <w:p>
      <w:r>
        <w:rPr>
          <w:rFonts w:ascii="Calibri" w:hAnsi="Calibri" w:eastAsia="Microsoft YaHei"/>
          <w:b w:val="0"/>
          <w:i w:val="0"/>
          <w:sz w:val="22"/>
        </w:rPr>
        <w:t>系统核心设计结论是：以数据接入为起点，以质量评估、数元计量和效用计算形成算法输入，以 MD-DShap 作为默认权重计算策略，以合同优先分配和合同约束调整形成最终模拟结果，以报告和审计日志完成输出追溯。系统结果仅为模拟参考，非法律结算。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</w:pPr>
    <w:rPr>
      <w:rFonts w:ascii="Courier New" w:hAnsi="Courier New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数据收益分配系统 V1.2 系统详细功能设计文档</dc:title>
  <dc:subject>DVAS documentation generated from Markdown source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