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</w:p>
    <w:p w14:paraId="27D4337E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32"/>
          <w:szCs w:val="32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32"/>
          <w:szCs w:val="32"/>
        </w:rPr>
        <w:t>2026年广东省大学生计算机设计大赛暨第19届</w:t>
      </w:r>
    </w:p>
    <w:p w14:paraId="12F2D80B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32"/>
          <w:szCs w:val="32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32"/>
          <w:szCs w:val="32"/>
        </w:rPr>
        <w:t>中国大学生计算机设计大赛粤港澳大湾区赛赛区独立赛题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  <w:lang w:val="en-US" w:eastAsia="zh-CN"/>
        </w:rPr>
        <w:t>AI智能体协作挑战赛（本科组）</w:t>
      </w: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  <w:t>作品报告</w:t>
      </w:r>
    </w:p>
    <w:p w14:paraId="2BB592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t>作品编号：（待分配）</w:t>
      </w:r>
    </w:p>
    <w:p w14:paraId="6FAEF5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t>作品名称：智填教务——基于多Agent协作的教务文档智能填写系统</w:t>
      </w:r>
    </w:p>
    <w:p w14:paraId="2008CFF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 w:firstLine="1600" w:firstLineChars="5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t>填写日期：2026年06月05日</w:t>
      </w:r>
    </w:p>
    <w:p w14:paraId="30D24118">
      <w:pPr>
        <w:widowControl/>
        <w:jc w:val="left"/>
        <w:rPr>
          <w:rFonts w:hint="eastAsia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>
                            <w:pP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AI智能体协作挑战赛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；</w:t>
                            </w:r>
                          </w:p>
                          <w:p w14:paraId="50DBC14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ascii="华文楷体" w:hAnsi="华文楷体" w:eastAsia="华文楷体"/>
                              </w:rPr>
                              <w:t>尽管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预选赛仅完成部分工作，但是本文档需要针对决赛做出方案设计；</w:t>
                            </w:r>
                          </w:p>
                          <w:p w14:paraId="0F498C8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正文、标题格式已经在本文中设定，请勿修改；标题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的快捷键为“Ctrl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+#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”，正文快捷键为“Ctrl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+ 0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”；</w:t>
                            </w:r>
                          </w:p>
                          <w:p w14:paraId="13A0892F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本文档应结构清晰，突出重点，适当配合图表，描述准确，不易冗长拖沓；</w:t>
                            </w:r>
                          </w:p>
                          <w:p w14:paraId="10BB92C3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提交文档时，以PDF格式提交；</w:t>
                            </w:r>
                          </w:p>
                          <w:p w14:paraId="5081314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本文档内容是正式参赛内容的组成部分，务必真实填写。如不属实，将导致奖项等级降低甚至终止本作品参加比赛。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47.05pt;height:186pt;width:409.5pt;mso-wrap-distance-bottom:0pt;mso-wrap-distance-top:0pt;z-index:251660288;mso-width-relative:page;mso-height-relative:page;" fillcolor="#FFFFFF [3201]" filled="t" stroked="t" coordsize="21600,21600" o:gfxdata="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WbziPVAAAACAEAAA8A&#10;AAAAAAAAAQAgAAAAIgAAAGRycy9kb3ducmV2LnhtbFBLAQIUABQAAAAIAIdO4kA3Z6mKUwIAALgE&#10;AAAOAAAAAAAAAAEAIAAAACQ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02A94F">
                      <w:pP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AI智能体协作挑战赛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；</w:t>
                      </w:r>
                    </w:p>
                    <w:p w14:paraId="50DBC14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ascii="华文楷体" w:hAnsi="华文楷体" w:eastAsia="华文楷体"/>
                        </w:rPr>
                        <w:t>尽管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预选赛仅完成部分工作，但是本文档需要针对决赛做出方案设计；</w:t>
                      </w:r>
                    </w:p>
                    <w:p w14:paraId="0F498C8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正文、标题格式已经在本文中设定，请勿修改；标题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的快捷键为“Ctrl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+#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”，正文快捷键为“Ctrl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+ 0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”；</w:t>
                      </w:r>
                    </w:p>
                    <w:p w14:paraId="13A0892F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本文档应结构清晰，突出重点，适当配合图表，描述准确，不易冗长拖沓；</w:t>
                      </w:r>
                    </w:p>
                    <w:p w14:paraId="10BB92C3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提交文档时，以PDF格式提交；</w:t>
                      </w:r>
                    </w:p>
                    <w:p w14:paraId="5081314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本文档内容是正式参赛内容的组成部分，务必真实填写。如不属实，将导致奖项等级降低甚至终止本作品参加比赛。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sdt>
      <w:sdtPr>
        <w:rPr>
          <w:rFonts w:ascii="微软雅黑" w:hAnsi="微软雅黑" w:eastAsia="微软雅黑"/>
          <w:b/>
          <w:bCs/>
          <w:sz w:val="24"/>
          <w:szCs w:val="28"/>
        </w:rPr>
        <w:id w:val="-1"/>
        <w:docPartObj>
          <w:docPartGallery w:val="Table of Contents"/>
          <w:docPartUnique/>
        </w:docPartObj>
      </w:sdtPr>
      <w:sdtEndPr>
        <w:rPr>
          <w:rFonts w:ascii="Arial" w:hAnsi="Arial" w:eastAsia="黑体"/>
          <w:b w:val="0"/>
          <w:bCs w:val="0"/>
          <w:sz w:val="21"/>
          <w:szCs w:val="22"/>
          <w:lang w:val="zh-CN"/>
        </w:rPr>
      </w:sdtEndPr>
      <w:sdtContent>
        <w:p w14:paraId="0D17FC74">
          <w:pPr>
            <w:jc w:val="center"/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</w:pP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>目</w:t>
          </w:r>
          <w:r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  <w:t xml:space="preserve"> </w:t>
          </w: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 xml:space="preserve"> 录</w:t>
          </w:r>
        </w:p>
        <w:p w14:paraId="16286C64">
          <w:pPr>
            <w:jc w:val="center"/>
            <w:rPr>
              <w:rFonts w:hint="eastAsia" w:ascii="微软雅黑" w:hAnsi="微软雅黑" w:eastAsia="微软雅黑"/>
              <w:b/>
              <w:bCs/>
              <w:szCs w:val="21"/>
            </w:rPr>
          </w:pPr>
        </w:p>
        <w:p w14:paraId="25CDD025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"_Toc100650889" </w:instrText>
          </w:r>
          <w:r>
            <w:fldChar w:fldCharType="separate"/>
          </w:r>
          <w:r>
            <w:rPr>
              <w:rStyle w:val="24"/>
            </w:rPr>
            <w:t>第1章 作品概述</w:t>
          </w:r>
          <w:r>
            <w:tab/>
          </w:r>
          <w:r>
            <w:fldChar w:fldCharType="begin"/>
          </w:r>
          <w:r>
            <w:instrText xml:space="preserve"> PAGEREF _Toc100650889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B6ECA9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"_Toc100650890" </w:instrText>
          </w:r>
          <w:r>
            <w:fldChar w:fldCharType="separate"/>
          </w:r>
          <w:r>
            <w:rPr>
              <w:rStyle w:val="24"/>
            </w:rPr>
            <w:t>1.1 二级标题示例（快捷键Ctrl + 2）</w:t>
          </w:r>
          <w:r>
            <w:tab/>
          </w:r>
          <w:r>
            <w:fldChar w:fldCharType="begin"/>
          </w:r>
          <w:r>
            <w:instrText xml:space="preserve"> PAGEREF _Toc100650890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A20BB2">
          <w:pPr>
            <w:pStyle w:val="13"/>
            <w:ind w:left="315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"_Toc100650891" </w:instrText>
          </w:r>
          <w:r>
            <w:fldChar w:fldCharType="separate"/>
          </w:r>
          <w:r>
            <w:rPr>
              <w:rStyle w:val="24"/>
            </w:rPr>
            <w:t>1.1.1 三级标题示例（快捷键Ctrl + 3）</w:t>
          </w:r>
          <w:r>
            <w:tab/>
          </w:r>
          <w:r>
            <w:fldChar w:fldCharType="begin"/>
          </w:r>
          <w:r>
            <w:instrText xml:space="preserve"> PAGEREF _Toc100650891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2A7B8FB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"_Toc100650892" </w:instrText>
          </w:r>
          <w:r>
            <w:fldChar w:fldCharType="separate"/>
          </w:r>
          <w:r>
            <w:rPr>
              <w:rStyle w:val="24"/>
            </w:rPr>
            <w:t>第2章 问题分析</w:t>
          </w:r>
          <w:r>
            <w:tab/>
          </w:r>
          <w:r>
            <w:fldChar w:fldCharType="begin"/>
          </w:r>
          <w:r>
            <w:instrText xml:space="preserve"> PAGEREF _Toc100650892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703ED7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"_Toc100650893" </w:instrText>
          </w:r>
          <w:r>
            <w:fldChar w:fldCharType="separate"/>
          </w:r>
          <w:r>
            <w:rPr>
              <w:rStyle w:val="24"/>
            </w:rPr>
            <w:t>2.1 问题来源</w:t>
          </w:r>
          <w:r>
            <w:tab/>
          </w:r>
          <w:r>
            <w:fldChar w:fldCharType="begin"/>
          </w:r>
          <w:r>
            <w:instrText xml:space="preserve"> PAGEREF _Toc100650893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82786C9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"_Toc100650894" </w:instrText>
          </w:r>
          <w:r>
            <w:fldChar w:fldCharType="separate"/>
          </w:r>
          <w:r>
            <w:rPr>
              <w:rStyle w:val="24"/>
            </w:rPr>
            <w:t>2.2 现有解决方案</w:t>
          </w:r>
          <w:r>
            <w:tab/>
          </w:r>
          <w:r>
            <w:fldChar w:fldCharType="begin"/>
          </w:r>
          <w:r>
            <w:instrText xml:space="preserve"> PAGEREF _Toc100650894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F6AAE33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"_Toc100650895" </w:instrText>
          </w:r>
          <w:r>
            <w:fldChar w:fldCharType="separate"/>
          </w:r>
          <w:r>
            <w:rPr>
              <w:rStyle w:val="24"/>
            </w:rPr>
            <w:t>2.3 本作品要解决的痛点问题</w:t>
          </w:r>
          <w:r>
            <w:tab/>
          </w:r>
          <w:r>
            <w:fldChar w:fldCharType="begin"/>
          </w:r>
          <w:r>
            <w:instrText xml:space="preserve"> PAGEREF _Toc100650895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AA9CAEC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"_Toc100650896" </w:instrText>
          </w:r>
          <w:r>
            <w:fldChar w:fldCharType="separate"/>
          </w:r>
          <w:r>
            <w:rPr>
              <w:rStyle w:val="24"/>
            </w:rPr>
            <w:t>2.4 解决问题的思路</w:t>
          </w:r>
          <w:r>
            <w:tab/>
          </w:r>
          <w:r>
            <w:fldChar w:fldCharType="begin"/>
          </w:r>
          <w:r>
            <w:instrText xml:space="preserve"> PAGEREF _Toc100650896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DA84E4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"_Toc100650897" </w:instrText>
          </w:r>
          <w:r>
            <w:fldChar w:fldCharType="separate"/>
          </w:r>
          <w:r>
            <w:rPr>
              <w:rStyle w:val="24"/>
            </w:rPr>
            <w:t>第3章 技术方案</w:t>
          </w:r>
          <w:r>
            <w:tab/>
          </w:r>
          <w:r>
            <w:fldChar w:fldCharType="begin"/>
          </w:r>
          <w:r>
            <w:instrText xml:space="preserve"> PAGEREF _Toc100650897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2911C5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"_Toc100650898" </w:instrText>
          </w:r>
          <w:r>
            <w:fldChar w:fldCharType="separate"/>
          </w:r>
          <w:r>
            <w:rPr>
              <w:rStyle w:val="24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_Toc100650898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9B7E9E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"_Toc100650899" </w:instrText>
          </w:r>
          <w:r>
            <w:fldChar w:fldCharType="separate"/>
          </w:r>
          <w:r>
            <w:rPr>
              <w:rStyle w:val="24"/>
            </w:rPr>
            <w:t>第5章 测试分析</w:t>
          </w:r>
          <w:r>
            <w:tab/>
          </w:r>
          <w:r>
            <w:fldChar w:fldCharType="begin"/>
          </w:r>
          <w:r>
            <w:instrText xml:space="preserve"> PAGEREF _Toc100650899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555B41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"_Toc100650900" </w:instrText>
          </w:r>
          <w:r>
            <w:fldChar w:fldCharType="separate"/>
          </w:r>
          <w:r>
            <w:rPr>
              <w:rStyle w:val="24"/>
            </w:rPr>
            <w:t>第6章 作品总结</w:t>
          </w:r>
          <w:r>
            <w:tab/>
          </w:r>
          <w:r>
            <w:fldChar w:fldCharType="begin"/>
          </w:r>
          <w:r>
            <w:instrText xml:space="preserve"> PAGEREF _Toc100650900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9A76A6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"_Toc100650901" </w:instrText>
          </w:r>
          <w:r>
            <w:fldChar w:fldCharType="separate"/>
          </w:r>
          <w:r>
            <w:rPr>
              <w:rStyle w:val="24"/>
            </w:rPr>
            <w:t>6.1 作品特色与创新点</w:t>
          </w:r>
          <w:r>
            <w:tab/>
          </w:r>
          <w:r>
            <w:fldChar w:fldCharType="begin"/>
          </w:r>
          <w:r>
            <w:instrText xml:space="preserve"> PAGEREF _Toc100650901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C69454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"_Toc100650902" </w:instrText>
          </w:r>
          <w:r>
            <w:fldChar w:fldCharType="separate"/>
          </w:r>
          <w:r>
            <w:rPr>
              <w:rStyle w:val="24"/>
            </w:rPr>
            <w:t>6.2 应用推广</w:t>
          </w:r>
          <w:r>
            <w:tab/>
          </w:r>
          <w:r>
            <w:fldChar w:fldCharType="begin"/>
          </w:r>
          <w:r>
            <w:instrText xml:space="preserve"> PAGEREF _Toc100650902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3512B6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"_Toc100650903" </w:instrText>
          </w:r>
          <w:r>
            <w:fldChar w:fldCharType="separate"/>
          </w:r>
          <w:r>
            <w:rPr>
              <w:rStyle w:val="24"/>
            </w:rPr>
            <w:t>6.3 作品展望</w:t>
          </w:r>
          <w:r>
            <w:tab/>
          </w:r>
          <w:r>
            <w:fldChar w:fldCharType="begin"/>
          </w:r>
          <w:r>
            <w:instrText xml:space="preserve"> PAGEREF _Toc100650903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1BB2CD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"_Toc100650904" </w:instrText>
          </w:r>
          <w:r>
            <w:fldChar w:fldCharType="separate"/>
          </w:r>
          <w:r>
            <w:rPr>
              <w:rStyle w:val="24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_Toc100650904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E8AC19">
          <w:pPr>
            <w:pStyle w:val="17"/>
            <w:spacing w:before="156"/>
          </w:pPr>
          <w:r>
            <w:rPr>
              <w:rFonts w:ascii="华文楷体" w:hAnsi="华文楷体" w:eastAsia="华文楷体"/>
              <w:sz w:val="44"/>
              <w:lang w:val="zh-CN"/>
            </w:rPr>
            <w:fldChar w:fldCharType="end"/>
          </w:r>
        </w:p>
      </w:sdtContent>
    </w:sdt>
    <w:p w14:paraId="3F8B4557">
      <w:pPr>
        <w:pStyle w:val="2"/>
        <w:spacing w:before="936" w:after="156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0D3CDAED">
      <w:pPr>
        <w:pStyle w:val="2"/>
        <w:spacing w:before="936" w:after="156"/>
      </w:pPr>
      <w:bookmarkStart w:id="0" w:name="_Toc100650889"/>
      <w:r>
        <w:rPr>
          <w:rFonts w:hint="eastAsia"/>
        </w:rPr>
        <w:t>作品概述</w:t>
      </w:r>
      <w:bookmarkEnd w:id="0"/>
    </w:p>
    <w:p w14:paraId="34DECA1E">
      <w:pPr>
        <w:pStyle w:val="3"/>
        <w:spacing w:before="156" w:after="312"/>
        <w:rPr>
          <w:rFonts w:hint="eastAsia"/>
        </w:rPr>
      </w:pPr>
      <w:r>
        <w:t>高校教务工作中存在大量结构化文档填写需求，如教材建设申报书、考场记录表、试卷分析报告、课程目标关联矩阵等。这些文档格式复杂、字段繁多，教师需反复查阅资料、手动逐项填写，耗时且易出错。</w:t>
        <w:br/>
        <w:br/>
        <w:t>"智填教务"是一款基于大语言模型与多Agent协作架构的教务文档智能填写系统。用户只需上传教务模板和知识文件（如旧报告、项目说明等），系统即可自动提取关键信息、智能匹配字段、生成格式完整的Word文档。系统面向高校教务管理人员和一线教师，核心价值是将数小时的文档填写工作缩短至几分钟。</w:t>
      </w:r>
    </w:p>
    <w:p w14:paraId="2203B97E">
      <w:pPr>
        <w:pStyle w:val="40"/>
        <w:spacing w:before="93" w:after="93"/>
      </w:pPr>
      <w:r>
        <w:rPr>
          <w:rFonts w:hint="eastAsia"/>
        </w:rPr>
        <mc:AlternateContent>
          <mc:Choice Requires="wps">
            <w:drawing>
              <wp:inline distT="0" distB="0" distL="0" distR="0">
                <wp:extent cx="2008505" cy="988695"/>
                <wp:effectExtent l="0" t="0" r="10795" b="20955"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61" cy="9891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矩形: 圆角 1" o:spid="_x0000_s1026" o:spt="2" style="height:77.85pt;width:158.15pt;v-text-anchor:middle;" fillcolor="#4F81BD [3204]" filled="t" stroked="t" coordsize="21600,21600" arcsize="0.166666666666667" o:gfxdata="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pQW10wAA&#10;AAUBAAAPAAAAAAAAAAEAIAAAACIAAABkcnMvZG93bnJldi54bWxQSwECFAAUAAAACACHTuJAtw3y&#10;x5UCAAAiBQAADgAAAAAAAAABACAAAAAiAQAAZHJzL2Uyb0RvYy54bWxQSwUGAAAAAAYABgBZAQAA&#10;KQYAAAAA&#10;">
                <v:fill on="t" focussize="0,0"/>
                <v:stroke weight="1pt" color="#385D8A [3204]" miterlimit="8" joinstyle="miter"/>
                <v:imagedata o:title=""/>
                <o:lock v:ext="edit" aspectratio="f"/>
                <w10:wrap type="none"/>
                <w10:anchorlock/>
              </v:roundrect>
            </w:pict>
          </mc:Fallback>
        </mc:AlternateConten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3319"/>
      </w:tblGrid>
      <w:tr w14:paraId="7AC69F14">
        <w:trPr>
          <w:jc w:val="center"/>
        </w:trPr>
        <w:tc>
          <w:tcPr>
            <w:tcW w:w="1659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A3DCBE">
            <w:pPr>
              <w:pStyle w:val="40"/>
              <w:spacing w:before="93" w:after="93"/>
            </w:pPr>
            <w:r>
              <w:rPr>
                <w:rFonts w:hint="eastAsia"/>
              </w:rPr>
              <w:t>首列</w:t>
            </w:r>
          </w:p>
        </w:tc>
        <w:tc>
          <w:tcPr>
            <w:tcW w:w="165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1B5824DD">
            <w:pPr>
              <w:pStyle w:val="40"/>
              <w:spacing w:before="93" w:after="93"/>
            </w:pPr>
            <w:r>
              <w:rPr>
                <w:rFonts w:hint="eastAsia"/>
              </w:rPr>
              <w:t>内容1</w:t>
            </w:r>
          </w:p>
        </w:tc>
        <w:tc>
          <w:tcPr>
            <w:tcW w:w="1659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1F8B02D6">
            <w:pPr>
              <w:pStyle w:val="40"/>
              <w:spacing w:before="93" w:after="93"/>
            </w:pPr>
            <w:r>
              <w:rPr>
                <w:rFonts w:hint="eastAsia"/>
              </w:rPr>
              <w:t>内容2</w:t>
            </w:r>
          </w:p>
        </w:tc>
        <w:tc>
          <w:tcPr>
            <w:tcW w:w="3319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03B96790">
            <w:pPr>
              <w:pStyle w:val="40"/>
              <w:spacing w:before="93" w:after="93"/>
            </w:pPr>
            <w:r>
              <w:rPr>
                <w:rFonts w:hint="eastAsia"/>
              </w:rPr>
              <w:t>内容3</w:t>
            </w:r>
          </w:p>
        </w:tc>
      </w:tr>
      <w:tr w14:paraId="664CE080">
        <w:trPr>
          <w:jc w:val="center"/>
        </w:trPr>
        <w:tc>
          <w:tcPr>
            <w:tcW w:w="1659" w:type="dxa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14:paraId="30D1C312">
            <w:pPr>
              <w:pStyle w:val="40"/>
              <w:spacing w:before="93" w:after="93"/>
            </w:pPr>
            <w:r>
              <w:rPr>
                <w:rFonts w:hint="eastAsia"/>
              </w:rPr>
              <w:t>索引1</w:t>
            </w: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</w:tcBorders>
            <w:vAlign w:val="center"/>
          </w:tcPr>
          <w:p w14:paraId="7A35464D">
            <w:pPr>
              <w:pStyle w:val="40"/>
              <w:spacing w:before="93" w:after="93"/>
            </w:pPr>
          </w:p>
        </w:tc>
        <w:tc>
          <w:tcPr>
            <w:tcW w:w="1659" w:type="dxa"/>
            <w:tcBorders>
              <w:top w:val="single" w:color="auto" w:sz="6" w:space="0"/>
            </w:tcBorders>
            <w:vAlign w:val="center"/>
          </w:tcPr>
          <w:p w14:paraId="68D70416">
            <w:pPr>
              <w:pStyle w:val="40"/>
              <w:spacing w:before="93" w:after="93"/>
            </w:pPr>
          </w:p>
        </w:tc>
        <w:tc>
          <w:tcPr>
            <w:tcW w:w="3319" w:type="dxa"/>
            <w:tcBorders>
              <w:top w:val="single" w:color="auto" w:sz="6" w:space="0"/>
            </w:tcBorders>
            <w:vAlign w:val="center"/>
          </w:tcPr>
          <w:p w14:paraId="642B2590">
            <w:pPr>
              <w:pStyle w:val="40"/>
              <w:spacing w:before="93" w:after="93"/>
            </w:pPr>
          </w:p>
        </w:tc>
      </w:tr>
      <w:tr w14:paraId="25E9D99E">
        <w:trPr>
          <w:jc w:val="center"/>
        </w:trPr>
        <w:tc>
          <w:tcPr>
            <w:tcW w:w="1659" w:type="dxa"/>
            <w:tcBorders>
              <w:right w:val="single" w:color="auto" w:sz="6" w:space="0"/>
            </w:tcBorders>
            <w:vAlign w:val="center"/>
          </w:tcPr>
          <w:p w14:paraId="2E4D6A83">
            <w:pPr>
              <w:pStyle w:val="40"/>
              <w:spacing w:before="93" w:after="93"/>
            </w:pPr>
            <w:r>
              <w:rPr>
                <w:rFonts w:hint="eastAsia"/>
              </w:rPr>
              <w:t>索引2</w:t>
            </w:r>
          </w:p>
        </w:tc>
        <w:tc>
          <w:tcPr>
            <w:tcW w:w="1659" w:type="dxa"/>
            <w:tcBorders>
              <w:left w:val="single" w:color="auto" w:sz="6" w:space="0"/>
            </w:tcBorders>
            <w:vAlign w:val="center"/>
          </w:tcPr>
          <w:p w14:paraId="6AFBFF86">
            <w:pPr>
              <w:pStyle w:val="40"/>
              <w:spacing w:before="93" w:after="93"/>
            </w:pPr>
          </w:p>
        </w:tc>
        <w:tc>
          <w:tcPr>
            <w:tcW w:w="1659" w:type="dxa"/>
            <w:vAlign w:val="center"/>
          </w:tcPr>
          <w:p w14:paraId="6086B303">
            <w:pPr>
              <w:pStyle w:val="40"/>
              <w:spacing w:before="93" w:after="93"/>
            </w:pPr>
          </w:p>
        </w:tc>
        <w:tc>
          <w:tcPr>
            <w:tcW w:w="3319" w:type="dxa"/>
            <w:vAlign w:val="center"/>
          </w:tcPr>
          <w:p w14:paraId="311FA42B">
            <w:pPr>
              <w:pStyle w:val="40"/>
              <w:spacing w:before="93" w:after="93"/>
            </w:pPr>
          </w:p>
        </w:tc>
      </w:tr>
      <w:tr w14:paraId="05380E99">
        <w:trPr>
          <w:jc w:val="center"/>
        </w:trPr>
        <w:tc>
          <w:tcPr>
            <w:tcW w:w="1659" w:type="dxa"/>
            <w:tcBorders>
              <w:right w:val="single" w:color="auto" w:sz="6" w:space="0"/>
            </w:tcBorders>
            <w:vAlign w:val="center"/>
          </w:tcPr>
          <w:p w14:paraId="174E4DA1">
            <w:pPr>
              <w:pStyle w:val="40"/>
              <w:spacing w:before="93" w:after="93"/>
            </w:pPr>
            <w:r>
              <w:rPr>
                <w:rFonts w:hint="eastAsia"/>
              </w:rPr>
              <w:t>索引3</w:t>
            </w:r>
          </w:p>
        </w:tc>
        <w:tc>
          <w:tcPr>
            <w:tcW w:w="1659" w:type="dxa"/>
            <w:tcBorders>
              <w:left w:val="single" w:color="auto" w:sz="6" w:space="0"/>
            </w:tcBorders>
            <w:vAlign w:val="center"/>
          </w:tcPr>
          <w:p w14:paraId="3204DB0D">
            <w:pPr>
              <w:pStyle w:val="40"/>
              <w:spacing w:before="93" w:after="93"/>
            </w:pPr>
          </w:p>
        </w:tc>
        <w:tc>
          <w:tcPr>
            <w:tcW w:w="1659" w:type="dxa"/>
            <w:vAlign w:val="center"/>
          </w:tcPr>
          <w:p w14:paraId="7F545916">
            <w:pPr>
              <w:pStyle w:val="40"/>
              <w:spacing w:before="93" w:after="93"/>
            </w:pPr>
          </w:p>
        </w:tc>
        <w:tc>
          <w:tcPr>
            <w:tcW w:w="3319" w:type="dxa"/>
            <w:vAlign w:val="center"/>
          </w:tcPr>
          <w:p w14:paraId="00061AA0">
            <w:pPr>
              <w:pStyle w:val="40"/>
              <w:spacing w:before="93" w:after="93"/>
            </w:pPr>
          </w:p>
        </w:tc>
      </w:tr>
      <w:tr w14:paraId="1EC51A2D">
        <w:trPr>
          <w:jc w:val="center"/>
        </w:trPr>
        <w:tc>
          <w:tcPr>
            <w:tcW w:w="1659" w:type="dxa"/>
            <w:tcBorders>
              <w:right w:val="single" w:color="auto" w:sz="6" w:space="0"/>
            </w:tcBorders>
            <w:vAlign w:val="center"/>
          </w:tcPr>
          <w:p w14:paraId="5294A5FA">
            <w:pPr>
              <w:pStyle w:val="40"/>
              <w:spacing w:before="93" w:after="93"/>
            </w:pPr>
            <w:r>
              <w:rPr>
                <w:rFonts w:hint="eastAsia"/>
              </w:rPr>
              <w:t>索引4</w:t>
            </w:r>
          </w:p>
        </w:tc>
        <w:tc>
          <w:tcPr>
            <w:tcW w:w="1659" w:type="dxa"/>
            <w:tcBorders>
              <w:left w:val="single" w:color="auto" w:sz="6" w:space="0"/>
            </w:tcBorders>
            <w:vAlign w:val="center"/>
          </w:tcPr>
          <w:p w14:paraId="2BB03744">
            <w:pPr>
              <w:pStyle w:val="40"/>
              <w:spacing w:before="93" w:after="93"/>
            </w:pPr>
          </w:p>
        </w:tc>
        <w:tc>
          <w:tcPr>
            <w:tcW w:w="1659" w:type="dxa"/>
            <w:vAlign w:val="center"/>
          </w:tcPr>
          <w:p w14:paraId="2244EBFE">
            <w:pPr>
              <w:pStyle w:val="40"/>
              <w:spacing w:before="93" w:after="93"/>
            </w:pPr>
          </w:p>
        </w:tc>
        <w:tc>
          <w:tcPr>
            <w:tcW w:w="3319" w:type="dxa"/>
            <w:vAlign w:val="center"/>
          </w:tcPr>
          <w:p w14:paraId="2907794C">
            <w:pPr>
              <w:pStyle w:val="40"/>
              <w:spacing w:before="93" w:after="93"/>
            </w:pPr>
          </w:p>
        </w:tc>
      </w:tr>
      <w:tr w14:paraId="798E336E">
        <w:trPr>
          <w:jc w:val="center"/>
        </w:trPr>
        <w:tc>
          <w:tcPr>
            <w:tcW w:w="1659" w:type="dxa"/>
            <w:tcBorders>
              <w:bottom w:val="single" w:color="auto" w:sz="12" w:space="0"/>
              <w:right w:val="single" w:color="auto" w:sz="6" w:space="0"/>
            </w:tcBorders>
            <w:vAlign w:val="center"/>
          </w:tcPr>
          <w:p w14:paraId="0A89E15B">
            <w:pPr>
              <w:pStyle w:val="40"/>
              <w:spacing w:before="93" w:after="93"/>
            </w:pPr>
            <w:r>
              <w:rPr>
                <w:rFonts w:hint="eastAsia"/>
              </w:rPr>
              <w:t>索引5</w:t>
            </w:r>
          </w:p>
        </w:tc>
        <w:tc>
          <w:tcPr>
            <w:tcW w:w="1659" w:type="dxa"/>
            <w:tcBorders>
              <w:left w:val="single" w:color="auto" w:sz="6" w:space="0"/>
              <w:bottom w:val="single" w:color="auto" w:sz="12" w:space="0"/>
            </w:tcBorders>
            <w:vAlign w:val="center"/>
          </w:tcPr>
          <w:p w14:paraId="66970B97">
            <w:pPr>
              <w:pStyle w:val="40"/>
              <w:spacing w:before="93" w:after="93"/>
            </w:pPr>
          </w:p>
        </w:tc>
        <w:tc>
          <w:tcPr>
            <w:tcW w:w="1659" w:type="dxa"/>
            <w:tcBorders>
              <w:bottom w:val="single" w:color="auto" w:sz="12" w:space="0"/>
            </w:tcBorders>
            <w:vAlign w:val="center"/>
          </w:tcPr>
          <w:p w14:paraId="4BA48E26">
            <w:pPr>
              <w:pStyle w:val="40"/>
              <w:spacing w:before="93" w:after="93"/>
            </w:pPr>
          </w:p>
        </w:tc>
        <w:tc>
          <w:tcPr>
            <w:tcW w:w="3319" w:type="dxa"/>
            <w:tcBorders>
              <w:bottom w:val="single" w:color="auto" w:sz="12" w:space="0"/>
            </w:tcBorders>
            <w:vAlign w:val="center"/>
          </w:tcPr>
          <w:p w14:paraId="06B56FC9">
            <w:pPr>
              <w:pStyle w:val="40"/>
              <w:spacing w:before="93" w:after="93"/>
            </w:pPr>
          </w:p>
        </w:tc>
      </w:tr>
    </w:tbl>
    <w:p w14:paraId="014B826E">
      <w:pPr>
        <w:pStyle w:val="40"/>
        <w:spacing w:before="93" w:after="93"/>
      </w:pPr>
    </w:p>
    <w:p w14:paraId="5CC2DF03">
      <w:pPr>
        <w:pStyle w:val="2"/>
        <w:spacing w:before="936" w:after="156"/>
      </w:pPr>
      <w:bookmarkStart w:id="3" w:name="_Toc100650892"/>
      <w:r>
        <w:rPr>
          <w:rFonts w:hint="eastAsia"/>
        </w:rPr>
        <w:t>问题分析</w:t>
      </w:r>
      <w:bookmarkEnd w:id="3"/>
    </w:p>
    <w:p w14:paraId="545DDF48">
      <w:pPr>
        <w:pStyle w:val="4"/>
        <w:spacing w:before="468" w:after="93"/>
      </w:pPr>
      <w:bookmarkStart w:id="4" w:name="_Toc100650893"/>
      <w:r>
        <w:rPr>
          <w:rFonts w:hint="eastAsia"/>
        </w:rPr>
        <w:t>问题来源</w:t>
      </w:r>
      <w:bookmarkEnd w:id="4"/>
    </w:p>
    <w:p w14:paraId="72632E64">
      <w:pPr>
        <w:pStyle w:val="3"/>
        <w:spacing w:before="156" w:after="312"/>
        <w:rPr>
          <w:rFonts w:hint="eastAsia"/>
        </w:rPr>
      </w:pPr>
      <w:r>
        <w:t>高校教务管理涉及数十种标准化文档，每种文档包含20-60个字段，涵盖基本信息、数据表格、审批签名等多种类型。教师填写时面临三大痛点：（1）信息分散——所需数据散落在多个文件和系统中；（2）格式严格——表格结构、合并单元格、签章位置不可破坏；（3）重复劳动——同类文档每学期反复填写，大量内容可复用。</w:t>
      </w:r>
    </w:p>
    <w:p w14:paraId="32D20946">
      <w:pPr>
        <w:pStyle w:val="3"/>
        <w:spacing w:before="62" w:after="62"/>
        <w:ind w:firstLine="480"/>
      </w:pPr>
    </w:p>
    <w:p w14:paraId="163829B1">
      <w:pPr>
        <w:pStyle w:val="4"/>
        <w:spacing w:before="468" w:after="93"/>
      </w:pPr>
      <w:bookmarkStart w:id="5" w:name="_Toc100650894"/>
      <w:r>
        <w:rPr>
          <w:rFonts w:hint="eastAsia"/>
        </w:rPr>
        <w:t>现有解决方案</w:t>
      </w:r>
      <w:bookmarkEnd w:id="5"/>
    </w:p>
    <w:p w14:paraId="1974D893">
      <w:pPr>
        <w:pStyle w:val="3"/>
        <w:spacing w:before="156" w:after="312"/>
        <w:rPr>
          <w:rFonts w:hint="eastAsia"/>
        </w:rPr>
      </w:pPr>
      <w:r>
        <w:t>目前市面上的文档填写方案主要有三类：（1）通用表单工具（如问卷星、金数据），仅支持简单表单，无法处理复杂Word表格；（2）RPA自动化工具（如影刀、UiPath），需针对每种模板编写脚本，维护成本高；（3）通用AI助手（如ChatGPT、Kimi），可提取信息但无法直接操作Word文档格式。</w:t>
      </w:r>
    </w:p>
    <w:p w14:paraId="3AD2C8B9">
      <w:pPr>
        <w:pStyle w:val="3"/>
        <w:spacing w:before="62" w:after="62"/>
        <w:ind w:firstLine="480"/>
      </w:pPr>
    </w:p>
    <w:p w14:paraId="2B15DFE2">
      <w:pPr>
        <w:pStyle w:val="4"/>
        <w:spacing w:before="468" w:after="93"/>
      </w:pPr>
      <w:bookmarkStart w:id="6" w:name="_Toc100650895"/>
      <w:r>
        <w:rPr>
          <w:rFonts w:hint="eastAsia"/>
        </w:rPr>
        <w:t>本作品要解决的痛点问题</w:t>
      </w:r>
      <w:bookmarkEnd w:id="6"/>
    </w:p>
    <w:p w14:paraId="659CF6F4">
      <w:pPr>
        <w:pStyle w:val="3"/>
        <w:spacing w:before="156" w:after="312"/>
        <w:rPr>
          <w:rFonts w:hint="eastAsia"/>
        </w:rPr>
      </w:pPr>
      <w:r>
        <w:t>本作品聚焦解决"复杂格式Word文档的智能填写"这一核心问题：在不破坏原始模板格式的前提下，从非结构化知识文件中自动提取信息并精准填入对应字段。</w:t>
      </w:r>
    </w:p>
    <w:p w14:paraId="05AFB08A">
      <w:pPr>
        <w:pStyle w:val="3"/>
        <w:spacing w:before="62" w:after="62"/>
        <w:ind w:firstLine="480"/>
      </w:pPr>
    </w:p>
    <w:p w14:paraId="646C57C9">
      <w:pPr>
        <w:pStyle w:val="3"/>
        <w:spacing w:before="62" w:after="62"/>
        <w:ind w:firstLine="480"/>
      </w:pPr>
    </w:p>
    <w:p w14:paraId="06FC8F25">
      <w:pPr>
        <w:pStyle w:val="4"/>
        <w:spacing w:before="468" w:after="93"/>
      </w:pPr>
      <w:bookmarkStart w:id="7" w:name="_Toc100650896"/>
      <w:r>
        <w:rPr>
          <w:rFonts w:hint="eastAsia"/>
        </w:rPr>
        <w:t>解决问题的思路</w:t>
      </w:r>
      <w:bookmarkEnd w:id="7"/>
    </w:p>
    <w:p w14:paraId="7714C684">
      <w:pPr>
        <w:pStyle w:val="3"/>
        <w:spacing w:before="156" w:after="312"/>
        <w:rPr>
          <w:rFonts w:hint="eastAsia"/>
        </w:rPr>
      </w:pPr>
      <w:r>
        <w:t>采用"知识提取→字段填充→文档生成"三阶段流水线，每个阶段由独立的AI Agent负责，通过状态标记实现阶段间协调。知识提取Agent从用户上传的文件中提取结构化事实；填充Agent将事实与模板字段进行语义匹配；生成Agent将填充结果渲染到Word模板并输出文档。</w:t>
      </w:r>
    </w:p>
    <w:p w14:paraId="50447E52">
      <w:pPr>
        <w:pStyle w:val="3"/>
        <w:spacing w:before="62" w:after="62"/>
        <w:ind w:firstLine="480"/>
      </w:pPr>
    </w:p>
    <w:p w14:paraId="01929EA0">
      <w:pPr>
        <w:pStyle w:val="3"/>
        <w:spacing w:before="62" w:after="62"/>
        <w:ind w:firstLine="480"/>
      </w:pPr>
    </w:p>
    <w:p w14:paraId="1B77D99C">
      <w:pPr>
        <w:pStyle w:val="2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 w14:paraId="268BADFD">
      <w:pPr>
        <w:pStyle w:val="3"/>
        <w:spacing w:before="156" w:after="312"/>
        <w:rPr>
          <w:rFonts w:hint="eastAsia"/>
        </w:rPr>
      </w:pPr>
      <w:r>
        <w:t>系统基于LangGraph StateGraph构建多Agent协作架构，核心设计如下：</w:t>
        <w:br/>
        <w:br/>
        <w:t>（1）Router条件路由：根据对话状态中的阶段标记（[FACTS]/[FIELDS]/[生成完成]），动态决定调用哪个Agent，避免冗余处理。支持跨任务周期检测——用户在同一会话中处理多份文档时，系统能识别新任务并重置流程。</w:t>
        <w:br/>
        <w:br/>
        <w:t>（2）工具隔离：每个Agent仅拥有完成本阶段任务所需的工具集。知识提取Agent配备5个工具（事实提取、旧报告解析等），填充Agent配备8个工具（模板分析、字段更新等），生成Agent配备4个工具（文档生成、模板渲染等）。</w:t>
        <w:br/>
        <w:br/>
        <w:t>（3）消息滑动窗口：限制对话历史最多40条消息，防止长对话导致token溢出。</w:t>
        <w:br/>
        <w:br/>
        <w:t>（4）双模型策略：Agent推理使用豆包Seed模型（平台内置），字段预填使用DeepSeek v4-pro（外部API），兼顾响应速度和填充质量。</w:t>
      </w:r>
    </w:p>
    <w:p w14:paraId="0197BB0A">
      <w:pPr>
        <w:pStyle w:val="3"/>
        <w:spacing w:before="62" w:after="62"/>
        <w:ind w:firstLine="480"/>
      </w:pPr>
    </w:p>
    <w:p w14:paraId="55A31658">
      <w:pPr>
        <w:pStyle w:val="3"/>
        <w:spacing w:before="62" w:after="62"/>
        <w:ind w:firstLine="480"/>
      </w:pPr>
    </w:p>
    <w:p w14:paraId="5F962E18">
      <w:pPr>
        <w:pStyle w:val="2"/>
        <w:spacing w:before="936" w:after="156"/>
      </w:pPr>
      <w:bookmarkStart w:id="9" w:name="_Toc100650898"/>
      <w:r>
        <w:rPr>
          <w:rFonts w:hint="eastAsia"/>
        </w:rPr>
        <w:t>系统实现</w:t>
      </w:r>
      <w:bookmarkEnd w:id="9"/>
    </w:p>
    <w:p w14:paraId="6DF3D914">
      <w:pPr>
        <w:pStyle w:val="3"/>
        <w:spacing w:before="156" w:after="312"/>
        <w:rPr>
          <w:rFonts w:hint="eastAsia"/>
        </w:rPr>
      </w:pPr>
      <w:r>
        <w:t>后端采用Python 3.12 + FastAPI，前端为单文件SPA。系统部署在扣子（Coze）智能体平台，通过SSE流式返回处理进度。文档处理引擎基于python-docx实现OpenXML级别的操作，支持合并单元格、嵌套表格、行组扩展等复杂结构。</w:t>
      </w:r>
    </w:p>
    <w:p w14:paraId="20DB5E7E">
      <w:pPr>
        <w:pStyle w:val="3"/>
        <w:spacing w:before="62" w:after="62"/>
        <w:ind w:firstLine="480"/>
      </w:pPr>
    </w:p>
    <w:p w14:paraId="6C73E22F">
      <w:pPr>
        <w:pStyle w:val="3"/>
        <w:spacing w:before="62" w:after="62"/>
        <w:ind w:firstLine="480"/>
      </w:pPr>
    </w:p>
    <w:p w14:paraId="1DCBC415">
      <w:pPr>
        <w:pStyle w:val="2"/>
        <w:spacing w:before="936" w:after="156"/>
      </w:pPr>
      <w:bookmarkStart w:id="10" w:name="_Toc100650899"/>
      <w:r>
        <w:rPr>
          <w:rFonts w:hint="eastAsia"/>
        </w:rPr>
        <w:t>测试分析</w:t>
      </w:r>
      <w:bookmarkEnd w:id="10"/>
    </w:p>
    <w:p w14:paraId="2BCB30A8">
      <w:pPr>
        <w:pStyle w:val="3"/>
        <w:spacing w:before="156" w:after="312"/>
        <w:rPr>
          <w:rFonts w:hint="eastAsia"/>
        </w:rPr>
      </w:pPr>
      <w:r>
        <w:t>使用6种真实教务模板、3个难度等级（简单/中等/困难）共16组测试用例进行填充率测试，DeepSeek v4-pro模型下总体平均填充率达84.2%。其中试卷分析模板达99.2%，关联矩阵模板达100%。</w:t>
      </w:r>
    </w:p>
    <w:p w14:paraId="3E34FDAE">
      <w:pPr>
        <w:pStyle w:val="3"/>
        <w:spacing w:before="62" w:after="62"/>
        <w:ind w:firstLine="480"/>
      </w:pPr>
    </w:p>
    <w:p w14:paraId="39113B9B">
      <w:pPr>
        <w:pStyle w:val="3"/>
        <w:spacing w:before="62" w:after="62"/>
        <w:ind w:firstLine="480"/>
      </w:pPr>
    </w:p>
    <w:p w14:paraId="6633471C">
      <w:pPr>
        <w:pStyle w:val="2"/>
        <w:spacing w:before="936" w:after="156"/>
      </w:pPr>
      <w:bookmarkStart w:id="11" w:name="_Toc70698343"/>
      <w:bookmarkStart w:id="12" w:name="_Toc100650900"/>
      <w:r>
        <w:rPr>
          <w:rFonts w:hint="eastAsia"/>
        </w:rPr>
        <w:t>作品总结</w:t>
      </w:r>
      <w:bookmarkEnd w:id="11"/>
      <w:bookmarkEnd w:id="12"/>
    </w:p>
    <w:p w14:paraId="583BD79C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【填写说明：从创意、技术路线、工作量、数据和测试效果等方面对作品进行自我评价和总结，并对作品的进一步提升和应用拓展提出展望】</w:t>
      </w:r>
    </w:p>
    <w:p w14:paraId="10362E8A">
      <w:pPr>
        <w:pStyle w:val="4"/>
        <w:spacing w:before="468" w:after="93"/>
      </w:pPr>
      <w:bookmarkStart w:id="13" w:name="_Toc100650901"/>
      <w:r>
        <w:rPr>
          <w:rFonts w:hint="eastAsia"/>
        </w:rPr>
        <w:t>作品特色与创新点</w:t>
      </w:r>
      <w:bookmarkEnd w:id="13"/>
    </w:p>
    <w:p w14:paraId="4B990BB7">
      <w:pPr>
        <w:pStyle w:val="3"/>
        <w:spacing w:before="62" w:after="62"/>
        <w:ind w:firstLine="480"/>
      </w:pPr>
      <w:r>
        <w:t>• 多Agent协作架构，各Agent职责清晰、工具隔离</w:t>
        <w:br/>
        <w:t>• 条件路由机制，根据对话状态智能跳过已完成阶段</w:t>
        <w:br/>
        <w:t>• 格式保留引擎，支持复杂Word表格结构</w:t>
        <w:br/>
        <w:t>• 双模型策略，平衡速度与质量</w:t>
      </w:r>
    </w:p>
    <w:p w14:paraId="00672C77">
      <w:pPr>
        <w:pStyle w:val="4"/>
        <w:spacing w:before="468" w:after="93"/>
      </w:pPr>
      <w:bookmarkStart w:id="14" w:name="_Toc100650902"/>
      <w:r>
        <w:rPr>
          <w:rFonts w:hint="eastAsia"/>
        </w:rPr>
        <w:t>应用推广</w:t>
      </w:r>
      <w:bookmarkEnd w:id="14"/>
    </w:p>
    <w:p w14:paraId="123172F1">
      <w:pPr>
        <w:pStyle w:val="3"/>
        <w:spacing w:before="62" w:after="62"/>
        <w:ind w:firstLine="480"/>
      </w:pPr>
      <w:r>
        <w:t>系统已覆盖6种教务模板，可扩展至更多教务场景（如教学大纲、培养方案等）。</w:t>
      </w:r>
    </w:p>
    <w:p w14:paraId="3E4008E9">
      <w:pPr>
        <w:pStyle w:val="3"/>
        <w:spacing w:before="62" w:after="62"/>
        <w:ind w:firstLine="480"/>
      </w:pPr>
    </w:p>
    <w:p w14:paraId="14505BC2">
      <w:pPr>
        <w:pStyle w:val="4"/>
        <w:spacing w:before="468" w:after="93"/>
      </w:pPr>
      <w:bookmarkStart w:id="15" w:name="_Toc100650903"/>
      <w:r>
        <w:rPr>
          <w:rFonts w:hint="eastAsia"/>
        </w:rPr>
        <w:t>作品展望</w:t>
      </w:r>
      <w:bookmarkEnd w:id="15"/>
    </w:p>
    <w:p w14:paraId="395CFA89">
      <w:pPr>
        <w:pStyle w:val="3"/>
        <w:spacing w:before="62" w:after="62"/>
        <w:ind w:firstLine="480"/>
      </w:pPr>
      <w:r>
        <w:t>后续计划增加填充后可编辑确认功能、多模板批量处理、以及模板库在线浏览。</w:t>
      </w:r>
    </w:p>
    <w:p w14:paraId="1CCA158A">
      <w:pPr>
        <w:pStyle w:val="3"/>
        <w:spacing w:before="62" w:after="62"/>
        <w:ind w:firstLine="480"/>
      </w:pPr>
    </w:p>
    <w:p w14:paraId="007DB51A">
      <w:pPr>
        <w:pStyle w:val="3"/>
        <w:spacing w:before="62" w:after="62"/>
        <w:ind w:firstLine="480"/>
      </w:pPr>
    </w:p>
    <w:p w14:paraId="43B5D5C5">
      <w:pPr>
        <w:pStyle w:val="3"/>
        <w:spacing w:before="62" w:after="62"/>
        <w:ind w:firstLine="480"/>
      </w:pPr>
    </w:p>
    <w:p w14:paraId="721D7E07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</w:pPr>
      <w:bookmarkStart w:id="16" w:name="_Toc100650904"/>
      <w:r>
        <w:rPr>
          <w:rFonts w:hint="eastAsia"/>
        </w:rPr>
        <w:t>参考文献</w:t>
      </w:r>
      <w:bookmarkEnd w:id="16"/>
    </w:p>
    <w:p w14:paraId="4B0AA4E2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【请按照标准参考文件格式填写】</w:t>
      </w:r>
    </w:p>
    <w:p w14:paraId="146DE872">
      <w:pPr>
        <w:pStyle w:val="3"/>
        <w:spacing w:before="62" w:after="62"/>
        <w:ind w:firstLine="480"/>
      </w:pPr>
    </w:p>
    <w:p w14:paraId="2AA7E572">
      <w:pPr>
        <w:pStyle w:val="3"/>
        <w:spacing w:before="62" w:after="62"/>
        <w:ind w:firstLine="480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3619">
    <w:pPr>
      <w:pStyle w:val="15"/>
      <w:jc w:val="right"/>
      <w:rPr>
        <w:rFonts w:hint="eastAsia"/>
      </w:rPr>
    </w:pPr>
  </w:p>
  <w:p w14:paraId="43552949">
    <w:pPr>
      <w:pStyle w:val="1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6284442"/>
      <w:docPartObj>
        <w:docPartGallery w:val="autotext"/>
      </w:docPartObj>
    </w:sdtPr>
    <w:sdtContent>
      <w:p w14:paraId="239BE417">
        <w:pPr>
          <w:pStyle w:val="15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>
    <w:pPr>
      <w:pStyle w:val="1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8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pStyle w:val="10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8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  <w:rsid w:val="172F601F"/>
    <w:rsid w:val="4DB403B3"/>
    <w:rsid w:val="75FDBC35"/>
    <w:rsid w:val="FF35E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qFormat="1"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3"/>
    <w:link w:val="31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2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paragraph" w:styleId="6">
    <w:name w:val="heading 4"/>
    <w:basedOn w:val="1"/>
    <w:next w:val="3"/>
    <w:link w:val="33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70" w:beforeLines="70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7">
    <w:name w:val="heading 5"/>
    <w:basedOn w:val="1"/>
    <w:next w:val="3"/>
    <w:link w:val="34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line="360" w:lineRule="auto"/>
      <w:outlineLvl w:val="4"/>
    </w:pPr>
    <w:rPr>
      <w:rFonts w:ascii="Arial" w:hAnsi="Arial" w:eastAsia="黑体"/>
      <w:bCs/>
      <w:sz w:val="24"/>
      <w:szCs w:val="28"/>
    </w:rPr>
  </w:style>
  <w:style w:type="paragraph" w:styleId="8">
    <w:name w:val="heading 6"/>
    <w:basedOn w:val="1"/>
    <w:next w:val="3"/>
    <w:link w:val="35"/>
    <w:unhideWhenUsed/>
    <w:qFormat/>
    <w:uiPriority w:val="9"/>
    <w:pPr>
      <w:keepNext/>
      <w:keepLines/>
      <w:numPr>
        <w:ilvl w:val="5"/>
        <w:numId w:val="1"/>
      </w:numPr>
      <w:adjustRightInd w:val="0"/>
      <w:snapToGrid w:val="0"/>
      <w:spacing w:before="30" w:beforeLines="30" w:line="360" w:lineRule="auto"/>
      <w:outlineLvl w:val="5"/>
    </w:pPr>
    <w:rPr>
      <w:rFonts w:ascii="Arial" w:hAnsi="Arial" w:eastAsia="黑体" w:cstheme="majorBidi"/>
      <w:bCs/>
      <w:sz w:val="24"/>
      <w:szCs w:val="24"/>
    </w:rPr>
  </w:style>
  <w:style w:type="paragraph" w:styleId="9">
    <w:name w:val="heading 7"/>
    <w:basedOn w:val="1"/>
    <w:next w:val="3"/>
    <w:link w:val="36"/>
    <w:unhideWhenUsed/>
    <w:qFormat/>
    <w:uiPriority w:val="9"/>
    <w:pPr>
      <w:keepNext/>
      <w:keepLines/>
      <w:numPr>
        <w:ilvl w:val="6"/>
        <w:numId w:val="1"/>
      </w:numPr>
      <w:adjustRightInd w:val="0"/>
      <w:snapToGrid w:val="0"/>
      <w:spacing w:before="30" w:beforeLines="30" w:line="360" w:lineRule="auto"/>
      <w:outlineLvl w:val="6"/>
    </w:pPr>
    <w:rPr>
      <w:rFonts w:ascii="Arial" w:hAnsi="Arial" w:eastAsia="黑体"/>
      <w:bCs/>
      <w:sz w:val="24"/>
      <w:szCs w:val="24"/>
    </w:rPr>
  </w:style>
  <w:style w:type="paragraph" w:styleId="10">
    <w:name w:val="heading 8"/>
    <w:basedOn w:val="1"/>
    <w:next w:val="3"/>
    <w:link w:val="37"/>
    <w:unhideWhenUsed/>
    <w:qFormat/>
    <w:uiPriority w:val="9"/>
    <w:pPr>
      <w:keepNext/>
      <w:keepLines/>
      <w:numPr>
        <w:ilvl w:val="7"/>
        <w:numId w:val="1"/>
      </w:numPr>
      <w:adjustRightInd w:val="0"/>
      <w:snapToGrid w:val="0"/>
      <w:spacing w:before="30" w:beforeLines="30" w:line="36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1">
    <w:name w:val="heading 9"/>
    <w:basedOn w:val="1"/>
    <w:next w:val="3"/>
    <w:link w:val="38"/>
    <w:unhideWhenUsed/>
    <w:qFormat/>
    <w:uiPriority w:val="9"/>
    <w:pPr>
      <w:keepNext/>
      <w:keepLines/>
      <w:adjustRightInd w:val="0"/>
      <w:snapToGrid w:val="0"/>
      <w:spacing w:before="30" w:beforeLines="30" w:line="360" w:lineRule="auto"/>
      <w:outlineLvl w:val="8"/>
    </w:pPr>
    <w:rPr>
      <w:rFonts w:ascii="Arial" w:hAnsi="Arial" w:eastAsia="黑体" w:cstheme="majorBidi"/>
      <w:sz w:val="24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13">
    <w:name w:val="toc 3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14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8">
    <w:name w:val="index 9"/>
    <w:basedOn w:val="1"/>
    <w:next w:val="1"/>
    <w:autoRedefine/>
    <w:semiHidden/>
    <w:unhideWhenUsed/>
    <w:qFormat/>
    <w:uiPriority w:val="99"/>
    <w:pPr>
      <w:numPr>
        <w:ilvl w:val="8"/>
        <w:numId w:val="1"/>
      </w:numPr>
    </w:p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376092" w:themeColor="accent1" w:themeShade="BF"/>
      <w:kern w:val="0"/>
      <w:sz w:val="32"/>
      <w:szCs w:val="32"/>
    </w:rPr>
  </w:style>
  <w:style w:type="character" w:customStyle="1" w:styleId="28">
    <w:name w:val="页眉 字符"/>
    <w:basedOn w:val="22"/>
    <w:link w:val="16"/>
    <w:qFormat/>
    <w:uiPriority w:val="99"/>
    <w:rPr>
      <w:sz w:val="18"/>
      <w:szCs w:val="18"/>
    </w:rPr>
  </w:style>
  <w:style w:type="character" w:customStyle="1" w:styleId="29">
    <w:name w:val="页脚 字符"/>
    <w:basedOn w:val="22"/>
    <w:link w:val="15"/>
    <w:qFormat/>
    <w:uiPriority w:val="99"/>
    <w:rPr>
      <w:sz w:val="18"/>
      <w:szCs w:val="18"/>
    </w:rPr>
  </w:style>
  <w:style w:type="character" w:customStyle="1" w:styleId="30">
    <w:name w:val="批注框文本 字符"/>
    <w:basedOn w:val="22"/>
    <w:link w:val="14"/>
    <w:semiHidden/>
    <w:qFormat/>
    <w:uiPriority w:val="99"/>
    <w:rPr>
      <w:sz w:val="18"/>
      <w:szCs w:val="18"/>
    </w:rPr>
  </w:style>
  <w:style w:type="character" w:customStyle="1" w:styleId="31">
    <w:name w:val="标题 2 字符"/>
    <w:basedOn w:val="22"/>
    <w:link w:val="4"/>
    <w:qFormat/>
    <w:uiPriority w:val="9"/>
    <w:rPr>
      <w:rFonts w:ascii="Arial" w:hAnsi="Arial" w:eastAsia="黑体" w:cstheme="majorBidi"/>
      <w:bCs/>
      <w:sz w:val="30"/>
      <w:szCs w:val="32"/>
    </w:rPr>
  </w:style>
  <w:style w:type="character" w:customStyle="1" w:styleId="32">
    <w:name w:val="标题 3 字符"/>
    <w:basedOn w:val="22"/>
    <w:link w:val="5"/>
    <w:qFormat/>
    <w:uiPriority w:val="9"/>
    <w:rPr>
      <w:rFonts w:ascii="Arial" w:hAnsi="Arial" w:eastAsia="黑体"/>
      <w:bCs/>
      <w:sz w:val="28"/>
      <w:szCs w:val="32"/>
    </w:rPr>
  </w:style>
  <w:style w:type="character" w:customStyle="1" w:styleId="33">
    <w:name w:val="标题 4 字符"/>
    <w:basedOn w:val="22"/>
    <w:link w:val="6"/>
    <w:qFormat/>
    <w:uiPriority w:val="9"/>
    <w:rPr>
      <w:rFonts w:ascii="Arial" w:hAnsi="Arial" w:eastAsia="黑体" w:cstheme="majorBidi"/>
      <w:bCs/>
      <w:sz w:val="24"/>
      <w:szCs w:val="28"/>
    </w:rPr>
  </w:style>
  <w:style w:type="character" w:customStyle="1" w:styleId="34">
    <w:name w:val="标题 5 字符"/>
    <w:basedOn w:val="22"/>
    <w:link w:val="7"/>
    <w:qFormat/>
    <w:uiPriority w:val="9"/>
    <w:rPr>
      <w:rFonts w:ascii="Arial" w:hAnsi="Arial" w:eastAsia="黑体"/>
      <w:bCs/>
      <w:sz w:val="24"/>
      <w:szCs w:val="28"/>
    </w:rPr>
  </w:style>
  <w:style w:type="character" w:customStyle="1" w:styleId="35">
    <w:name w:val="标题 6 字符"/>
    <w:basedOn w:val="22"/>
    <w:link w:val="8"/>
    <w:qFormat/>
    <w:uiPriority w:val="9"/>
    <w:rPr>
      <w:rFonts w:ascii="Arial" w:hAnsi="Arial" w:eastAsia="黑体" w:cstheme="majorBidi"/>
      <w:bCs/>
      <w:sz w:val="24"/>
      <w:szCs w:val="24"/>
    </w:rPr>
  </w:style>
  <w:style w:type="character" w:customStyle="1" w:styleId="36">
    <w:name w:val="标题 7 字符"/>
    <w:basedOn w:val="22"/>
    <w:link w:val="9"/>
    <w:qFormat/>
    <w:uiPriority w:val="9"/>
    <w:rPr>
      <w:rFonts w:ascii="Arial" w:hAnsi="Arial" w:eastAsia="黑体"/>
      <w:bCs/>
      <w:sz w:val="24"/>
      <w:szCs w:val="24"/>
    </w:rPr>
  </w:style>
  <w:style w:type="character" w:customStyle="1" w:styleId="37">
    <w:name w:val="标题 8 字符"/>
    <w:basedOn w:val="22"/>
    <w:link w:val="10"/>
    <w:qFormat/>
    <w:uiPriority w:val="9"/>
    <w:rPr>
      <w:rFonts w:ascii="Arial" w:hAnsi="Arial" w:eastAsia="黑体" w:cstheme="majorBidi"/>
      <w:sz w:val="24"/>
      <w:szCs w:val="24"/>
    </w:rPr>
  </w:style>
  <w:style w:type="character" w:customStyle="1" w:styleId="38">
    <w:name w:val="标题 9 字符"/>
    <w:basedOn w:val="22"/>
    <w:link w:val="11"/>
    <w:qFormat/>
    <w:uiPriority w:val="9"/>
    <w:rPr>
      <w:rFonts w:ascii="Arial" w:hAnsi="Arial" w:eastAsia="黑体" w:cstheme="majorBidi"/>
      <w:sz w:val="24"/>
      <w:szCs w:val="21"/>
    </w:rPr>
  </w:style>
  <w:style w:type="paragraph" w:customStyle="1" w:styleId="39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40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51824-3BAD-4B45-A9B7-E6CBBF383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1116</Words>
  <Characters>1158</Characters>
  <Lines>17</Lines>
  <Paragraphs>4</Paragraphs>
  <TotalTime>9</TotalTime>
  <ScaleCrop>false</ScaleCrop>
  <LinksUpToDate>false</LinksUpToDate>
  <CharactersWithSpaces>1315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2023-04-08T08:59:00Z</dcterms:created>
  <dc:creator>dengxifeng@pku.edu.cn</dc:creator>
  <cp:lastModifiedBy>XMF</cp:lastModifiedBy>
  <cp:lastPrinted>2019-04-15T14:27:00Z</cp:lastPrinted>
  <dcterms:modified xsi:type="dcterms:W3CDTF">2026-05-10T15:52:00Z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eyJoZGlkIjoiODQzYWM0ZTNhNzk0YmZlNTIzZmRiMDJmNzZmMTZjYTEiLCJ1c2VySWQiOiIzNjY1NTU2MjYifQ==</vt:lpwstr>
  </property>
  <property fmtid="{D5CDD505-2E9C-101B-9397-08002B2CF9AE}" pid="3" name="KSOProductBuildVer">
    <vt:lpwstr>2052-12.1.25867.25867</vt:lpwstr>
  </property>
  <property fmtid="{D5CDD505-2E9C-101B-9397-08002B2CF9AE}" pid="4" name="ICV">
    <vt:lpwstr>A83E530A638E4280B5F3ABE434A6E4EA_13</vt:lpwstr>
  </property>
</Properties>
</file>