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33.png" ContentType="image/png"/>
  <Override PartName="/word/media/rId31.png" ContentType="image/png"/>
  <Override PartName="/word/media/rId65.png" ContentType="image/png"/>
  <Override PartName="/word/media/rId58.png" ContentType="image/png"/>
  <Override PartName="/word/media/rId66.png" ContentType="image/png"/>
  <Override PartName="/word/media/rId27.png" ContentType="image/png"/>
  <Override PartName="/word/media/rId29.png" ContentType="image/png"/>
  <Override PartName="/word/media/rId35.png" ContentType="image/png"/>
  <Override PartName="/word/media/rId47.png" ContentType="image/png"/>
  <Override PartName="/word/media/rId46.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w:t>
      </w:r>
      <w:r>
        <w:rPr>
          <w:vertAlign w:val="superscript"/>
        </w:rPr>
        <w:t xml:space="preserve">a</w:t>
      </w:r>
      <w:r>
        <w:t xml:space="preserve">, Lucy Montgomery</w:t>
      </w:r>
      <w:r>
        <w:rPr>
          <w:vertAlign w:val="superscript"/>
        </w:rPr>
        <w:t xml:space="preserve">a</w:t>
      </w:r>
      <w:r>
        <w:t xml:space="preserve">, Cameron Neylon</w:t>
      </w:r>
      <w:r>
        <w:rPr>
          <w:vertAlign w:val="superscript"/>
        </w:rPr>
        <w:t xml:space="preserve">a</w:t>
      </w:r>
      <w:r>
        <w:t xml:space="preserve">, Chun-Kai (Karl) Huang</w:t>
      </w:r>
      <w:r>
        <w:rPr>
          <w:vertAlign w:val="superscript"/>
        </w:rPr>
        <w:t xml:space="preserve">a</w:t>
      </w:r>
      <w:r>
        <w:t xml:space="preserve">, Ros Pyne</w:t>
      </w:r>
      <w:r>
        <w:rPr>
          <w:vertAlign w:val="superscript"/>
        </w:rPr>
        <w:t xml:space="preserve">b</w:t>
      </w:r>
      <w:r>
        <w:t xml:space="preserve">, Christina Emery</w:t>
      </w:r>
      <w:r>
        <w:rPr>
          <w:vertAlign w:val="superscript"/>
        </w:rPr>
        <w:t xml:space="preserve">b</w:t>
      </w:r>
      <w:r>
        <w:t xml:space="preserve"> </w:t>
      </w:r>
      <w:r>
        <w:t xml:space="preserve">and Mithu Lucraft</w:t>
      </w:r>
      <w:r>
        <w:rPr>
          <w:vertAlign w:val="superscript"/>
        </w:rPr>
        <w:t xml:space="preserve">b</w:t>
      </w:r>
    </w:p>
    <w:p>
      <w:pPr>
        <w:pStyle w:val="BodyText"/>
      </w:pPr>
      <w:r>
        <w:rPr>
          <w:vertAlign w:val="superscript"/>
        </w:rPr>
        <w:t xml:space="preserve">a</w:t>
      </w:r>
      <w:r>
        <w:t xml:space="preserve">Centre for Culture and Technology, School of Media, Creative Arts and Social Inquiry, Curtin University, Bentley 6102, Western Australia</w:t>
      </w:r>
      <w:r>
        <w:t xml:space="preserve"> </w:t>
      </w:r>
      <w:r>
        <w:rPr>
          <w:vertAlign w:val="superscript"/>
        </w:rPr>
        <w:t xml:space="preserve">b</w:t>
      </w:r>
      <w:r>
        <w:t xml:space="preserve">Springer Nature, 4 Crinan Street, London N1 9XW, UK</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rPr>
          <w:vertAlign w:val="superscript"/>
        </w:rPr>
        <w:t xml:space="preserve">1</w:t>
      </w:r>
      <w:r>
        <w:t xml:space="preserve">. Wang et al. (2015) further finds that the increased level of downloads for OA articles is sustained over time. This is found in addition to OA articles attracting more social media attention</w:t>
      </w:r>
      <w:r>
        <w:rPr>
          <w:vertAlign w:val="superscript"/>
        </w:rPr>
        <w:t xml:space="preserve">2</w:t>
      </w:r>
      <w:r>
        <w:t xml:space="preserve">. However, research also found the OA advantage of altmetric activities to have significant differences across disciplines</w:t>
      </w:r>
      <w:r>
        <w:rPr>
          <w:vertAlign w:val="superscript"/>
        </w:rP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rPr>
          <w:vertAlign w:val="superscript"/>
        </w:rP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rPr>
          <w:vertAlign w:val="superscript"/>
        </w:rP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rPr>
          <w:vertAlign w:val="superscript"/>
        </w:rP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rPr>
          <w:vertAlign w:val="superscript"/>
        </w:rP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rPr>
          <w:vertAlign w:val="superscript"/>
        </w:rP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ten times more downloads than non-OA books and more than double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increased usage in that country or</w:t>
      </w:r>
      <w:r>
        <w:t xml:space="preserve"> </w:t>
      </w:r>
      <w:r>
        <w:t xml:space="preserve">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rPr>
          <w:vertAlign w:val="superscript"/>
        </w:rPr>
        <w:t xml:space="preserve">9</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rPr>
          <w:vertAlign w:val="superscript"/>
        </w:rPr>
        <w:t xml:space="preserve">10</w:t>
      </w:r>
      <w:r>
        <w:t xml:space="preserve"> </w:t>
      </w:r>
      <w:r>
        <w:t xml:space="preserve">to determine country locations of anonymous downloads. Web visibility is determined through analysis performed by a webometrics</w:t>
      </w:r>
      <w:r>
        <w:rPr>
          <w:vertAlign w:val="superscript"/>
        </w:rPr>
        <w:t xml:space="preserve">11</w:t>
      </w:r>
      <w:r>
        <w:t xml:space="preserve"> </w:t>
      </w:r>
      <w:r>
        <w:t xml:space="preserve">tool. In particular, we analyse URLs mentioning each book to extract information such as the number of unique domain names</w:t>
      </w:r>
      <w:r>
        <w:rPr>
          <w:vertAlign w:val="superscript"/>
        </w:rP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ten times more downloads than non-OA books (first pair of bars in the top panel). There are also more than double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8" w:name="open-access-books-show-more-usage-over-time"/>
      <w:r>
        <w:t xml:space="preserve">Open access books show more usage over time</w:t>
      </w:r>
      <w:bookmarkEnd w:id="28"/>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9"/>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0" w:name="open-access-books-show-usage-in-a-wider-range-of-countries"/>
      <w:r>
        <w:t xml:space="preserve">Open access books show usage in a wider range of countries</w:t>
      </w:r>
      <w:bookmarkEnd w:id="30"/>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2" w:name="open-access-books-show-increased-usage-for-under-served-populations-and-low-to-middle-income-countries"/>
      <w:r>
        <w:t xml:space="preserve">Open access books show increased usage for under-served populations and low to middle income countries</w:t>
      </w:r>
      <w:bookmarkEnd w:id="32"/>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a wide range of countries that recorded zero usage of the non-OA books in the data set. Of these countries where only OA books recorded usage, over twenty were from Africa. Usage of OA books from countries that do not otherwise purchase Springer Nature non-OA ebook titles totalled 118,247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wide range of countries with zero logged</w:t>
      </w:r>
      <w:r>
        <w:t xml:space="preserve"> </w:t>
      </w:r>
      <w:r>
        <w:t xml:space="preserve">usage show anonymous usage with a total of 118,247 downloads representing 1% of the total anonymous</w:t>
      </w:r>
      <w:r>
        <w:t xml:space="preserve"> </w:t>
      </w:r>
      <w:r>
        <w:t xml:space="preserve">usage. Of those countries, more than twenty were from Africa, with others mostly in the Middle East and southeast</w:t>
      </w:r>
      <w:r>
        <w:t xml:space="preserve"> </w:t>
      </w:r>
      <w:r>
        <w:t xml:space="preserve">Asia. Countries with low GDP and development are significantly represented in this group.</w:t>
      </w:r>
    </w:p>
    <w:p>
      <w:pPr>
        <w:pStyle w:val="Heading3"/>
      </w:pPr>
      <w:bookmarkStart w:id="34" w:name="open-access-books-show-higher-diversity-of-usage"/>
      <w:r>
        <w:t xml:space="preserve">Open access books show higher diversity of usage</w:t>
      </w:r>
      <w:bookmarkEnd w:id="34"/>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5"/>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6" w:name="open-access-books-associated-with-a-larger-title-effect-on-geographic-usage"/>
      <w:r>
        <w:t xml:space="preserve">Open access books associated with a larger title effect on geographic usage</w:t>
      </w:r>
      <w:bookmarkEnd w:id="36"/>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increase in usage overall from those regions featuring in the title. In</w:t>
      </w:r>
      <w:r>
        <w:t xml:space="preserve"> </w:t>
      </w:r>
      <w:r>
        <w:t xml:space="preserve">both cases there is also some evidence of increased usage in some parts of the other region (e.g. increased usage in a</w:t>
      </w:r>
      <w:r>
        <w:t xml:space="preserve"> </w:t>
      </w:r>
      <w:r>
        <w:t xml:space="preserve">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increased Latin America usage in Guyana, Suriname, Venezuela, and Panama. Other</w:t>
      </w:r>
      <w:r>
        <w:t xml:space="preserve"> </w:t>
      </w:r>
      <w:r>
        <w:t xml:space="preserve">countries with increased usage are Laos, the Solomon Islands and Timor Leste.</w:t>
      </w:r>
    </w:p>
    <w:p>
      <w:pPr>
        <w:pStyle w:val="BodyText"/>
      </w:pPr>
      <w:r>
        <w:t xml:space="preserve">The size of this geographic title effect is substantially larger for books that are OA. OA books about Africa are</w:t>
      </w:r>
      <w:r>
        <w:t xml:space="preserve"> </w:t>
      </w:r>
      <w:r>
        <w:t xml:space="preserve">widely read beyond Africa as well as in Africa. There is a very large increase in usage compared to the whole sample</w:t>
      </w:r>
      <w:r>
        <w:t xml:space="preserve"> </w:t>
      </w:r>
      <w:r>
        <w:t xml:space="preserve">across the African continent. By contrast, non-OA books with</w:t>
      </w:r>
      <w:r>
        <w:t xml:space="preserve"> </w:t>
      </w:r>
      <w:r>
        <w:t xml:space="preserve">“</w:t>
      </w:r>
      <w:r>
        <w:t xml:space="preserve">Africa</w:t>
      </w:r>
      <w:r>
        <w:t xml:space="preserve">”</w:t>
      </w:r>
      <w:r>
        <w:t xml:space="preserve"> </w:t>
      </w:r>
      <w:r>
        <w:t xml:space="preserve">in the title show a usage increase only in South</w:t>
      </w:r>
      <w:r>
        <w:t xml:space="preserve"> </w:t>
      </w:r>
      <w:r>
        <w:t xml:space="preserve">Africa, Uganda, Ethiopia and Sudan. Not only is OA associated with increased usage in countries under-represented in</w:t>
      </w:r>
      <w:r>
        <w:t xml:space="preserve"> </w:t>
      </w:r>
      <w:r>
        <w:t xml:space="preserve">global scholarship, it also associated with increased global usage of scholarship about under-represented</w:t>
      </w:r>
      <w:r>
        <w:t xml:space="preserve"> </w:t>
      </w:r>
      <w:r>
        <w:t xml:space="preserve">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w:t>
      </w:r>
      <w:r>
        <w:t xml:space="preserve"> </w:t>
      </w:r>
      <w:r>
        <w:t xml:space="preserve">Africa. Usage in Latin America is substantially greater for all books with ‘Latin America” (including variations and</w:t>
      </w:r>
      <w:r>
        <w:t xml:space="preserve"> </w:t>
      </w:r>
      <w:r>
        <w:t xml:space="preserve">possessives such as</w:t>
      </w:r>
      <w:r>
        <w:t xml:space="preserve"> </w:t>
      </w:r>
      <w:r>
        <w:t xml:space="preserve">“</w:t>
      </w:r>
      <w:r>
        <w:t xml:space="preserve">Latin American</w:t>
      </w:r>
      <w:r>
        <w:t xml:space="preserve">”</w:t>
      </w:r>
      <w:r>
        <w:t xml:space="preserve">) in the title. The size of this increase is</w:t>
      </w:r>
      <w:r>
        <w:t xml:space="preserve"> </w:t>
      </w:r>
      <w:r>
        <w:t xml:space="preserve">substantially larger for OA books. In addition, there is broader usage internationally for the OA books.</w:t>
      </w:r>
      <w:r>
        <w:t xml:space="preserve"> </w:t>
      </w:r>
      <w:r>
        <w:t xml:space="preserve">The overall effect is larger for books with</w:t>
      </w:r>
      <w:r>
        <w:t xml:space="preserve"> </w:t>
      </w:r>
      <w:r>
        <w:t xml:space="preserve">“</w:t>
      </w:r>
      <w:r>
        <w:t xml:space="preserve">Latin America</w:t>
      </w:r>
      <w:r>
        <w:t xml:space="preserve">”</w:t>
      </w:r>
      <w:r>
        <w:t xml:space="preserve"> </w:t>
      </w:r>
      <w:r>
        <w:t xml:space="preserve">(maximum of 100 times more usage) than it is for</w:t>
      </w:r>
      <w:r>
        <w:t xml:space="preserve"> </w:t>
      </w:r>
      <w:r>
        <w:t xml:space="preserve">“</w:t>
      </w:r>
      <w:r>
        <w:t xml:space="preserve">Africa</w:t>
      </w:r>
      <w:r>
        <w:t xml:space="preserve">”</w:t>
      </w:r>
      <w:r>
        <w:t xml:space="preserve"> </w:t>
      </w:r>
      <w:r>
        <w:t xml:space="preserve">(maximum increase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increase concentrated in Africa.</w:t>
      </w:r>
    </w:p>
    <w:p>
      <w:pPr>
        <w:pStyle w:val="Heading3"/>
      </w:pPr>
      <w:bookmarkStart w:id="38" w:name="anonymous-usage-versus-logged-usage"/>
      <w:r>
        <w:t xml:space="preserve">Anonymous usage versus logged usage</w:t>
      </w:r>
      <w:bookmarkEnd w:id="38"/>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Heading3"/>
      </w:pPr>
      <w:bookmarkStart w:id="39" w:name="web-visibility-across-top-level-domains-tlds"/>
      <w:r>
        <w:t xml:space="preserve">Web visibility across top level domains (TLDs)</w:t>
      </w:r>
      <w:bookmarkEnd w:id="39"/>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rPr>
          <w:vertAlign w:val="superscript"/>
        </w:rPr>
        <w:t xml:space="preserve">13</w:t>
      </w:r>
      <w:r>
        <w:t xml:space="preserve"> </w:t>
      </w:r>
      <w:r>
        <w:t xml:space="preserve">(TLDs) dominating (see Table S1 in the Appendix). The top ten TLDs constitute 80% of all web pages identified for the whole corpus of books. Overall, the difference between the number of websites and the range of TLDs between the OA and non-OA books shows a 39% increase in unique domains referencing the OA books versus non-OA titles (with the increases for each of the top ten TLDs displayed in Figure S4). This is a relatively small increase compared to the ten-fold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0" w:name="limitations-and-further-work"/>
      <w:r>
        <w:t xml:space="preserve">Limitations and further work</w:t>
      </w:r>
      <w:bookmarkEnd w:id="40"/>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is associated with increased usage in countries which suffer exclusion from scholarly</w:t>
      </w:r>
      <w:r>
        <w:t xml:space="preserve"> </w:t>
      </w:r>
      <w:r>
        <w:t xml:space="preserve">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1" w:name="data-accessibility-statement"/>
      <w:r>
        <w:t xml:space="preserve">Data accessibility statement</w:t>
      </w:r>
      <w:bookmarkEnd w:id="41"/>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2" w:name="acknowledgements"/>
      <w:r>
        <w:t xml:space="preserve">Acknowledgements</w:t>
      </w:r>
      <w:bookmarkEnd w:id="42"/>
    </w:p>
    <w:p>
      <w:pPr>
        <w:pStyle w:val="FirstParagraph"/>
      </w:pPr>
      <w:r>
        <w:t xml:space="preserve">Springer Nature provided funding to COARD to conduct this research and also provided the data.</w:t>
      </w:r>
    </w:p>
    <w:p>
      <w:pPr>
        <w:pStyle w:val="Heading2"/>
      </w:pPr>
      <w:bookmarkStart w:id="43" w:name="competing-interests"/>
      <w:r>
        <w:t xml:space="preserve">Competing interests</w:t>
      </w:r>
      <w:bookmarkEnd w:id="43"/>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4" w:name="appendix"/>
      <w:r>
        <w:t xml:space="preserve">Appendix</w:t>
      </w:r>
      <w:bookmarkEnd w:id="44"/>
    </w:p>
    <w:p>
      <w:pPr>
        <w:pStyle w:val="Heading2"/>
      </w:pPr>
      <w:bookmarkStart w:id="45" w:name="supplementary-figures"/>
      <w:r>
        <w:t xml:space="preserve">Supplementary Figures</w:t>
      </w:r>
      <w:bookmarkEnd w:id="45"/>
    </w:p>
    <w:p>
      <w:pPr>
        <w:pStyle w:val="FirstParagraph"/>
      </w:pPr>
      <w:r>
        <w:drawing>
          <wp:inline>
            <wp:extent cx="5334000" cy="5334000"/>
            <wp:effectExtent b="0" l="0" r="0" t="0"/>
            <wp:docPr descr="" title="" id="1" name="Picture"/>
            <a:graphic>
              <a:graphicData uri="http://schemas.openxmlformats.org/drawingml/2006/picture">
                <pic:pic>
                  <pic:nvPicPr>
                    <pic:cNvPr descr="norm_downloads.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increases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p>
    <w:p>
      <w:pPr>
        <w:pStyle w:val="Compact"/>
        <w:numPr>
          <w:numId w:val="1004"/>
          <w:ilvl w:val="0"/>
        </w:numPr>
      </w:pP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p>
    <w:p>
      <w:pPr>
        <w:pStyle w:val="Compact"/>
        <w:numPr>
          <w:numId w:val="1004"/>
          <w:ilvl w:val="0"/>
        </w:numPr>
      </w:pP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p>
    <w:p>
      <w:pPr>
        <w:pStyle w:val="Compact"/>
        <w:numPr>
          <w:numId w:val="1004"/>
          <w:ilvl w:val="0"/>
        </w:numPr>
      </w:pP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rPr>
          <w:vertAlign w:val="superscript"/>
        </w:rP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5"/>
          <w:ilvl w:val="0"/>
        </w:numPr>
      </w:pPr>
      <w:r>
        <w:t xml:space="preserve">ISBN of the accessed book</w:t>
      </w:r>
    </w:p>
    <w:p>
      <w:pPr>
        <w:pStyle w:val="Compact"/>
        <w:numPr>
          <w:numId w:val="1005"/>
          <w:ilvl w:val="0"/>
        </w:numPr>
      </w:pPr>
      <w:r>
        <w:t xml:space="preserve">Month of download</w:t>
      </w:r>
    </w:p>
    <w:p>
      <w:pPr>
        <w:pStyle w:val="Compact"/>
        <w:numPr>
          <w:numId w:val="1005"/>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the approach of</w:t>
      </w:r>
      <w:r>
        <w:t xml:space="preserve"> </w:t>
      </w:r>
      <w:r>
        <w:t xml:space="preserve">https://zhiyzuo.github.io/Plot-Lorenz/.</w:t>
      </w:r>
    </w:p>
    <w:p>
      <w:pPr>
        <w:pStyle w:val="BodyText"/>
      </w:pPr>
      <w:r>
        <w:t xml:space="preserve">Length of a book can be a potential factor for its level of usage and is a particular issue in this case due to the way in which full book downloads are transformed into the chapter downloads that we analyse. We therefore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the difference in usage between OA and non-OA books is robust to this effect. In particular there is a constant increase in usage across the length range for OA over non-OA books.</w:t>
      </w:r>
    </w:p>
    <w:p>
      <w:pPr>
        <w:pStyle w:val="BodyText"/>
      </w:pPr>
      <w:r>
        <w:drawing>
          <wp:inline>
            <wp:extent cx="515389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15389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15389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15389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is available at Zenodo</w:t>
      </w:r>
      <w:r>
        <w:rPr>
          <w:vertAlign w:val="superscript"/>
        </w:rPr>
        <w:t xml:space="preserve">15</w:t>
      </w:r>
      <w:r>
        <w:t xml:space="preserve"> </w:t>
      </w:r>
      <w:r>
        <w:t xml:space="preserve">and includes a description of all relevant data. Raw data and usage data is proprietary to Springer Nature and is not provided in full. Cryptographic hashes of both raw and processed data are provided to support future provenance. Full code for generating graphs and tables is provided at Zenodo</w:t>
      </w:r>
      <w:r>
        <w:rPr>
          <w:vertAlign w:val="superscript"/>
        </w:rPr>
        <w:t xml:space="preserve">16</w:t>
      </w:r>
      <w:r>
        <w:t xml:space="preserve"> </w:t>
      </w:r>
      <w:r>
        <w:t xml:space="preserve">and on Github at [https://github.com/Curtin-Open-Knowledge-Initiative/oa-book-geography]. One map in the Case Study is not generated by this code and is provided as an image instead.</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w:t>
      </w:r>
      <w:r>
        <w:t xml:space="preserve"> </w:t>
      </w:r>
      <w:r>
        <w:t xml:space="preserve">increased usage in Kenya. In the context of African usage, Kenya is a significant user of both closed and Open Access</w:t>
      </w:r>
      <w:r>
        <w:t xml:space="preserve"> </w:t>
      </w:r>
      <w:r>
        <w:t xml:space="preserve">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greater proportional usage with Nigeria, Ghana and South Africa showing the</w:t>
      </w:r>
      <w:r>
        <w:t xml:space="preserve"> </w:t>
      </w:r>
      <w:r>
        <w:t xml:space="preserve">strongest effects. There is also evidence of a greater proportion of overall usage from Indonesia and India,</w:t>
      </w:r>
      <w:r>
        <w:t xml:space="preserve"> </w:t>
      </w:r>
      <w:r>
        <w:t xml:space="preserve">potentially relating to the wider relevance of the issues discussed beyond Kenya and neighbouring countries.</w:t>
      </w:r>
      <w:r>
        <w:t xml:space="preserve"> </w:t>
      </w:r>
      <w:r>
        <w:t xml:space="preserve">Interestingly the effect for Indonesia seems to be stronger for logged usage, which may be a suggestion of Open</w:t>
      </w:r>
      <w:r>
        <w:t xml:space="preserve"> </w:t>
      </w:r>
      <w:r>
        <w:t xml:space="preserve">Access driving enhanced usage, even for those books where specific audiences might have access. Further analysis</w:t>
      </w:r>
      <w:r>
        <w:t xml:space="preserve"> </w:t>
      </w:r>
      <w:r>
        <w:t xml:space="preserve">might address the question of whether specific areas showing increased usage would be likely to have had access if the</w:t>
      </w:r>
      <w:r>
        <w:t xml:space="preserve"> </w:t>
      </w:r>
      <w:r>
        <w:t xml:space="preserve">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r>
        <w:t xml:space="preserve"> </w:t>
      </w:r>
      <w:r>
        <w:drawing>
          <wp:inline>
            <wp:extent cx="5334000" cy="4227195"/>
            <wp:effectExtent b="0" l="0" r="0" t="0"/>
            <wp:docPr descr="" title="" id="1" name="Picture"/>
            <a:graphic>
              <a:graphicData uri="http://schemas.openxmlformats.org/drawingml/2006/picture">
                <pic:pic>
                  <pic:nvPicPr>
                    <pic:cNvPr descr="city-Digital_Kenya_v2.png" id="0" name="Picture"/>
                    <pic:cNvPicPr>
                      <a:picLocks noChangeArrowheads="1" noChangeAspect="1"/>
                    </pic:cNvPicPr>
                  </pic:nvPicPr>
                  <pic:blipFill>
                    <a:blip r:embed="rId66"/>
                    <a:stretch>
                      <a:fillRect/>
                    </a:stretch>
                  </pic:blipFill>
                  <pic:spPr bwMode="auto">
                    <a:xfrm>
                      <a:off x="0" y="0"/>
                      <a:ext cx="5334000" cy="4227195"/>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7" w:name="notes"/>
      <w:r>
        <w:t xml:space="preserve">Notes</w:t>
      </w:r>
      <w:bookmarkEnd w:id="67"/>
    </w:p>
    <w:p>
      <w:pPr>
        <w:pStyle w:val="Compact"/>
        <w:numPr>
          <w:numId w:val="1006"/>
          <w:ilvl w:val="0"/>
        </w:numPr>
      </w:pPr>
      <w:r>
        <w:t xml:space="preserve">Davies, P. M., Simon, D. H., &amp; Connolly, M. J. L. (2008). Open access publishing, article downloads, and citations: randomised controlled trial. BMJ, 337, a568. https://doi.org/10.1136/bmj.a568</w:t>
      </w:r>
    </w:p>
    <w:p>
      <w:pPr>
        <w:pStyle w:val="Compact"/>
        <w:numPr>
          <w:numId w:val="1006"/>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6"/>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6"/>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6"/>
          <w:ilvl w:val="0"/>
        </w:numPr>
      </w:pPr>
      <w:r>
        <w:t xml:space="preserve">Ozaygen, A. (2019). Analysing the usage data of open access scholarly books: What can data tell us? PhD thesis, Curtin University. http://hdl.handle.net/20.500.11937/79585</w:t>
      </w:r>
    </w:p>
    <w:p>
      <w:pPr>
        <w:pStyle w:val="Compact"/>
        <w:numPr>
          <w:numId w:val="1006"/>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6"/>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6"/>
          <w:ilvl w:val="0"/>
        </w:numPr>
      </w:pPr>
      <w:r>
        <w:t xml:space="preserve">https://www.springernature.com/gp/open-research/journals-books/books/the-oa-effect</w:t>
      </w:r>
    </w:p>
    <w:p>
      <w:pPr>
        <w:pStyle w:val="Compact"/>
        <w:numPr>
          <w:numId w:val="1006"/>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6"/>
          <w:ilvl w:val="0"/>
        </w:numPr>
      </w:pPr>
      <w:r>
        <w:t xml:space="preserve">The IP2Location lite DB9 was used for this study. https://lite.ip2location.com/database/ip-country-region-city-latitude-longitude-zipcode</w:t>
      </w:r>
    </w:p>
    <w:p>
      <w:pPr>
        <w:pStyle w:val="Compact"/>
        <w:numPr>
          <w:numId w:val="1006"/>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6"/>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6"/>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6"/>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p>
      <w:pPr>
        <w:pStyle w:val="Compact"/>
        <w:numPr>
          <w:numId w:val="1006"/>
          <w:ilvl w:val="0"/>
        </w:numPr>
      </w:pPr>
      <w:r>
        <w:t xml:space="preserve">Ozaygen, A., Montgomery, L., Neylon, C. (2020) Data for: More Readers in More Places: The benefits of open access for scholarly books. Zenodo, https://doi.org/10.5281/zenodo.4018842</w:t>
      </w:r>
    </w:p>
    <w:p>
      <w:pPr>
        <w:pStyle w:val="Compact"/>
        <w:numPr>
          <w:numId w:val="1006"/>
          <w:ilvl w:val="0"/>
        </w:numPr>
      </w:pPr>
      <w:r>
        <w:t xml:space="preserve">Ozyagen, A., Neylon, C., Huang, C.K. (2020) Code for: More Readers in More Places: The benefits of open access for scholarly books. Zenodo, https://doi.org/10.5281/zenodo.4019215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2021-06-07T08:42:00Z</dcterms:created>
  <dcterms:modified xsi:type="dcterms:W3CDTF">2021-06-07T08:42:00Z</dcterms:modified>
</cp:coreProperties>
</file>