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mbria" w:cs="Cambria" w:eastAsia="Cambria" w:hAnsi="Cambria"/>
          <w:b/>
          <w:bCs/>
          <w:color w:val="B85042"/>
          <w:sz w:val="56"/>
          <w:szCs w:val="56"/>
        </w:rPr>
        <w:t xml:space="preserve">AKELI</w:t>
      </w:r>
    </w:p>
    <w:p>
      <w:pPr>
        <w:spacing w:before="0" w:after="40"/>
      </w:pPr>
      <w:r>
        <w:rPr>
          <w:rFonts w:ascii="Calibri" w:cs="Calibri" w:eastAsia="Calibri" w:hAnsi="Calibri"/>
          <w:i/>
          <w:iCs/>
          <w:color w:val="7A7A6E"/>
          <w:sz w:val="20"/>
          <w:szCs w:val="20"/>
        </w:rPr>
        <w:t xml:space="preserve">AKELI_ETRE_COLLECTIF_PRINCIPES.md</w:t>
      </w:r>
    </w:p>
    <w:p>
      <w:pPr>
        <w:spacing w:before="0" w:after="40"/>
      </w:pPr>
      <w:r>
        <w:rPr>
          <w:rFonts w:ascii="Calibri" w:cs="Calibri" w:eastAsia="Calibri" w:hAnsi="Calibri"/>
          <w:color w:val="7A7A6E"/>
          <w:sz w:val="20"/>
          <w:szCs w:val="20"/>
        </w:rPr>
        <w:t xml:space="preserve">Document de référence — L'être collectif : principes fondateurs de la voix et de l'identité</w:t>
      </w:r>
    </w:p>
    <w:p>
      <w:pPr>
        <w:spacing w:before="0" w:after="40"/>
      </w:pPr>
      <w:r>
        <w:rPr>
          <w:rFonts w:ascii="Calibri" w:cs="Calibri" w:eastAsia="Calibri" w:hAnsi="Calibri"/>
          <w:color w:val="7A7A6E"/>
          <w:sz w:val="20"/>
          <w:szCs w:val="20"/>
        </w:rPr>
        <w:t xml:space="preserve">Auteur : Curtis — Fondateur Akeli  ·  Mars 2026</w:t>
      </w:r>
    </w:p>
    <w:p>
      <w:pPr>
        <w:spacing w:before="0" w:after="200"/>
      </w:pPr>
      <w:r>
        <w:rPr>
          <w:rFonts w:ascii="Calibri" w:cs="Calibri" w:eastAsia="Calibri" w:hAnsi="Calibri"/>
          <w:i/>
          <w:iCs/>
          <w:color w:val="7A7A6E"/>
          <w:sz w:val="20"/>
          <w:szCs w:val="20"/>
        </w:rPr>
        <w:t xml:space="preserve">Statut : Document vivant — hors numérotation REF</w:t>
      </w:r>
    </w:p>
    <w:p>
      <w:pPr>
        <w:pBdr>
          <w:bottom w:val="single" w:color="B85042" w:sz="4" w:space="1"/>
        </w:pBdr>
        <w:spacing w:before="80" w:after="80"/>
      </w:pPr>
    </w:p>
    <w:p>
      <w:pPr>
        <w:spacing w:before="200" w:after="120"/>
        <w:jc w:val="left"/>
      </w:pPr>
      <w:r>
        <w:rPr>
          <w:rFonts w:ascii="Calibri" w:cs="Calibri" w:eastAsia="Calibri" w:hAnsi="Calibri"/>
          <w:b w:val="false"/>
          <w:bCs w:val="false"/>
          <w:i w:val="false"/>
          <w:iCs w:val="false"/>
          <w:color w:val="1A1A1A"/>
          <w:sz w:val="22"/>
          <w:szCs w:val="22"/>
        </w:rPr>
        <w:t xml:space="preserve">Ce document fixe les principes fondateurs de l'identité et de la voix d'Akeli en tant qu'être collectif. Il est né de sessions de travail sur la communication créateur et le format live. Il complète le MASTER_INDEX et AKELI_LIVE_PROTOCOLE sans les remplacer.</w:t>
      </w:r>
    </w:p>
    <w:p>
      <w:pPr>
        <w:spacing w:before="0" w:after="200"/>
        <w:jc w:val="left"/>
      </w:pPr>
      <w:r>
        <w:rPr>
          <w:rFonts w:ascii="Calibri" w:cs="Calibri" w:eastAsia="Calibri" w:hAnsi="Calibri"/>
          <w:b w:val="false"/>
          <w:bCs w:val="false"/>
          <w:i w:val="false"/>
          <w:iCs w:val="false"/>
          <w:color w:val="1A1A1A"/>
          <w:sz w:val="22"/>
          <w:szCs w:val="22"/>
        </w:rPr>
        <w:t xml:space="preserve">Ces quatre principes sont transversaux — ils s'appliquent à tout contenu Akeli, quel que soit le format, le canal, ou le membre ciblé.</w:t>
      </w:r>
    </w:p>
    <w:p>
      <w:pPr>
        <w:pBdr>
          <w:bottom w:val="single" w:color="B85042" w:sz="4" w:space="1"/>
        </w:pBdr>
        <w:spacing w:before="80" w:after="80"/>
      </w:pPr>
    </w:p>
    <w:p>
      <w:pPr>
        <w:pStyle w:val="Heading1"/>
        <w:spacing w:before="400" w:after="160"/>
      </w:pPr>
      <w:r>
        <w:rPr>
          <w:rFonts w:ascii="Cambria" w:cs="Cambria" w:eastAsia="Cambria" w:hAnsi="Cambria"/>
          <w:b/>
          <w:bCs/>
          <w:color w:val="1A1A1A"/>
          <w:sz w:val="36"/>
          <w:szCs w:val="36"/>
        </w:rPr>
        <w:t xml:space="preserve">1. Le "nous" — règle du pronom</w:t>
      </w:r>
    </w:p>
    <w:p>
      <w:pPr>
        <w:spacing w:before="120" w:after="100"/>
        <w:jc w:val="left"/>
      </w:pPr>
      <w:r>
        <w:rPr>
          <w:rFonts w:ascii="Calibri" w:cs="Calibri" w:eastAsia="Calibri" w:hAnsi="Calibri"/>
          <w:b/>
          <w:bCs/>
          <w:i w:val="false"/>
          <w:iCs w:val="false"/>
          <w:color w:val="1A1A1A"/>
          <w:sz w:val="22"/>
          <w:szCs w:val="22"/>
        </w:rPr>
        <w:t xml:space="preserve">Akeli parle toujours à la première personne du pluriel. Pas pour être inclusif — parce que c'est la vérité.</w:t>
      </w:r>
    </w:p>
    <w:p>
      <w:pPr>
        <w:spacing w:before="0" w:after="120"/>
        <w:jc w:val="left"/>
      </w:pPr>
      <w:r>
        <w:rPr>
          <w:rFonts w:ascii="Calibri" w:cs="Calibri" w:eastAsia="Calibri" w:hAnsi="Calibri"/>
          <w:b w:val="false"/>
          <w:bCs w:val="false"/>
          <w:i w:val="false"/>
          <w:iCs w:val="false"/>
          <w:color w:val="1A1A1A"/>
          <w:sz w:val="22"/>
          <w:szCs w:val="22"/>
        </w:rPr>
        <w:t xml:space="preserve">Ceux qui reconnaissent la réalité qu'on pose sont déjà dans l'être collectif. La reconnaissance est l'acte d'entrée. L'appartenance précède la déclaration d'appartenance.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0D8CC" w:sz="1"/>
              <w:left w:val="thick" w:color="B85042" w:sz="16"/>
              <w:bottom w:val="single" w:color="E0D8CC" w:sz="1"/>
              <w:right w:val="single" w:color="E0D8CC" w:sz="1"/>
            </w:tcBorders>
            <w:shd w:fill="FDF8F4" w:val="clear"/>
          </w:tcPr>
          <w:p>
            <w:pPr>
              <w:spacing w:before="60" w:after="60"/>
            </w:pPr>
            <w:r>
              <w:rPr>
                <w:rFonts w:ascii="Cambria" w:cs="Cambria" w:eastAsia="Cambria" w:hAnsi="Cambria"/>
                <w:b/>
                <w:bCs/>
                <w:i/>
                <w:iCs/>
                <w:color w:val="B85042"/>
                <w:sz w:val="22"/>
                <w:szCs w:val="22"/>
              </w:rPr>
              <w:t xml:space="preserve">"Nous mangeons une cuisine que les outils de nutrition ignorent."</w:t>
            </w:r>
          </w:p>
          <w:p>
            <w:pPr>
              <w:spacing w:before="60" w:after="60"/>
            </w:pPr>
            <w:r>
              <w:rPr>
                <w:rFonts w:ascii="Cambria" w:cs="Cambria" w:eastAsia="Cambria" w:hAnsi="Cambria"/>
                <w:b w:val="false"/>
                <w:bCs w:val="false"/>
                <w:i/>
                <w:iCs/>
                <w:color w:val="B85042"/>
                <w:sz w:val="22"/>
                <w:szCs w:val="22"/>
              </w:rPr>
              <w:t xml:space="preserve">Pas : "Il y a des millions de personnes qui mangent une cuisine que les outils ignorent."</w:t>
            </w:r>
          </w:p>
          <w:p>
            <w:pPr>
              <w:spacing w:before="60" w:after="60"/>
            </w:pPr>
            <w:r>
              <w:rPr>
                <w:rFonts w:ascii="Cambria" w:cs="Cambria" w:eastAsia="Cambria" w:hAnsi="Cambria"/>
                <w:b w:val="false"/>
                <w:bCs w:val="false"/>
                <w:i/>
                <w:iCs/>
                <w:color w:val="B85042"/>
                <w:sz w:val="22"/>
                <w:szCs w:val="22"/>
              </w:rPr>
              <w:t xml:space="preserve"/>
            </w:r>
          </w:p>
          <w:p>
            <w:pPr>
              <w:spacing w:before="60" w:after="60"/>
            </w:pPr>
            <w:r>
              <w:rPr>
                <w:rFonts w:ascii="Cambria" w:cs="Cambria" w:eastAsia="Cambria" w:hAnsi="Cambria"/>
                <w:b w:val="false"/>
                <w:bCs w:val="false"/>
                <w:i/>
                <w:iCs/>
                <w:color w:val="B85042"/>
                <w:sz w:val="22"/>
                <w:szCs w:val="22"/>
              </w:rPr>
              <w:t xml:space="preserve">Le "il y a" met de la distance. Le "nous" dit la vérité.</w:t>
            </w:r>
          </w:p>
        </w:tc>
      </w:tr>
    </w:tbl>
    <w:p>
      <w:pPr>
        <w:spacing w:before="120" w:after="0"/>
      </w:pPr>
    </w:p>
    <w:p>
      <w:pPr>
        <w:spacing w:before="200" w:after="60"/>
      </w:pPr>
      <w:r>
        <w:rPr>
          <w:rFonts w:ascii="Calibri" w:cs="Calibri" w:eastAsia="Calibri" w:hAnsi="Calibri"/>
          <w:b/>
          <w:bCs/>
          <w:color w:val="B85042"/>
          <w:spacing w:val="80"/>
          <w:sz w:val="18"/>
          <w:szCs w:val="18"/>
        </w:rPr>
        <w:t xml:space="preserve">CE QUE CETTE RÈGLE IMPLIQUE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On ne présente pas Akeli à la troisième personne dans le contenu public.</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On ne dit jamais "Akeli pense que" ou "notre vision est". On dit : nous.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Celui qui lit ou écoute est déjà dedans — ou il ne l'est pas. C'est lui qui tranche.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La différenciation n'est pas notre travail. Elle est le travail de la réalité.</w:t>
      </w:r>
    </w:p>
    <w:p>
      <w:pPr>
        <w:spacing w:before="100" w:after="0"/>
      </w:pPr>
    </w:p>
    <w:p>
      <w:pPr>
        <w:spacing w:before="200" w:after="60"/>
      </w:pPr>
      <w:r>
        <w:rPr>
          <w:rFonts w:ascii="Calibri" w:cs="Calibri" w:eastAsia="Calibri" w:hAnsi="Calibri"/>
          <w:b/>
          <w:bCs/>
          <w:color w:val="B85042"/>
          <w:spacing w:val="80"/>
          <w:sz w:val="18"/>
          <w:szCs w:val="18"/>
        </w:rPr>
        <w:t xml:space="preserve">CE QUE CETTE RÈGLE NE CHANGE PAS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Les niches spécifiques restent à la troisième personne — on observe, on ne s'approprie pas.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Le "nous" universel du MASTER_INDEX reste valide pour le biologique et l'historique commun.</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La séquence Fait → Lien → Reliance reste inchangée.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0D8CC" w:sz="1"/>
              <w:left w:val="thick" w:color="A7BEAE" w:sz="12"/>
              <w:bottom w:val="single" w:color="E0D8CC" w:sz="1"/>
              <w:right w:val="single" w:color="E0D8CC" w:sz="1"/>
            </w:tcBorders>
            <w:shd w:fill="F0F5F2" w:val="clear"/>
          </w:tcPr>
          <w:p>
            <w:pPr>
              <w:spacing w:before="40" w:after="40"/>
            </w:pPr>
            <w:r>
              <w:rPr>
                <w:rFonts w:ascii="Calibri" w:cs="Calibri" w:eastAsia="Calibri" w:hAnsi="Calibri"/>
                <w:i/>
                <w:iCs/>
                <w:color w:val="1A1A1A"/>
                <w:sz w:val="20"/>
                <w:szCs w:val="20"/>
              </w:rPr>
              <w:t xml:space="preserve">Le "nous" ne s'explique pas. Il s'utilise.</w:t>
            </w:r>
          </w:p>
          <w:p>
            <w:pPr>
              <w:spacing w:before="40" w:after="40"/>
            </w:pPr>
            <w:r>
              <w:rPr>
                <w:rFonts w:ascii="Calibri" w:cs="Calibri" w:eastAsia="Calibri" w:hAnsi="Calibri"/>
                <w:i/>
                <w:iCs/>
                <w:color w:val="1A1A1A"/>
                <w:sz w:val="20"/>
                <w:szCs w:val="20"/>
              </w:rPr>
              <w:t xml:space="preserve">Quand on le pose, ceux qui vivent la même réalité le reconnaissent immédiatement.</w:t>
            </w:r>
          </w:p>
          <w:p>
            <w:pPr>
              <w:spacing w:before="40" w:after="40"/>
            </w:pPr>
            <w:r>
              <w:rPr>
                <w:rFonts w:ascii="Calibri" w:cs="Calibri" w:eastAsia="Calibri" w:hAnsi="Calibri"/>
                <w:i/>
                <w:iCs/>
                <w:color w:val="1A1A1A"/>
                <w:sz w:val="20"/>
                <w:szCs w:val="20"/>
              </w:rPr>
              <w:t xml:space="preserve">Ceux qui ne le reconnaissent pas ne sont pas notre public — et c'est une information utile.</w:t>
            </w:r>
          </w:p>
        </w:tc>
      </w:tr>
    </w:tbl>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2. L'identité est la somme de ceux qui la composent</w:t>
      </w:r>
    </w:p>
    <w:p>
      <w:pPr>
        <w:spacing w:before="120" w:after="100"/>
        <w:jc w:val="left"/>
      </w:pPr>
      <w:r>
        <w:rPr>
          <w:rFonts w:ascii="Calibri" w:cs="Calibri" w:eastAsia="Calibri" w:hAnsi="Calibri"/>
          <w:b/>
          <w:bCs/>
          <w:i w:val="false"/>
          <w:iCs w:val="false"/>
          <w:color w:val="1A1A1A"/>
          <w:sz w:val="22"/>
          <w:szCs w:val="22"/>
        </w:rPr>
        <w:t xml:space="preserve">Akeli n'a pas une identité fixe qu'on communique. Akeli a une identité qui se construit et se révèle à travers chacun de ceux qui la composent.</w:t>
      </w:r>
    </w:p>
    <w:p>
      <w:pPr>
        <w:spacing w:before="0" w:after="120"/>
        <w:jc w:val="left"/>
      </w:pPr>
      <w:r>
        <w:rPr>
          <w:rFonts w:ascii="Calibri" w:cs="Calibri" w:eastAsia="Calibri" w:hAnsi="Calibri"/>
          <w:b w:val="false"/>
          <w:bCs w:val="false"/>
          <w:i w:val="false"/>
          <w:iCs w:val="false"/>
          <w:color w:val="1A1A1A"/>
          <w:sz w:val="22"/>
          <w:szCs w:val="22"/>
        </w:rPr>
        <w:t xml:space="preserve">La soignante camerounaise qui cuisine pour des soignantes — c'est Akeli. L'étudiant qui mange africain avec 50 euros par mois — c'est Akeli. Le créateur qui invente une recette qui n'existait pas encore — c'est Akeli. Chacun se voit dedans parce que chacun y est vraiment.</w:t>
      </w:r>
    </w:p>
    <w:p>
      <w:pPr>
        <w:spacing w:before="0" w:after="160"/>
        <w:jc w:val="left"/>
      </w:pPr>
      <w:r>
        <w:rPr>
          <w:rFonts w:ascii="Calibri" w:cs="Calibri" w:eastAsia="Calibri" w:hAnsi="Calibri"/>
          <w:b w:val="false"/>
          <w:bCs w:val="false"/>
          <w:i w:val="false"/>
          <w:iCs w:val="false"/>
          <w:color w:val="1A1A1A"/>
          <w:sz w:val="22"/>
          <w:szCs w:val="22"/>
        </w:rPr>
        <w:t xml:space="preserve">"Voir l'autre" — c'est ce qui fait que ce n'est pas du narcissisme collectif. Je me reconnais, et en me reconnaissant je vois quelqu'un d'autre qui vit quelque chose de proche. La diversité des profils n'affaiblit pas l'identité — elle la constitue.</w:t>
      </w:r>
    </w:p>
    <w:p>
      <w:pPr>
        <w:pBdr>
          <w:left w:val="thick" w:color="B85042" w:sz="12" w:space="10"/>
        </w:pBdr>
        <w:spacing w:before="160" w:after="160"/>
        <w:ind w:left="720" w:right="720"/>
        <w:jc w:val="center"/>
      </w:pPr>
      <w:r>
        <w:rPr>
          <w:rFonts w:ascii="Cambria" w:cs="Cambria" w:eastAsia="Cambria" w:hAnsi="Cambria"/>
          <w:i/>
          <w:iCs/>
          <w:color w:val="B85042"/>
          <w:sz w:val="24"/>
          <w:szCs w:val="24"/>
        </w:rPr>
        <w:t xml:space="preserve">« L'identité d'Akeli est la somme de ceux qui la composent. »</w:t>
      </w:r>
    </w:p>
    <w:p>
      <w:pPr>
        <w:spacing w:before="200" w:after="60"/>
      </w:pPr>
      <w:r>
        <w:rPr>
          <w:rFonts w:ascii="Calibri" w:cs="Calibri" w:eastAsia="Calibri" w:hAnsi="Calibri"/>
          <w:b/>
          <w:bCs/>
          <w:color w:val="B85042"/>
          <w:spacing w:val="80"/>
          <w:sz w:val="18"/>
          <w:szCs w:val="18"/>
        </w:rPr>
        <w:t xml:space="preserve">CE QUE ÇA IMPLIQUE SUR LA COMMUNICATION</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Le contenu Akeli ne peut pas avoir un seul visage, une seule voix, un seul ton uniforme.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Chaque créateur qui parle depuis sa niche est une expression authentique de l'identité Akeli.</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On ne cherche pas un archétype. On cherche la somme.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L'image visuelle suit la même logique — pas un type, pas une couleur de peau, pas un âge.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0D8CC" w:sz="1"/>
              <w:left w:val="thick" w:color="A7BEAE" w:sz="12"/>
              <w:bottom w:val="single" w:color="E0D8CC" w:sz="1"/>
              <w:right w:val="single" w:color="E0D8CC" w:sz="1"/>
            </w:tcBorders>
            <w:shd w:fill="F0F5F2" w:val="clear"/>
          </w:tcPr>
          <w:p>
            <w:pPr>
              <w:spacing w:before="40" w:after="40"/>
            </w:pPr>
            <w:r>
              <w:rPr>
                <w:rFonts w:ascii="Calibri" w:cs="Calibri" w:eastAsia="Calibri" w:hAnsi="Calibri"/>
                <w:i/>
                <w:iCs/>
                <w:color w:val="1A1A1A"/>
                <w:sz w:val="20"/>
                <w:szCs w:val="20"/>
              </w:rPr>
              <w:t xml:space="preserve">La posture de chaque membre porte l'identité collective.</w:t>
            </w:r>
          </w:p>
          <w:p>
            <w:pPr>
              <w:spacing w:before="40" w:after="40"/>
            </w:pPr>
            <w:r>
              <w:rPr>
                <w:rFonts w:ascii="Calibri" w:cs="Calibri" w:eastAsia="Calibri" w:hAnsi="Calibri"/>
                <w:i/>
                <w:iCs/>
                <w:color w:val="1A1A1A"/>
                <w:sz w:val="20"/>
                <w:szCs w:val="20"/>
              </w:rPr>
              <w:t xml:space="preserve">Ce que Curtis dit, ce que la soignante publie, ce que l'athlète crée —</w:t>
            </w:r>
          </w:p>
          <w:p>
            <w:pPr>
              <w:spacing w:before="40" w:after="40"/>
            </w:pPr>
            <w:r>
              <w:rPr>
                <w:rFonts w:ascii="Calibri" w:cs="Calibri" w:eastAsia="Calibri" w:hAnsi="Calibri"/>
                <w:i/>
                <w:iCs/>
                <w:color w:val="1A1A1A"/>
                <w:sz w:val="20"/>
                <w:szCs w:val="20"/>
              </w:rPr>
              <w:t xml:space="preserve">tout ça forme une seule identité. Cohérente non pas parce qu'elle est uniforme,</w:t>
            </w:r>
          </w:p>
          <w:p>
            <w:pPr>
              <w:spacing w:before="40" w:after="40"/>
            </w:pPr>
            <w:r>
              <w:rPr>
                <w:rFonts w:ascii="Calibri" w:cs="Calibri" w:eastAsia="Calibri" w:hAnsi="Calibri"/>
                <w:i/>
                <w:iCs/>
                <w:color w:val="1A1A1A"/>
                <w:sz w:val="20"/>
                <w:szCs w:val="20"/>
              </w:rPr>
              <w:t xml:space="preserve">mais parce qu'elle est vraie dans chaque expression.</w:t>
            </w:r>
          </w:p>
        </w:tc>
      </w:tr>
    </w:tbl>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3. Le socle commun et la liberté d'interprétation</w:t>
      </w:r>
    </w:p>
    <w:p>
      <w:pPr>
        <w:spacing w:before="120" w:after="100"/>
        <w:jc w:val="left"/>
      </w:pPr>
      <w:r>
        <w:rPr>
          <w:rFonts w:ascii="Calibri" w:cs="Calibri" w:eastAsia="Calibri" w:hAnsi="Calibri"/>
          <w:b/>
          <w:bCs/>
          <w:i w:val="false"/>
          <w:iCs w:val="false"/>
          <w:color w:val="1A1A1A"/>
          <w:sz w:val="22"/>
          <w:szCs w:val="22"/>
        </w:rPr>
        <w:t xml:space="preserve">Akeli traite des sujets transversaux — la réalité vécue, les faits généraux, ce qui appartient à tous. L'interprétation et l'appropriation sont libres.</w:t>
      </w:r>
    </w:p>
    <w:p>
      <w:pPr>
        <w:spacing w:before="0" w:after="160"/>
        <w:jc w:val="left"/>
      </w:pPr>
      <w:r>
        <w:rPr>
          <w:rFonts w:ascii="Calibri" w:cs="Calibri" w:eastAsia="Calibri" w:hAnsi="Calibri"/>
          <w:b w:val="false"/>
          <w:bCs w:val="false"/>
          <w:i w:val="false"/>
          <w:iCs w:val="false"/>
          <w:color w:val="1A1A1A"/>
          <w:sz w:val="22"/>
          <w:szCs w:val="22"/>
        </w:rPr>
        <w:t xml:space="preserve">Ce n'est pas une contradiction. C'est l'architecture exacte d'un être collectif vivant.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400"/>
        <w:gridCol w:w="4626"/>
      </w:tblGrid>
      <w:tr>
        <w:tc>
          <w:tcPr>
            <w:tcW w:type="dxa" w:w="4400"/>
            <w:tcBorders>
              <w:top w:val="single" w:color="1A1A1A" w:sz="1"/>
              <w:left w:val="single" w:color="1A1A1A" w:sz="1"/>
              <w:bottom w:val="single" w:color="1A1A1A" w:sz="1"/>
              <w:right w:val="single" w:color="1A1A1A" w:sz="1"/>
            </w:tcBorders>
            <w:shd w:fill="1A1A1A" w:val="clear"/>
          </w:tcPr>
          <w:p>
            <w:pPr>
              <w:spacing w:before="100" w:after="100"/>
              <w:ind w:left="140"/>
            </w:pPr>
            <w:r>
              <w:rPr>
                <w:rFonts w:ascii="Cambria" w:cs="Cambria" w:eastAsia="Cambria" w:hAnsi="Cambria"/>
                <w:b/>
                <w:bCs/>
                <w:color w:val="FFFFFF"/>
                <w:sz w:val="22"/>
                <w:szCs w:val="22"/>
              </w:rPr>
              <w:t xml:space="preserve">Le socle commun</w:t>
            </w:r>
          </w:p>
        </w:tc>
        <w:tc>
          <w:tcPr>
            <w:tcW w:type="dxa" w:w="4626"/>
            <w:tcBorders>
              <w:top w:val="single" w:color="1A1A1A" w:sz="1"/>
              <w:left w:val="single" w:color="1A1A1A" w:sz="1"/>
              <w:bottom w:val="single" w:color="1A1A1A" w:sz="1"/>
              <w:right w:val="single" w:color="1A1A1A" w:sz="1"/>
            </w:tcBorders>
            <w:shd w:fill="1A1A1A" w:val="clear"/>
          </w:tcPr>
          <w:p>
            <w:pPr>
              <w:spacing w:before="100" w:after="100"/>
              <w:ind w:left="140"/>
            </w:pPr>
            <w:r>
              <w:rPr>
                <w:rFonts w:ascii="Cambria" w:cs="Cambria" w:eastAsia="Cambria" w:hAnsi="Cambria"/>
                <w:b/>
                <w:bCs/>
                <w:color w:val="B85042"/>
                <w:sz w:val="22"/>
                <w:szCs w:val="22"/>
              </w:rPr>
              <w:t xml:space="preserve">La liberté d'interprétation</w:t>
            </w:r>
          </w:p>
        </w:tc>
      </w:tr>
      <w:tr>
        <w:tc>
          <w:tcPr>
            <w:tcW w:type="dxa" w:w="4400"/>
            <w:tcBorders>
              <w:top w:val="single" w:color="E0D8CC" w:sz="1"/>
              <w:left w:val="single" w:color="E0D8CC" w:sz="1"/>
              <w:bottom w:val="single" w:color="E0D8CC" w:sz="1"/>
              <w:right w:val="single" w:color="E0D8CC" w:sz="1"/>
            </w:tcBorders>
            <w:shd w:fill="FAF6F0" w:val="clear"/>
          </w:tcPr>
          <w:p>
            <w:pPr>
              <w:spacing w:before="100" w:after="100"/>
              <w:ind w:left="140"/>
            </w:pPr>
            <w:r>
              <w:rPr>
                <w:rFonts w:ascii="Calibri" w:cs="Calibri" w:eastAsia="Calibri" w:hAnsi="Calibri"/>
                <w:color w:val="1A1A1A"/>
                <w:sz w:val="20"/>
                <w:szCs w:val="20"/>
              </w:rPr>
              <w:t xml:space="preserve">Les faits. La réalité vécue. Les sujets transversaux qui appartiennent à tous.</w:t>
            </w:r>
          </w:p>
        </w:tc>
        <w:tc>
          <w:tcPr>
            <w:tcW w:type="dxa" w:w="4626"/>
            <w:tcBorders>
              <w:top w:val="single" w:color="E0D8CC" w:sz="1"/>
              <w:left w:val="single" w:color="E0D8CC" w:sz="1"/>
              <w:bottom w:val="single" w:color="E0D8CC" w:sz="1"/>
              <w:right w:val="single" w:color="E0D8CC" w:sz="1"/>
            </w:tcBorders>
            <w:shd w:fill="FAF6F0" w:val="clear"/>
          </w:tcPr>
          <w:p>
            <w:pPr>
              <w:spacing w:before="100" w:after="100"/>
              <w:ind w:left="140"/>
            </w:pPr>
            <w:r>
              <w:rPr>
                <w:rFonts w:ascii="Calibri" w:cs="Calibri" w:eastAsia="Calibri" w:hAnsi="Calibri"/>
                <w:i/>
                <w:iCs/>
                <w:color w:val="1A1A1A"/>
                <w:sz w:val="20"/>
                <w:szCs w:val="20"/>
              </w:rPr>
              <w:t xml:space="preserve">Comment ce fait résonne dans ma niche, ma vie, ma cuisine.</w:t>
            </w:r>
          </w:p>
        </w:tc>
      </w:tr>
      <w:tr>
        <w:tc>
          <w:tcPr>
            <w:tcW w:type="dxa" w:w="4400"/>
            <w:tcBorders>
              <w:top w:val="single" w:color="E0D8CC" w:sz="1"/>
              <w:left w:val="single" w:color="E0D8CC" w:sz="1"/>
              <w:bottom w:val="single" w:color="E0D8CC" w:sz="1"/>
              <w:right w:val="single" w:color="E0D8CC" w:sz="1"/>
            </w:tcBorders>
            <w:shd w:fill="FFFFFF" w:val="clear"/>
          </w:tcPr>
          <w:p>
            <w:pPr>
              <w:spacing w:before="100" w:after="100"/>
              <w:ind w:left="140"/>
            </w:pPr>
            <w:r>
              <w:rPr>
                <w:rFonts w:ascii="Calibri" w:cs="Calibri" w:eastAsia="Calibri" w:hAnsi="Calibri"/>
                <w:color w:val="1A1A1A"/>
                <w:sz w:val="20"/>
                <w:szCs w:val="20"/>
              </w:rPr>
              <w:t xml:space="preserve">La Vérité Tranquille — ton calme, simple, sans jugement.</w:t>
            </w:r>
          </w:p>
        </w:tc>
        <w:tc>
          <w:tcPr>
            <w:tcW w:type="dxa" w:w="4626"/>
            <w:tcBorders>
              <w:top w:val="single" w:color="E0D8CC" w:sz="1"/>
              <w:left w:val="single" w:color="E0D8CC" w:sz="1"/>
              <w:bottom w:val="single" w:color="E0D8CC" w:sz="1"/>
              <w:right w:val="single" w:color="E0D8CC" w:sz="1"/>
            </w:tcBorders>
            <w:shd w:fill="FFFFFF" w:val="clear"/>
          </w:tcPr>
          <w:p>
            <w:pPr>
              <w:spacing w:before="100" w:after="100"/>
              <w:ind w:left="140"/>
            </w:pPr>
            <w:r>
              <w:rPr>
                <w:rFonts w:ascii="Calibri" w:cs="Calibri" w:eastAsia="Calibri" w:hAnsi="Calibri"/>
                <w:i/>
                <w:iCs/>
                <w:color w:val="1A1A1A"/>
                <w:sz w:val="20"/>
                <w:szCs w:val="20"/>
              </w:rPr>
              <w:t xml:space="preserve">Le registre, la langue, le style — chacun les porte à sa façon.</w:t>
            </w:r>
          </w:p>
        </w:tc>
      </w:tr>
      <w:tr>
        <w:tc>
          <w:tcPr>
            <w:tcW w:type="dxa" w:w="4400"/>
            <w:tcBorders>
              <w:top w:val="single" w:color="E0D8CC" w:sz="1"/>
              <w:left w:val="single" w:color="E0D8CC" w:sz="1"/>
              <w:bottom w:val="single" w:color="E0D8CC" w:sz="1"/>
              <w:right w:val="single" w:color="E0D8CC" w:sz="1"/>
            </w:tcBorders>
            <w:shd w:fill="FAF6F0" w:val="clear"/>
          </w:tcPr>
          <w:p>
            <w:pPr>
              <w:spacing w:before="100" w:after="100"/>
              <w:ind w:left="140"/>
            </w:pPr>
            <w:r>
              <w:rPr>
                <w:rFonts w:ascii="Calibri" w:cs="Calibri" w:eastAsia="Calibri" w:hAnsi="Calibri"/>
                <w:color w:val="1A1A1A"/>
                <w:sz w:val="20"/>
                <w:szCs w:val="20"/>
              </w:rPr>
              <w:t xml:space="preserve">L'absence de culpabilité. L'absence de prescription.</w:t>
            </w:r>
          </w:p>
        </w:tc>
        <w:tc>
          <w:tcPr>
            <w:tcW w:type="dxa" w:w="4626"/>
            <w:tcBorders>
              <w:top w:val="single" w:color="E0D8CC" w:sz="1"/>
              <w:left w:val="single" w:color="E0D8CC" w:sz="1"/>
              <w:bottom w:val="single" w:color="E0D8CC" w:sz="1"/>
              <w:right w:val="single" w:color="E0D8CC" w:sz="1"/>
            </w:tcBorders>
            <w:shd w:fill="FAF6F0" w:val="clear"/>
          </w:tcPr>
          <w:p>
            <w:pPr>
              <w:spacing w:before="100" w:after="100"/>
              <w:ind w:left="140"/>
            </w:pPr>
            <w:r>
              <w:rPr>
                <w:rFonts w:ascii="Calibri" w:cs="Calibri" w:eastAsia="Calibri" w:hAnsi="Calibri"/>
                <w:i/>
                <w:iCs/>
                <w:color w:val="1A1A1A"/>
                <w:sz w:val="20"/>
                <w:szCs w:val="20"/>
              </w:rPr>
              <w:t xml:space="preserve">Ce que le créateur construit à partir du socle — c'est entièrement le sien.</w:t>
            </w:r>
          </w:p>
        </w:tc>
      </w:tr>
      <w:tr>
        <w:tc>
          <w:tcPr>
            <w:tcW w:type="dxa" w:w="4400"/>
            <w:tcBorders>
              <w:top w:val="single" w:color="E0D8CC" w:sz="1"/>
              <w:left w:val="single" w:color="E0D8CC" w:sz="1"/>
              <w:bottom w:val="single" w:color="E0D8CC" w:sz="1"/>
              <w:right w:val="single" w:color="E0D8CC" w:sz="1"/>
            </w:tcBorders>
            <w:shd w:fill="FFFFFF" w:val="clear"/>
          </w:tcPr>
          <w:p>
            <w:pPr>
              <w:spacing w:before="100" w:after="100"/>
              <w:ind w:left="140"/>
            </w:pPr>
            <w:r>
              <w:rPr>
                <w:rFonts w:ascii="Calibri" w:cs="Calibri" w:eastAsia="Calibri" w:hAnsi="Calibri"/>
                <w:color w:val="1A1A1A"/>
                <w:sz w:val="20"/>
                <w:szCs w:val="20"/>
              </w:rPr>
              <w:t xml:space="preserve">Le "nous" inclusif. Les faits posés sans conclusion imposée.</w:t>
            </w:r>
          </w:p>
        </w:tc>
        <w:tc>
          <w:tcPr>
            <w:tcW w:type="dxa" w:w="4626"/>
            <w:tcBorders>
              <w:top w:val="single" w:color="E0D8CC" w:sz="1"/>
              <w:left w:val="single" w:color="E0D8CC" w:sz="1"/>
              <w:bottom w:val="single" w:color="E0D8CC" w:sz="1"/>
              <w:right w:val="single" w:color="E0D8CC" w:sz="1"/>
            </w:tcBorders>
            <w:shd w:fill="FFFFFF" w:val="clear"/>
          </w:tcPr>
          <w:p>
            <w:pPr>
              <w:spacing w:before="100" w:after="100"/>
              <w:ind w:left="140"/>
            </w:pPr>
            <w:r>
              <w:rPr>
                <w:rFonts w:ascii="Calibri" w:cs="Calibri" w:eastAsia="Calibri" w:hAnsi="Calibri"/>
                <w:i/>
                <w:iCs/>
                <w:color w:val="1A1A1A"/>
                <w:sz w:val="20"/>
                <w:szCs w:val="20"/>
              </w:rPr>
              <w:t xml:space="preserve">La conclusion, l'appropriation, l'usage — appartiennent au membre.</w:t>
            </w:r>
          </w:p>
        </w:tc>
      </w:tr>
    </w:tbl>
    <w:p>
      <w:pPr>
        <w:spacing w:before="160" w:after="0"/>
      </w:pPr>
    </w:p>
    <w:p>
      <w:pPr>
        <w:spacing w:before="0" w:after="160"/>
        <w:jc w:val="left"/>
      </w:pPr>
      <w:r>
        <w:rPr>
          <w:rFonts w:ascii="Calibri" w:cs="Calibri" w:eastAsia="Calibri" w:hAnsi="Calibri"/>
          <w:b w:val="false"/>
          <w:bCs w:val="false"/>
          <w:i/>
          <w:iCs/>
          <w:color w:val="1A1A1A"/>
          <w:sz w:val="22"/>
          <w:szCs w:val="22"/>
        </w:rPr>
        <w:t xml:space="preserve">Le socle est ce qui fait qu'on se reconnaît tous dans la même chose. La liberté est ce qui fait que chacun s'y retrouve avec sa propre réalité. Le jazz fonctionne comme ça — la structure est commune, l'improvisation est individuelle. On reconnaît le morceau. On reconnaît aussi le musicien.</w:t>
      </w:r>
    </w:p>
    <w:p>
      <w:pPr>
        <w:spacing w:before="200" w:after="60"/>
      </w:pPr>
      <w:r>
        <w:rPr>
          <w:rFonts w:ascii="Calibri" w:cs="Calibri" w:eastAsia="Calibri" w:hAnsi="Calibri"/>
          <w:b/>
          <w:bCs/>
          <w:color w:val="B85042"/>
          <w:spacing w:val="80"/>
          <w:sz w:val="18"/>
          <w:szCs w:val="18"/>
        </w:rPr>
        <w:t xml:space="preserve">RÈGLE DE PRODUCTION</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Akeli pose le fait transversal. Le créateur l'interprète librement depuis sa niche.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On ne corrige jamais une interprétation. On n'impose pas de lecture.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Un contenu créateur qui s'éloigne du ton Akeli mais reste vrai depuis sa niche — c'est Akeli.</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Un contenu qui applique mécaniquement le ton Akeli mais sonne faux — ce n'est pas Akeli.</w:t>
      </w:r>
    </w:p>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4. Le talent se trouve partout</w:t>
      </w:r>
    </w:p>
    <w:p>
      <w:pPr>
        <w:spacing w:before="120" w:after="100"/>
        <w:jc w:val="left"/>
      </w:pPr>
      <w:r>
        <w:rPr>
          <w:rFonts w:ascii="Calibri" w:cs="Calibri" w:eastAsia="Calibri" w:hAnsi="Calibri"/>
          <w:b/>
          <w:bCs/>
          <w:i w:val="false"/>
          <w:iCs w:val="false"/>
          <w:color w:val="1A1A1A"/>
          <w:sz w:val="22"/>
          <w:szCs w:val="22"/>
        </w:rPr>
        <w:t xml:space="preserve">Le talent n'est pas rare. Il n'est pas réservé à ceux qui ont une formation, une plateforme, ou une légitimité reconnue. Il est distribué — dans chaque niche, dans chaque réalité de vie, dans chaque cuisine qu'on ne voit pas encore.</w:t>
      </w:r>
    </w:p>
    <w:p>
      <w:pPr>
        <w:spacing w:before="0" w:after="160"/>
        <w:jc w:val="left"/>
      </w:pPr>
      <w:r>
        <w:rPr>
          <w:rFonts w:ascii="Calibri" w:cs="Calibri" w:eastAsia="Calibri" w:hAnsi="Calibri"/>
          <w:b w:val="false"/>
          <w:bCs w:val="false"/>
          <w:i w:val="false"/>
          <w:iCs w:val="false"/>
          <w:color w:val="1A1A1A"/>
          <w:sz w:val="22"/>
          <w:szCs w:val="22"/>
        </w:rPr>
        <w:t xml:space="preserve">N'importe qui peut apporter une contribution ou une innovation. Ce principe n'est pas une promesse commerciale — c'est une conviction fondatrice.</w:t>
      </w:r>
    </w:p>
    <w:p>
      <w:pPr>
        <w:pBdr>
          <w:left w:val="thick" w:color="B85042" w:sz="12" w:space="10"/>
        </w:pBdr>
        <w:spacing w:before="160" w:after="160"/>
        <w:ind w:left="720" w:right="720"/>
        <w:jc w:val="center"/>
      </w:pPr>
      <w:r>
        <w:rPr>
          <w:rFonts w:ascii="Cambria" w:cs="Cambria" w:eastAsia="Cambria" w:hAnsi="Cambria"/>
          <w:i/>
          <w:iCs/>
          <w:color w:val="B85042"/>
          <w:sz w:val="24"/>
          <w:szCs w:val="24"/>
        </w:rPr>
        <w:t xml:space="preserve">« On ne peut pas savoir à l'avance où se trouve le talent. Donc on ouvre tout. »</w:t>
      </w:r>
    </w:p>
    <w:p>
      <w:pPr>
        <w:spacing w:before="80" w:after="120"/>
        <w:jc w:val="left"/>
      </w:pPr>
      <w:r>
        <w:rPr>
          <w:rFonts w:ascii="Calibri" w:cs="Calibri" w:eastAsia="Calibri" w:hAnsi="Calibri"/>
          <w:b w:val="false"/>
          <w:bCs w:val="false"/>
          <w:i w:val="false"/>
          <w:iCs w:val="false"/>
          <w:color w:val="1A1A1A"/>
          <w:sz w:val="22"/>
          <w:szCs w:val="22"/>
        </w:rPr>
        <w:t xml:space="preserve">La soignante qui n'a jamais publié une recette possède peut-être la solution nutritionnelle la plus pertinente pour les soignantes en Europe. Elle ne le sait pas encore. Akeli le sait — et lui donne la place pour le prouver.</w:t>
      </w:r>
    </w:p>
    <w:p>
      <w:pPr>
        <w:spacing w:before="0" w:after="160"/>
        <w:jc w:val="left"/>
      </w:pPr>
      <w:r>
        <w:rPr>
          <w:rFonts w:ascii="Calibri" w:cs="Calibri" w:eastAsia="Calibri" w:hAnsi="Calibri"/>
          <w:b w:val="false"/>
          <w:bCs w:val="false"/>
          <w:i w:val="false"/>
          <w:iCs w:val="false"/>
          <w:color w:val="1A1A1A"/>
          <w:sz w:val="22"/>
          <w:szCs w:val="22"/>
        </w:rPr>
        <w:t xml:space="preserve">C'est aussi ce qui explique pourquoi la barrière d'entrée est volontairement basse. Ce n'est pas une stratégie de croissance. C'est la conséquence logique de ce principe.</w:t>
      </w:r>
    </w:p>
    <w:p>
      <w:pPr>
        <w:spacing w:before="200" w:after="60"/>
      </w:pPr>
      <w:r>
        <w:rPr>
          <w:rFonts w:ascii="Calibri" w:cs="Calibri" w:eastAsia="Calibri" w:hAnsi="Calibri"/>
          <w:b/>
          <w:bCs/>
          <w:color w:val="B85042"/>
          <w:spacing w:val="80"/>
          <w:sz w:val="18"/>
          <w:szCs w:val="18"/>
        </w:rPr>
        <w:t xml:space="preserve">CE QUE ÇA IMPLIQUE SUR LA COMMUNICATION CRÉATEUR</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On ne dit jamais "si tu as du talent". On ne dit jamais "les meilleurs créateurs".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On dit : ce que tu sais, ici, a de la valeur. Le marché confirmera — pas nous.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On ne filtre pas à l'entrée. Filtrer appauvrirait l'être collectif.</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La légitimité se construit par les données réelles — pas par la sélection préalable.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0D8CC" w:sz="1"/>
              <w:left w:val="thick" w:color="A7BEAE" w:sz="12"/>
              <w:bottom w:val="single" w:color="E0D8CC" w:sz="1"/>
              <w:right w:val="single" w:color="E0D8CC" w:sz="1"/>
            </w:tcBorders>
            <w:shd w:fill="F0F5F2" w:val="clear"/>
          </w:tcPr>
          <w:p>
            <w:pPr>
              <w:spacing w:before="40" w:after="40"/>
            </w:pPr>
            <w:r>
              <w:rPr>
                <w:rFonts w:ascii="Calibri" w:cs="Calibri" w:eastAsia="Calibri" w:hAnsi="Calibri"/>
                <w:i/>
                <w:iCs/>
                <w:color w:val="1A1A1A"/>
                <w:sz w:val="20"/>
                <w:szCs w:val="20"/>
              </w:rPr>
              <w:t xml:space="preserve">Ce principe s'articule directement avec le principe 2 :</w:t>
            </w:r>
          </w:p>
          <w:p>
            <w:pPr>
              <w:spacing w:before="40" w:after="40"/>
            </w:pPr>
            <w:r>
              <w:rPr>
                <w:rFonts w:ascii="Calibri" w:cs="Calibri" w:eastAsia="Calibri" w:hAnsi="Calibri"/>
                <w:i/>
                <w:iCs/>
                <w:color w:val="1A1A1A"/>
                <w:sz w:val="20"/>
                <w:szCs w:val="20"/>
              </w:rPr>
              <w:t xml:space="preserve">si l'identité est la somme de ceux qui la composent,</w:t>
            </w:r>
          </w:p>
          <w:p>
            <w:pPr>
              <w:spacing w:before="40" w:after="40"/>
            </w:pPr>
            <w:r>
              <w:rPr>
                <w:rFonts w:ascii="Calibri" w:cs="Calibri" w:eastAsia="Calibri" w:hAnsi="Calibri"/>
                <w:i/>
                <w:iCs/>
                <w:color w:val="1A1A1A"/>
                <w:sz w:val="20"/>
                <w:szCs w:val="20"/>
              </w:rPr>
              <w:t xml:space="preserve">alors filtrer à l'entrée c'est décider à l'avance de ce que sera cette somme.</w:t>
            </w:r>
          </w:p>
          <w:p>
            <w:pPr>
              <w:spacing w:before="40" w:after="40"/>
            </w:pPr>
            <w:r>
              <w:rPr>
                <w:rFonts w:ascii="Calibri" w:cs="Calibri" w:eastAsia="Calibri" w:hAnsi="Calibri"/>
                <w:i/>
                <w:iCs/>
                <w:color w:val="1A1A1A"/>
                <w:sz w:val="20"/>
                <w:szCs w:val="20"/>
              </w:rPr>
              <w:t xml:space="preserve">C'est l'opposé de ce qu'Akeli est.</w:t>
            </w:r>
          </w:p>
        </w:tc>
      </w:tr>
    </w:tbl>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Synthèse — Les quatre principes en une phrase chacun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E0D8CC" w:sz="1"/>
              <w:left w:val="thick" w:color="B85042" w:sz="8"/>
              <w:bottom w:val="single" w:color="E0D8CC" w:sz="1"/>
              <w:right w:val="single" w:color="E0D8CC" w:sz="1"/>
            </w:tcBorders>
            <w:shd w:fill="FDF8F4" w:val="clear"/>
          </w:tcPr>
          <w:p>
            <w:pPr>
              <w:spacing w:before="120" w:after="120"/>
              <w:ind w:left="100"/>
            </w:pPr>
            <w:r>
              <w:rPr>
                <w:rFonts w:ascii="Cambria" w:cs="Cambria" w:eastAsia="Cambria" w:hAnsi="Cambria"/>
                <w:b/>
                <w:bCs/>
                <w:color w:val="B85042"/>
                <w:sz w:val="22"/>
                <w:szCs w:val="22"/>
              </w:rPr>
              <w:t xml:space="preserve">1.</w:t>
            </w:r>
          </w:p>
        </w:tc>
        <w:tc>
          <w:tcPr>
            <w:tcW w:type="dxa" w:w="8626"/>
            <w:tcBorders>
              <w:top w:val="single" w:color="E0D8CC" w:sz="1"/>
              <w:left w:val="single" w:color="E0D8CC" w:sz="1"/>
              <w:bottom w:val="single" w:color="E0D8CC" w:sz="1"/>
              <w:right w:val="single" w:color="E0D8CC" w:sz="1"/>
            </w:tcBorders>
            <w:shd w:fill="FDF8F4" w:val="clear"/>
          </w:tcPr>
          <w:p>
            <w:pPr>
              <w:spacing w:before="120" w:after="120"/>
              <w:ind w:left="140"/>
            </w:pPr>
            <w:r>
              <w:rPr>
                <w:rFonts w:ascii="Calibri" w:cs="Calibri" w:eastAsia="Calibri" w:hAnsi="Calibri"/>
                <w:color w:val="1A1A1A"/>
                <w:sz w:val="22"/>
                <w:szCs w:val="22"/>
              </w:rPr>
              <w:t xml:space="preserve">Le "nous" est vrai avant d'être inclusif. Ceux qui vivent la réalité qu'on pose sont déjà dans l'être collectif.</w:t>
            </w:r>
          </w:p>
        </w:tc>
      </w:tr>
      <w:tr>
        <w:tc>
          <w:tcPr>
            <w:tcW w:type="dxa" w:w="400"/>
            <w:tcBorders>
              <w:top w:val="single" w:color="E0D8CC" w:sz="1"/>
              <w:left w:val="thick" w:color="B85042" w:sz="8"/>
              <w:bottom w:val="single" w:color="E0D8CC" w:sz="1"/>
              <w:right w:val="single" w:color="E0D8CC" w:sz="1"/>
            </w:tcBorders>
            <w:shd w:fill="FFFFFF" w:val="clear"/>
          </w:tcPr>
          <w:p>
            <w:pPr>
              <w:spacing w:before="120" w:after="120"/>
              <w:ind w:left="100"/>
            </w:pPr>
            <w:r>
              <w:rPr>
                <w:rFonts w:ascii="Cambria" w:cs="Cambria" w:eastAsia="Cambria" w:hAnsi="Cambria"/>
                <w:b/>
                <w:bCs/>
                <w:color w:val="B85042"/>
                <w:sz w:val="22"/>
                <w:szCs w:val="22"/>
              </w:rPr>
              <w:t xml:space="preserve">2.</w:t>
            </w:r>
          </w:p>
        </w:tc>
        <w:tc>
          <w:tcPr>
            <w:tcW w:type="dxa" w:w="8626"/>
            <w:tcBorders>
              <w:top w:val="single" w:color="E0D8CC" w:sz="1"/>
              <w:left w:val="single" w:color="E0D8CC" w:sz="1"/>
              <w:bottom w:val="single" w:color="E0D8CC" w:sz="1"/>
              <w:right w:val="single" w:color="E0D8CC" w:sz="1"/>
            </w:tcBorders>
            <w:shd w:fill="FFFFFF" w:val="clear"/>
          </w:tcPr>
          <w:p>
            <w:pPr>
              <w:spacing w:before="120" w:after="120"/>
              <w:ind w:left="140"/>
            </w:pPr>
            <w:r>
              <w:rPr>
                <w:rFonts w:ascii="Calibri" w:cs="Calibri" w:eastAsia="Calibri" w:hAnsi="Calibri"/>
                <w:color w:val="1A1A1A"/>
                <w:sz w:val="22"/>
                <w:szCs w:val="22"/>
              </w:rPr>
              <w:t xml:space="preserve">L'identité d'Akeli est la somme de ceux qui la composent — chacun se voit dedans et voit l'autre.</w:t>
            </w:r>
          </w:p>
        </w:tc>
      </w:tr>
      <w:tr>
        <w:tc>
          <w:tcPr>
            <w:tcW w:type="dxa" w:w="400"/>
            <w:tcBorders>
              <w:top w:val="single" w:color="E0D8CC" w:sz="1"/>
              <w:left w:val="thick" w:color="B85042" w:sz="8"/>
              <w:bottom w:val="single" w:color="E0D8CC" w:sz="1"/>
              <w:right w:val="single" w:color="E0D8CC" w:sz="1"/>
            </w:tcBorders>
            <w:shd w:fill="FDF8F4" w:val="clear"/>
          </w:tcPr>
          <w:p>
            <w:pPr>
              <w:spacing w:before="120" w:after="120"/>
              <w:ind w:left="100"/>
            </w:pPr>
            <w:r>
              <w:rPr>
                <w:rFonts w:ascii="Cambria" w:cs="Cambria" w:eastAsia="Cambria" w:hAnsi="Cambria"/>
                <w:b/>
                <w:bCs/>
                <w:color w:val="B85042"/>
                <w:sz w:val="22"/>
                <w:szCs w:val="22"/>
              </w:rPr>
              <w:t xml:space="preserve">3.</w:t>
            </w:r>
          </w:p>
        </w:tc>
        <w:tc>
          <w:tcPr>
            <w:tcW w:type="dxa" w:w="8626"/>
            <w:tcBorders>
              <w:top w:val="single" w:color="E0D8CC" w:sz="1"/>
              <w:left w:val="single" w:color="E0D8CC" w:sz="1"/>
              <w:bottom w:val="single" w:color="E0D8CC" w:sz="1"/>
              <w:right w:val="single" w:color="E0D8CC" w:sz="1"/>
            </w:tcBorders>
            <w:shd w:fill="FDF8F4" w:val="clear"/>
          </w:tcPr>
          <w:p>
            <w:pPr>
              <w:spacing w:before="120" w:after="120"/>
              <w:ind w:left="140"/>
            </w:pPr>
            <w:r>
              <w:rPr>
                <w:rFonts w:ascii="Calibri" w:cs="Calibri" w:eastAsia="Calibri" w:hAnsi="Calibri"/>
                <w:color w:val="1A1A1A"/>
                <w:sz w:val="22"/>
                <w:szCs w:val="22"/>
              </w:rPr>
              <w:t xml:space="preserve">Akeli pose le socle commun. L'interprétation et l'appropriation sont libres.</w:t>
            </w:r>
          </w:p>
        </w:tc>
      </w:tr>
      <w:tr>
        <w:tc>
          <w:tcPr>
            <w:tcW w:type="dxa" w:w="400"/>
            <w:tcBorders>
              <w:top w:val="single" w:color="E0D8CC" w:sz="1"/>
              <w:left w:val="thick" w:color="B85042" w:sz="8"/>
              <w:bottom w:val="single" w:color="E0D8CC" w:sz="1"/>
              <w:right w:val="single" w:color="E0D8CC" w:sz="1"/>
            </w:tcBorders>
            <w:shd w:fill="FFFFFF" w:val="clear"/>
          </w:tcPr>
          <w:p>
            <w:pPr>
              <w:spacing w:before="120" w:after="120"/>
              <w:ind w:left="100"/>
            </w:pPr>
            <w:r>
              <w:rPr>
                <w:rFonts w:ascii="Cambria" w:cs="Cambria" w:eastAsia="Cambria" w:hAnsi="Cambria"/>
                <w:b/>
                <w:bCs/>
                <w:color w:val="B85042"/>
                <w:sz w:val="22"/>
                <w:szCs w:val="22"/>
              </w:rPr>
              <w:t xml:space="preserve">4.</w:t>
            </w:r>
          </w:p>
        </w:tc>
        <w:tc>
          <w:tcPr>
            <w:tcW w:type="dxa" w:w="8626"/>
            <w:tcBorders>
              <w:top w:val="single" w:color="E0D8CC" w:sz="1"/>
              <w:left w:val="single" w:color="E0D8CC" w:sz="1"/>
              <w:bottom w:val="single" w:color="E0D8CC" w:sz="1"/>
              <w:right w:val="single" w:color="E0D8CC" w:sz="1"/>
            </w:tcBorders>
            <w:shd w:fill="FFFFFF" w:val="clear"/>
          </w:tcPr>
          <w:p>
            <w:pPr>
              <w:spacing w:before="120" w:after="120"/>
              <w:ind w:left="140"/>
            </w:pPr>
            <w:r>
              <w:rPr>
                <w:rFonts w:ascii="Calibri" w:cs="Calibri" w:eastAsia="Calibri" w:hAnsi="Calibri"/>
                <w:color w:val="1A1A1A"/>
                <w:sz w:val="22"/>
                <w:szCs w:val="22"/>
              </w:rPr>
              <w:t xml:space="preserve">Le talent se trouve partout. N'importe qui peut apporter une contribution ou une innovation.</w:t>
            </w:r>
          </w:p>
        </w:tc>
      </w:tr>
    </w:tbl>
    <w:p>
      <w:pPr>
        <w:spacing w:before="200" w:after="0"/>
      </w:pPr>
    </w:p>
    <w:p>
      <w:pPr>
        <w:pBdr>
          <w:bottom w:val="single" w:color="B85042" w:sz="4" w:space="1"/>
        </w:pBdr>
        <w:spacing w:before="80" w:after="80"/>
      </w:pPr>
    </w:p>
    <w:p>
      <w:pPr>
        <w:spacing w:before="200" w:after="60"/>
        <w:jc w:val="center"/>
      </w:pPr>
      <w:r>
        <w:rPr>
          <w:rFonts w:ascii="Calibri" w:cs="Calibri" w:eastAsia="Calibri" w:hAnsi="Calibri"/>
          <w:b w:val="false"/>
          <w:bCs w:val="false"/>
          <w:i/>
          <w:iCs/>
          <w:color w:val="1A1A1A"/>
          <w:sz w:val="22"/>
          <w:szCs w:val="22"/>
        </w:rPr>
        <w:t xml:space="preserve">Ce document est vivant. Toute règle validée en production terrain s'y ajoute.</w:t>
      </w:r>
    </w:p>
    <w:p>
      <w:pPr>
        <w:spacing w:before="0" w:after="0"/>
        <w:jc w:val="center"/>
      </w:pPr>
      <w:r>
        <w:rPr>
          <w:rFonts w:ascii="Calibri" w:cs="Calibri" w:eastAsia="Calibri" w:hAnsi="Calibri"/>
          <w:b w:val="false"/>
          <w:bCs w:val="false"/>
          <w:i w:val="false"/>
          <w:iCs w:val="false"/>
          <w:color w:val="1A1A1A"/>
          <w:sz w:val="22"/>
          <w:szCs w:val="22"/>
        </w:rPr>
        <w:t xml:space="preserve">AKELI-Communication · Curtis — Fondateur Akeli · Mars 2026</w:t>
      </w:r>
    </w:p>
    <w:p>
      <w:pPr>
        <w:spacing w:before="40" w:after="0"/>
        <w:jc w:val="center"/>
      </w:pPr>
      <w:r>
        <w:rPr>
          <w:rFonts w:ascii="Calibri" w:cs="Calibri" w:eastAsia="Calibri" w:hAnsi="Calibri"/>
          <w:i/>
          <w:iCs/>
          <w:color w:val="7A7A6E"/>
          <w:sz w:val="18"/>
          <w:szCs w:val="18"/>
        </w:rPr>
        <w:t xml:space="preserve">AKELI_ETRE_COLLECTIF_PRINCIPES.md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mbria" w:cs="Cambria" w:eastAsia="Cambria" w:hAnsi="Cambria"/>
      <w:b/>
      <w:bCs/>
      <w:color w:val="1A1A1A"/>
      <w:sz w:val="36"/>
      <w:szCs w:val="36"/>
    </w:rPr>
  </w:style>
  <w:style w:type="paragraph" w:styleId="Heading2">
    <w:name w:val="Heading 2"/>
    <w:basedOn w:val="Normal"/>
    <w:next w:val="Normal"/>
    <w:qFormat/>
    <w:pPr>
      <w:spacing w:before="240" w:after="100"/>
      <w:outlineLvl w:val="1"/>
    </w:pPr>
    <w:rPr>
      <w:rFonts w:ascii="Cambria" w:cs="Cambria" w:eastAsia="Cambria" w:hAnsi="Cambria"/>
      <w:b/>
      <w:bCs/>
      <w:color w:val="B850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2026-03-08T15:35:17.783Z</dcterms:created>
  <dcterms:modified xsi:type="dcterms:W3CDTF">2026-03-08T15:35:17.784Z</dcterms:modified>
</cp:coreProperties>
</file>

<file path=docProps/custom.xml><?xml version="1.0" encoding="utf-8"?>
<Properties xmlns="http://schemas.openxmlformats.org/officeDocument/2006/custom-properties" xmlns:vt="http://schemas.openxmlformats.org/officeDocument/2006/docPropsVTypes"/>
</file>