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C9A84C"/>
          <w:sz w:val="52"/>
          <w:szCs w:val="52"/>
        </w:rPr>
        <w:t xml:space="preserve">AKELI</w:t>
      </w:r>
    </w:p>
    <w:p>
      <w:pPr>
        <w:spacing w:after="60" w:before="0"/>
      </w:pPr>
      <w:r>
        <w:rPr>
          <w:rFonts w:ascii="Arial" w:cs="Arial" w:eastAsia="Arial" w:hAnsi="Arial"/>
          <w:color w:val="1A1A2E"/>
          <w:sz w:val="28"/>
          <w:szCs w:val="28"/>
        </w:rPr>
        <w:t xml:space="preserve">Documentation Stratégique Interne</w:t>
      </w:r>
    </w:p>
    <w:p>
      <w:pPr>
        <w:spacing w:after="40" w:before="0"/>
      </w:pPr>
      <w:r>
        <w:rPr>
          <w:rFonts w:ascii="Arial" w:cs="Arial" w:eastAsia="Arial" w:hAnsi="Arial"/>
          <w:color w:val="888888"/>
          <w:sz w:val="20"/>
          <w:szCs w:val="20"/>
        </w:rPr>
        <w:t xml:space="preserve">Session de fondation — Mars 2026</w:t>
      </w:r>
    </w:p>
    <w:p>
      <w:pPr>
        <w:spacing w:after="40" w:before="0"/>
      </w:pPr>
      <w:r>
        <w:rPr>
          <w:rFonts w:ascii="Arial" w:cs="Arial" w:eastAsia="Arial" w:hAnsi="Arial"/>
          <w:i/>
          <w:iCs/>
          <w:color w:val="888888"/>
          <w:sz w:val="20"/>
          <w:szCs w:val="20"/>
        </w:rPr>
        <w:t xml:space="preserve">Usage interne uniquement — Curtis, Fondateur</w:t>
      </w:r>
    </w:p>
    <w:p>
      <w:pPr>
        <w:pBdr>
          <w:bottom w:val="single" w:color="D4C5A9" w:sz="2"/>
        </w:pBdr>
        <w:spacing w:after="200" w:before="200"/>
      </w:pPr>
      <w:r>
        <w:t xml:space="preserve"/>
      </w:r>
    </w:p>
    <w:p>
      <w:pPr>
        <w:pBdr>
          <w:top w:val="single" w:color="C9A84C" w:sz="4"/>
          <w:bottom w:val="single" w:color="C9A84C" w:sz="4"/>
          <w:left w:val="single" w:color="C9A84C" w:sz="4"/>
          <w:right w:val="single" w:color="C9A84C" w:sz="4"/>
        </w:pBdr>
        <w:shd w:fill="F0EAD6" w:val="clear"/>
        <w:spacing w:after="160" w:before="160"/>
        <w:ind w:left="240" w:right="240"/>
      </w:pPr>
      <w:r>
        <w:rPr>
          <w:rFonts w:ascii="Arial" w:cs="Arial" w:eastAsia="Arial" w:hAnsi="Arial"/>
          <w:i/>
          <w:iCs/>
          <w:color w:val="1A1A2E"/>
          <w:sz w:val="20"/>
          <w:szCs w:val="20"/>
        </w:rPr>
        <w:t xml:space="preserve">Ce document consigne une conversation de fondation. Les principes ici documentés informent la voix Akeli sans jamais apparaître directement dans le contenu public. Ils constituent la couche invisible qui rend la communication cohérente dans le temps.</w:t>
      </w:r>
    </w:p>
    <w:p>
      <w:pPr>
        <w:spacing w:after="80" w:before="80"/>
      </w:pPr>
      <w:r>
        <w:t xml:space="preserve"/>
      </w:r>
    </w:p>
    <w:p>
      <w:pPr>
        <w:pStyle w:val="Heading1"/>
        <w:pBdr>
          <w:bottom w:val="single" w:color="C9A84C" w:sz="4"/>
        </w:pBdr>
        <w:spacing w:after="160" w:before="480"/>
      </w:pPr>
      <w:r>
        <w:rPr>
          <w:rFonts w:ascii="Arial" w:cs="Arial" w:eastAsia="Arial" w:hAnsi="Arial"/>
          <w:b/>
          <w:bCs/>
          <w:color w:val="1A1A2E"/>
          <w:sz w:val="32"/>
          <w:szCs w:val="32"/>
        </w:rPr>
        <w:t xml:space="preserve">I. Le problème structurel du marketing moderne</w:t>
      </w:r>
    </w:p>
    <w:p>
      <w:pPr>
        <w:spacing w:after="120" w:before="60"/>
      </w:pPr>
      <w:r>
        <w:rPr>
          <w:rFonts w:ascii="Arial" w:cs="Arial" w:eastAsia="Arial" w:hAnsi="Arial"/>
          <w:color w:val="1A1A2E"/>
          <w:sz w:val="22"/>
          <w:szCs w:val="22"/>
        </w:rPr>
        <w:t xml:space="preserve">Le marketing moderne s'est construit sur une promesse implicite : la nouveauté comme valeur. La nouvelle app. La première plateforme. L'innovation qui change tout. Ce langage est naturel pour des produits qui s'adressent à des gens qui ont de l'argent disponible pour tester, essayer, et abandonner.</w:t>
      </w:r>
    </w:p>
    <w:p>
      <w:pPr>
        <w:spacing w:after="80" w:before="80"/>
      </w:pPr>
      <w:r>
        <w:t xml:space="preserve"/>
      </w:r>
    </w:p>
    <w:p>
      <w:pPr>
        <w:spacing w:after="120" w:before="60"/>
      </w:pPr>
      <w:r>
        <w:rPr>
          <w:rFonts w:ascii="Arial" w:cs="Arial" w:eastAsia="Arial" w:hAnsi="Arial"/>
          <w:color w:val="1A1A2E"/>
          <w:sz w:val="22"/>
          <w:szCs w:val="22"/>
        </w:rPr>
        <w:t xml:space="preserve">Les membres d'Akeli — le primo-arrivant, Fatoumata, la soignante — ne fonctionnent pas comme ça. Ils n'ont pas de budget pour tester. Ils n'ont pas de temps pour apprendre un nouvel outil. Et surtout, ils n'ont jamais été au centre du discours marketing — ni de la nutrition, ni de la tech.</w:t>
      </w:r>
    </w:p>
    <w:p>
      <w:pPr>
        <w:spacing w:after="80" w:before="80"/>
      </w:pPr>
      <w:r>
        <w:t xml:space="preserve"/>
      </w:r>
    </w:p>
    <w:p>
      <w:pPr>
        <w:spacing w:after="80" w:before="240"/>
      </w:pPr>
      <w:r>
        <w:rPr>
          <w:rFonts w:ascii="Arial" w:cs="Arial" w:eastAsia="Arial" w:hAnsi="Arial"/>
          <w:b/>
          <w:bCs/>
          <w:color w:val="C9A84C"/>
          <w:sz w:val="22"/>
          <w:szCs w:val="22"/>
        </w:rPr>
        <w:t xml:space="preserve">La cécité de marché structurelle</w:t>
      </w:r>
    </w:p>
    <w:p>
      <w:pPr>
        <w:spacing w:after="120" w:before="60"/>
      </w:pPr>
      <w:r>
        <w:rPr>
          <w:rFonts w:ascii="Arial" w:cs="Arial" w:eastAsia="Arial" w:hAnsi="Arial"/>
          <w:color w:val="1A1A2E"/>
          <w:sz w:val="22"/>
          <w:szCs w:val="22"/>
        </w:rPr>
        <w:t xml:space="preserve">Le problème n'est pas que les startupeurs font de mauvais choix de communication. C'est qu'ils ne peuvent pas faire autrement. Ils communiquent vers des gens qui leur ressemblent parce qu'ils ne connaissent concrètement que ces gens-là. La proximité sociale détermine la perception du marché.</w:t>
      </w:r>
    </w:p>
    <w:p>
      <w:pPr>
        <w:spacing w:after="80" w:before="80"/>
      </w:pPr>
      <w:r>
        <w:t xml:space="preserve"/>
      </w:r>
    </w:p>
    <w:p>
      <w:pPr>
        <w:spacing w:after="120" w:before="60"/>
      </w:pPr>
      <w:r>
        <w:rPr>
          <w:rFonts w:ascii="Arial" w:cs="Arial" w:eastAsia="Arial" w:hAnsi="Arial"/>
          <w:color w:val="1A1A2E"/>
          <w:sz w:val="22"/>
          <w:szCs w:val="22"/>
        </w:rPr>
        <w:t xml:space="preserve">Si tu n'as jamais mangé à la même table que Fatoumata, tu ne peux pas savoir ce dont elle a besoin. Et même si quelqu'un te l'explique, tu ne le ressens pas. Le résultat est une cécité de marché systémique : des milliards investis pour vendre des outils de productivité à des gens qui en ont déjà, et un immense marché de personnes réelles, avec des besoins réels, que personne n'adresse.</w:t>
      </w:r>
    </w:p>
    <w:p>
      <w:pPr>
        <w:spacing w:after="80" w:before="80"/>
      </w:pPr>
      <w:r>
        <w:t xml:space="preserve"/>
      </w:r>
    </w:p>
    <w:p>
      <w:pPr>
        <w:spacing w:after="80" w:before="240"/>
      </w:pPr>
      <w:r>
        <w:rPr>
          <w:rFonts w:ascii="Arial" w:cs="Arial" w:eastAsia="Arial" w:hAnsi="Arial"/>
          <w:b/>
          <w:bCs/>
          <w:color w:val="C9A84C"/>
          <w:sz w:val="22"/>
          <w:szCs w:val="22"/>
        </w:rPr>
        <w:t xml:space="preserve">La même séparation au sein de la diaspora</w:t>
      </w:r>
    </w:p>
    <w:p>
      <w:pPr>
        <w:spacing w:after="120" w:before="60"/>
      </w:pPr>
      <w:r>
        <w:rPr>
          <w:rFonts w:ascii="Arial" w:cs="Arial" w:eastAsia="Arial" w:hAnsi="Arial"/>
          <w:color w:val="1A1A2E"/>
          <w:sz w:val="22"/>
          <w:szCs w:val="22"/>
        </w:rPr>
        <w:t xml:space="preserve">Cette ségrégation sociale se reproduit à l'intérieur de la diaspora. Les jeunes de classe aisée, visibles sur les réseaux sociaux, ne côtoient plus les autres couches de la diaspora. Ils se pensent modèles, avant-garde culturelle — chargés d'élever, d'éduquer, d'expliquer.</w:t>
      </w:r>
    </w:p>
    <w:p>
      <w:pPr>
        <w:spacing w:after="80" w:before="80"/>
      </w:pPr>
      <w:r>
        <w:t xml:space="preserve"/>
      </w:r>
    </w:p>
    <w:p>
      <w:pPr>
        <w:spacing w:after="120" w:before="60"/>
      </w:pPr>
      <w:r>
        <w:rPr>
          <w:rFonts w:ascii="Arial" w:cs="Arial" w:eastAsia="Arial" w:hAnsi="Arial"/>
          <w:color w:val="1A1A2E"/>
          <w:sz w:val="22"/>
          <w:szCs w:val="22"/>
        </w:rPr>
        <w:t xml:space="preserve">Le primo-arrivant qui travaille à Roubaix ne se reconnaît pas dans ce discours. Il ne se sent pas élevé. Il se sent ignoré, ou pire, condescendu sans que l'autre s'en rende compte. La condescendance la plus difficile à corriger est celle qui se croit de la bienveillance.</w:t>
      </w:r>
    </w:p>
    <w:p>
      <w:pPr>
        <w:spacing w:after="80" w:before="80"/>
      </w:pPr>
      <w:r>
        <w:t xml:space="preserve"/>
      </w:r>
    </w:p>
    <w:p>
      <w:pPr>
        <w:pBdr>
          <w:left w:val="single" w:color="C9A84C" w:sz="12"/>
        </w:pBdr>
        <w:spacing w:after="160" w:before="160"/>
        <w:ind w:left="720"/>
      </w:pPr>
      <w:r>
        <w:rPr>
          <w:rFonts w:ascii="Arial" w:cs="Arial" w:eastAsia="Arial" w:hAnsi="Arial"/>
          <w:i/>
          <w:iCs/>
          <w:color w:val="555555"/>
          <w:sz w:val="22"/>
          <w:szCs w:val="22"/>
        </w:rPr>
        <w:t xml:space="preserve">Le Profil 3 reproduit, au sein de la diaspora, la même ségrégation sociale que le circuit startup reproduit dans la tech. Il ne côtoie plus le Profil 1. Il lui parle depuis une distance qu'il ne mesure pas.</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C5A9" w:sz="1"/>
              <w:left w:val="single" w:color="D4C5A9" w:sz="1"/>
              <w:bottom w:val="single" w:color="D4C5A9" w:sz="1"/>
              <w:right w:val="single" w:color="D4C5A9" w:sz="1"/>
            </w:tcBorders>
            <w:shd w:fill="EDE8DE" w:val="clear"/>
            <w:tcMar>
              <w:top w:type="dxa" w:w="100"/>
              <w:left w:type="dxa" w:w="160"/>
              <w:bottom w:type="dxa" w:w="100"/>
              <w:right w:type="dxa" w:w="160"/>
            </w:tcMar>
          </w:tcPr>
          <w:p>
            <w:r>
              <w:rPr>
                <w:rFonts w:ascii="Arial" w:cs="Arial" w:eastAsia="Arial" w:hAnsi="Arial"/>
                <w:b/>
                <w:bCs/>
                <w:color w:val="1A1A2E"/>
                <w:sz w:val="20"/>
                <w:szCs w:val="20"/>
              </w:rPr>
              <w:t xml:space="preserve">Action</w:t>
            </w:r>
          </w:p>
        </w:tc>
        <w:tc>
          <w:tcPr>
            <w:tcW w:type="dxa" w:w="7360"/>
            <w:tcBorders>
              <w:top w:val="single" w:color="D4C5A9" w:sz="1"/>
              <w:left w:val="single" w:color="D4C5A9" w:sz="1"/>
              <w:bottom w:val="single" w:color="D4C5A9" w:sz="1"/>
              <w:right w:val="single" w:color="D4C5A9" w:sz="1"/>
            </w:tcBorders>
            <w:shd w:fill="F7F4EF" w:val="clear"/>
            <w:tcMar>
              <w:top w:type="dxa" w:w="100"/>
              <w:left w:type="dxa" w:w="160"/>
              <w:bottom w:type="dxa" w:w="100"/>
              <w:right w:type="dxa" w:w="160"/>
            </w:tcMar>
          </w:tcPr>
          <w:p>
            <w:r>
              <w:rPr>
                <w:rFonts w:ascii="Arial" w:cs="Arial" w:eastAsia="Arial" w:hAnsi="Arial"/>
                <w:b/>
                <w:bCs/>
                <w:color w:val="1A4A7A"/>
                <w:sz w:val="20"/>
                <w:szCs w:val="20"/>
              </w:rPr>
              <w:t xml:space="preserve">UPDATE</w:t>
            </w:r>
          </w:p>
        </w:tc>
      </w:tr>
      <w:tr>
        <w:tc>
          <w:tcPr>
            <w:tcW w:type="dxa" w:w="2000"/>
            <w:tcBorders>
              <w:top w:val="single" w:color="D4C5A9" w:sz="1"/>
              <w:left w:val="single" w:color="D4C5A9" w:sz="1"/>
              <w:bottom w:val="single" w:color="D4C5A9" w:sz="1"/>
              <w:right w:val="single" w:color="D4C5A9" w:sz="1"/>
            </w:tcBorders>
            <w:shd w:fill="EDE8DE" w:val="clear"/>
            <w:tcMar>
              <w:top w:type="dxa" w:w="100"/>
              <w:left w:type="dxa" w:w="160"/>
              <w:bottom w:type="dxa" w:w="100"/>
              <w:right w:type="dxa" w:w="160"/>
            </w:tcMar>
          </w:tcPr>
          <w:p>
            <w:r>
              <w:rPr>
                <w:rFonts w:ascii="Arial" w:cs="Arial" w:eastAsia="Arial" w:hAnsi="Arial"/>
                <w:b/>
                <w:bCs/>
                <w:color w:val="1A1A2E"/>
                <w:sz w:val="20"/>
                <w:szCs w:val="20"/>
              </w:rPr>
              <w:t xml:space="preserve">Document</w:t>
            </w:r>
          </w:p>
        </w:tc>
        <w:tc>
          <w:tcPr>
            <w:tcW w:type="dxa" w:w="7360"/>
            <w:tcBorders>
              <w:top w:val="single" w:color="D4C5A9" w:sz="1"/>
              <w:left w:val="single" w:color="D4C5A9" w:sz="1"/>
              <w:bottom w:val="single" w:color="D4C5A9" w:sz="1"/>
              <w:right w:val="single" w:color="D4C5A9" w:sz="1"/>
            </w:tcBorders>
            <w:shd w:fill="F7F4EF" w:val="clear"/>
            <w:tcMar>
              <w:top w:type="dxa" w:w="100"/>
              <w:left w:type="dxa" w:w="160"/>
              <w:bottom w:type="dxa" w:w="100"/>
              <w:right w:type="dxa" w:w="160"/>
            </w:tcMar>
          </w:tcPr>
          <w:p>
            <w:r>
              <w:rPr>
                <w:rFonts w:ascii="Arial" w:cs="Arial" w:eastAsia="Arial" w:hAnsi="Arial"/>
                <w:color w:val="1A1A2E"/>
                <w:sz w:val="20"/>
                <w:szCs w:val="20"/>
              </w:rPr>
              <w:t xml:space="preserve">AKELI_COMM_REF01_DIASPORA.md</w:t>
            </w:r>
          </w:p>
        </w:tc>
      </w:tr>
      <w:tr>
        <w:tc>
          <w:tcPr>
            <w:tcW w:type="dxa" w:w="2000"/>
            <w:tcBorders>
              <w:top w:val="single" w:color="D4C5A9" w:sz="1"/>
              <w:left w:val="single" w:color="D4C5A9" w:sz="1"/>
              <w:bottom w:val="single" w:color="D4C5A9" w:sz="1"/>
              <w:right w:val="single" w:color="D4C5A9" w:sz="1"/>
            </w:tcBorders>
            <w:shd w:fill="EDE8DE" w:val="clear"/>
            <w:tcMar>
              <w:top w:type="dxa" w:w="100"/>
              <w:left w:type="dxa" w:w="160"/>
              <w:bottom w:type="dxa" w:w="100"/>
              <w:right w:type="dxa" w:w="160"/>
            </w:tcMar>
          </w:tcPr>
          <w:p>
            <w:r>
              <w:rPr>
                <w:rFonts w:ascii="Arial" w:cs="Arial" w:eastAsia="Arial" w:hAnsi="Arial"/>
                <w:b/>
                <w:bCs/>
                <w:color w:val="1A1A2E"/>
                <w:sz w:val="20"/>
                <w:szCs w:val="20"/>
              </w:rPr>
              <w:t xml:space="preserve">Section</w:t>
            </w:r>
          </w:p>
        </w:tc>
        <w:tc>
          <w:tcPr>
            <w:tcW w:type="dxa" w:w="7360"/>
            <w:tcBorders>
              <w:top w:val="single" w:color="D4C5A9" w:sz="1"/>
              <w:left w:val="single" w:color="D4C5A9" w:sz="1"/>
              <w:bottom w:val="single" w:color="D4C5A9" w:sz="1"/>
              <w:right w:val="single" w:color="D4C5A9" w:sz="1"/>
            </w:tcBorders>
            <w:shd w:fill="F7F4EF" w:val="clear"/>
            <w:tcMar>
              <w:top w:type="dxa" w:w="100"/>
              <w:left w:type="dxa" w:w="160"/>
              <w:bottom w:type="dxa" w:w="100"/>
              <w:right w:type="dxa" w:w="160"/>
            </w:tcMar>
          </w:tcPr>
          <w:p>
            <w:r>
              <w:rPr>
                <w:rFonts w:ascii="Arial" w:cs="Arial" w:eastAsia="Arial" w:hAnsi="Arial"/>
                <w:color w:val="1A1A2E"/>
                <w:sz w:val="20"/>
                <w:szCs w:val="20"/>
              </w:rPr>
              <w:t xml:space="preserve">Profil 3 — Le diasporant identitaire</w:t>
            </w:r>
          </w:p>
        </w:tc>
      </w:tr>
      <w:tr>
        <w:tc>
          <w:tcPr>
            <w:tcW w:type="dxa" w:w="2000"/>
            <w:tcBorders>
              <w:top w:val="single" w:color="D4C5A9" w:sz="1"/>
              <w:left w:val="single" w:color="D4C5A9" w:sz="1"/>
              <w:bottom w:val="single" w:color="D4C5A9" w:sz="1"/>
              <w:right w:val="single" w:color="D4C5A9" w:sz="1"/>
            </w:tcBorders>
            <w:shd w:fill="EDE8DE" w:val="clear"/>
            <w:tcMar>
              <w:top w:type="dxa" w:w="100"/>
              <w:left w:type="dxa" w:w="160"/>
              <w:bottom w:type="dxa" w:w="100"/>
              <w:right w:type="dxa" w:w="160"/>
            </w:tcMar>
          </w:tcPr>
          <w:p>
            <w:r>
              <w:rPr>
                <w:rFonts w:ascii="Arial" w:cs="Arial" w:eastAsia="Arial" w:hAnsi="Arial"/>
                <w:b/>
                <w:bCs/>
                <w:color w:val="1A1A2E"/>
                <w:sz w:val="20"/>
                <w:szCs w:val="20"/>
              </w:rPr>
              <w:t xml:space="preserve">Motif</w:t>
            </w:r>
          </w:p>
        </w:tc>
        <w:tc>
          <w:tcPr>
            <w:tcW w:type="dxa" w:w="7360"/>
            <w:tcBorders>
              <w:top w:val="single" w:color="D4C5A9" w:sz="1"/>
              <w:left w:val="single" w:color="D4C5A9" w:sz="1"/>
              <w:bottom w:val="single" w:color="D4C5A9" w:sz="1"/>
              <w:right w:val="single" w:color="D4C5A9" w:sz="1"/>
            </w:tcBorders>
            <w:shd w:fill="F7F4EF" w:val="clear"/>
            <w:tcMar>
              <w:top w:type="dxa" w:w="100"/>
              <w:left w:type="dxa" w:w="160"/>
              <w:bottom w:type="dxa" w:w="100"/>
              <w:right w:type="dxa" w:w="160"/>
            </w:tcMar>
          </w:tcPr>
          <w:p>
            <w:r>
              <w:rPr>
                <w:rFonts w:ascii="Arial" w:cs="Arial" w:eastAsia="Arial" w:hAnsi="Arial"/>
                <w:color w:val="1A1A2E"/>
                <w:sz w:val="20"/>
                <w:szCs w:val="20"/>
              </w:rPr>
              <w:t xml:space="preserve">La section décrit bien pourquoi le Profil 3 est limité pour Akeli. Elle ne nomme pas encore la mécanique précise : sa séparation sociale d'avec les autres couches de la diaspora l'amène à se croire représentatif alors qu'il est périphérique.</w:t>
            </w:r>
          </w:p>
        </w:tc>
      </w:tr>
      <w:tr>
        <w:tc>
          <w:tcPr>
            <w:tcW w:type="dxa" w:w="2000"/>
            <w:tcBorders>
              <w:top w:val="single" w:color="D4C5A9" w:sz="1"/>
              <w:left w:val="single" w:color="D4C5A9" w:sz="1"/>
              <w:bottom w:val="single" w:color="D4C5A9" w:sz="1"/>
              <w:right w:val="single" w:color="D4C5A9" w:sz="1"/>
            </w:tcBorders>
            <w:shd w:fill="EDE8DE" w:val="clear"/>
            <w:tcMar>
              <w:top w:type="dxa" w:w="100"/>
              <w:left w:type="dxa" w:w="160"/>
              <w:bottom w:type="dxa" w:w="100"/>
              <w:right w:type="dxa" w:w="160"/>
            </w:tcMar>
          </w:tcPr>
          <w:p>
            <w:r>
              <w:rPr>
                <w:rFonts w:ascii="Arial" w:cs="Arial" w:eastAsia="Arial" w:hAnsi="Arial"/>
                <w:b/>
                <w:bCs/>
                <w:color w:val="1A1A2E"/>
                <w:sz w:val="20"/>
                <w:szCs w:val="20"/>
              </w:rPr>
              <w:t xml:space="preserve">Proposition</w:t>
            </w:r>
          </w:p>
        </w:tc>
        <w:tc>
          <w:tcPr>
            <w:tcW w:type="dxa" w:w="7360"/>
            <w:tcBorders>
              <w:top w:val="single" w:color="D4C5A9" w:sz="1"/>
              <w:left w:val="single" w:color="D4C5A9" w:sz="1"/>
              <w:bottom w:val="single" w:color="D4C5A9" w:sz="1"/>
              <w:right w:val="single" w:color="D4C5A9" w:sz="1"/>
            </w:tcBorders>
            <w:shd w:fill="F7F4EF" w:val="clear"/>
            <w:tcMar>
              <w:top w:type="dxa" w:w="100"/>
              <w:left w:type="dxa" w:w="160"/>
              <w:bottom w:type="dxa" w:w="100"/>
              <w:right w:type="dxa" w:w="160"/>
            </w:tcMar>
          </w:tcPr>
          <w:p>
            <w:r>
              <w:rPr>
                <w:rFonts w:ascii="Arial" w:cs="Arial" w:eastAsia="Arial" w:hAnsi="Arial"/>
                <w:color w:val="1A1A2E"/>
                <w:sz w:val="20"/>
                <w:szCs w:val="20"/>
              </w:rPr>
              <w:t xml:space="preserve">Ajouter que le Profil 3 reproduit au sein de la diaspora la même ségrégation sociale que le circuit startup reproduit dans la tech. Son registre — élever, éduquer, expliquer — est perçu comme condescendant par ceux qu'il croit représenter.</w:t>
            </w:r>
          </w:p>
        </w:tc>
      </w:tr>
    </w:tbl>
    <w:p>
      <w:pPr>
        <w:spacing w:after="80" w:before="80"/>
      </w:pPr>
      <w:r>
        <w:t xml:space="preserve"/>
      </w:r>
    </w:p>
    <w:p>
      <w:pPr>
        <w:pBdr>
          <w:bottom w:val="single" w:color="D4C5A9" w:sz="2"/>
        </w:pBdr>
        <w:spacing w:after="200" w:before="200"/>
      </w:pPr>
      <w:r>
        <w:t xml:space="preserve"/>
      </w:r>
    </w:p>
    <w:p>
      <w:pPr>
        <w:pStyle w:val="Heading1"/>
        <w:pBdr>
          <w:bottom w:val="single" w:color="C9A84C" w:sz="4"/>
        </w:pBdr>
        <w:spacing w:after="160" w:before="480"/>
      </w:pPr>
      <w:r>
        <w:rPr>
          <w:rFonts w:ascii="Arial" w:cs="Arial" w:eastAsia="Arial" w:hAnsi="Arial"/>
          <w:b/>
          <w:bCs/>
          <w:color w:val="1A1A2E"/>
          <w:sz w:val="32"/>
          <w:szCs w:val="32"/>
        </w:rPr>
        <w:t xml:space="preserve">II. La référence produit — Bic, Gillette, les produits du quotidien</w:t>
      </w:r>
    </w:p>
    <w:p>
      <w:pPr>
        <w:spacing w:after="120" w:before="60"/>
      </w:pPr>
      <w:r>
        <w:rPr>
          <w:rFonts w:ascii="Arial" w:cs="Arial" w:eastAsia="Arial" w:hAnsi="Arial"/>
          <w:color w:val="1A1A2E"/>
          <w:sz w:val="22"/>
          <w:szCs w:val="22"/>
        </w:rPr>
        <w:t xml:space="preserve">Les vrais concurrents d'Akeli ne sont pas des apps nutrition. Les vraies références produit sont Bic et Gillette — des produits du quotidien à usage répété, accessibles à toutes les classes sociales, dont la valeur est la fiabilité et la constance, pas l'innovation.</w:t>
      </w:r>
    </w:p>
    <w:p>
      <w:pPr>
        <w:spacing w:after="80" w:before="80"/>
      </w:pPr>
      <w:r>
        <w:t xml:space="preserve"/>
      </w:r>
    </w:p>
    <w:p>
      <w:pPr>
        <w:spacing w:after="120" w:before="60"/>
      </w:pPr>
      <w:r>
        <w:rPr>
          <w:rFonts w:ascii="Arial" w:cs="Arial" w:eastAsia="Arial" w:hAnsi="Arial"/>
          <w:color w:val="1A1A2E"/>
          <w:sz w:val="22"/>
          <w:szCs w:val="22"/>
        </w:rPr>
        <w:t xml:space="preserve">Gillette n'a pas inventé le rasage. Bic n'a pas inventé l'écriture. Les gens se rasaient avant Gillette et écrivaient avant Bic. Ces produits ont rendu un geste existant plus simple, plus accessible, plus constant. Ils vendent le même produit avec la même qualité depuis presque 100 ans.</w:t>
      </w:r>
    </w:p>
    <w:p>
      <w:pPr>
        <w:spacing w:after="80" w:before="80"/>
      </w:pPr>
      <w:r>
        <w:t xml:space="preserve"/>
      </w:r>
    </w:p>
    <w:p>
      <w:pPr>
        <w:spacing w:after="120" w:before="60"/>
      </w:pPr>
      <w:r>
        <w:rPr>
          <w:rFonts w:ascii="Arial" w:cs="Arial" w:eastAsia="Arial" w:hAnsi="Arial"/>
          <w:color w:val="1A1A2E"/>
          <w:sz w:val="22"/>
          <w:szCs w:val="22"/>
        </w:rPr>
        <w:t xml:space="preserve">Akeli n'a pas inventé la nutrition africaine. Les gens mangeaient déjà. Ils cuisinaient déjà. Ils adaptaient déjà. Akeli rend ce geste existant plus conscient, plus accessible, plus constant.</w:t>
      </w:r>
    </w:p>
    <w:p>
      <w:pPr>
        <w:spacing w:after="80" w:before="80"/>
      </w:pPr>
      <w:r>
        <w:t xml:space="preserve"/>
      </w:r>
    </w:p>
    <w:p>
      <w:pPr>
        <w:spacing w:after="80" w:before="240"/>
      </w:pPr>
      <w:r>
        <w:rPr>
          <w:rFonts w:ascii="Arial" w:cs="Arial" w:eastAsia="Arial" w:hAnsi="Arial"/>
          <w:b/>
          <w:bCs/>
          <w:color w:val="C9A84C"/>
          <w:sz w:val="22"/>
          <w:szCs w:val="22"/>
        </w:rPr>
        <w:t xml:space="preserve">Les trois principes qui découlent de cette référence</w:t>
      </w:r>
    </w:p>
    <w:p>
      <w:pPr>
        <w:spacing w:after="120" w:before="60"/>
      </w:pPr>
      <w:r>
        <w:rPr>
          <w:rFonts w:ascii="Arial" w:cs="Arial" w:eastAsia="Arial" w:hAnsi="Arial"/>
          <w:color w:val="1A1A2E"/>
          <w:sz w:val="22"/>
          <w:szCs w:val="22"/>
        </w:rPr>
        <w:t xml:space="preserve">1. On ne vend pas une solution à un problème que les gens n'avaient pas — on reconnaît un geste qu'ils font déjà.</w:t>
      </w:r>
    </w:p>
    <w:p>
      <w:pPr>
        <w:spacing w:after="120" w:before="60"/>
      </w:pPr>
      <w:r>
        <w:rPr>
          <w:rFonts w:ascii="Arial" w:cs="Arial" w:eastAsia="Arial" w:hAnsi="Arial"/>
          <w:color w:val="1A1A2E"/>
          <w:sz w:val="22"/>
          <w:szCs w:val="22"/>
        </w:rPr>
        <w:t xml:space="preserve">2. La communication ne promet pas de transformation — elle nomme une réalité existante.</w:t>
      </w:r>
    </w:p>
    <w:p>
      <w:pPr>
        <w:spacing w:after="120" w:before="60"/>
      </w:pPr>
      <w:r>
        <w:rPr>
          <w:rFonts w:ascii="Arial" w:cs="Arial" w:eastAsia="Arial" w:hAnsi="Arial"/>
          <w:color w:val="1A1A2E"/>
          <w:sz w:val="22"/>
          <w:szCs w:val="22"/>
        </w:rPr>
        <w:t xml:space="preserve">3. La constance du message dans le temps est une valeur en soi — Akeli dit la même chose aujourd'hui, dans un an, dans dix ans.</w:t>
      </w:r>
    </w:p>
    <w:p>
      <w:pPr>
        <w:spacing w:after="80" w:before="80"/>
      </w:pPr>
      <w:r>
        <w:t xml:space="preserve"/>
      </w:r>
    </w:p>
    <w:p>
      <w:pPr>
        <w:spacing w:after="120" w:before="60"/>
      </w:pPr>
      <w:r>
        <w:rPr>
          <w:rFonts w:ascii="Arial" w:cs="Arial" w:eastAsia="Arial" w:hAnsi="Arial"/>
          <w:color w:val="1A1A2E"/>
          <w:sz w:val="22"/>
          <w:szCs w:val="22"/>
        </w:rPr>
        <w:t xml:space="preserve">Ce troisième principe a une conséquence directe : chaque contenu produit aujourd'hui doit pouvoir être republié dans cinq ans sans paraître daté.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C5A9" w:sz="1"/>
              <w:left w:val="single" w:color="D4C5A9" w:sz="1"/>
              <w:bottom w:val="single" w:color="D4C5A9" w:sz="1"/>
              <w:right w:val="single" w:color="D4C5A9" w:sz="1"/>
            </w:tcBorders>
            <w:shd w:fill="EDE8DE" w:val="clear"/>
            <w:tcMar>
              <w:top w:type="dxa" w:w="100"/>
              <w:left w:type="dxa" w:w="160"/>
              <w:bottom w:type="dxa" w:w="100"/>
              <w:right w:type="dxa" w:w="160"/>
            </w:tcMar>
          </w:tcPr>
          <w:p>
            <w:r>
              <w:rPr>
                <w:rFonts w:ascii="Arial" w:cs="Arial" w:eastAsia="Arial" w:hAnsi="Arial"/>
                <w:b/>
                <w:bCs/>
                <w:color w:val="1A1A2E"/>
                <w:sz w:val="20"/>
                <w:szCs w:val="20"/>
              </w:rPr>
              <w:t xml:space="preserve">Action</w:t>
            </w:r>
          </w:p>
        </w:tc>
        <w:tc>
          <w:tcPr>
            <w:tcW w:type="dxa" w:w="7360"/>
            <w:tcBorders>
              <w:top w:val="single" w:color="D4C5A9" w:sz="1"/>
              <w:left w:val="single" w:color="D4C5A9" w:sz="1"/>
              <w:bottom w:val="single" w:color="D4C5A9" w:sz="1"/>
              <w:right w:val="single" w:color="D4C5A9" w:sz="1"/>
            </w:tcBorders>
            <w:shd w:fill="F7F4EF" w:val="clear"/>
            <w:tcMar>
              <w:top w:type="dxa" w:w="100"/>
              <w:left w:type="dxa" w:w="160"/>
              <w:bottom w:type="dxa" w:w="100"/>
              <w:right w:type="dxa" w:w="160"/>
            </w:tcMar>
          </w:tcPr>
          <w:p>
            <w:r>
              <w:rPr>
                <w:rFonts w:ascii="Arial" w:cs="Arial" w:eastAsia="Arial" w:hAnsi="Arial"/>
                <w:b/>
                <w:bCs/>
                <w:color w:val="2D6A4F"/>
                <w:sz w:val="20"/>
                <w:szCs w:val="20"/>
              </w:rPr>
              <w:t xml:space="preserve">CREATE</w:t>
            </w:r>
          </w:p>
        </w:tc>
      </w:tr>
      <w:tr>
        <w:tc>
          <w:tcPr>
            <w:tcW w:type="dxa" w:w="2000"/>
            <w:tcBorders>
              <w:top w:val="single" w:color="D4C5A9" w:sz="1"/>
              <w:left w:val="single" w:color="D4C5A9" w:sz="1"/>
              <w:bottom w:val="single" w:color="D4C5A9" w:sz="1"/>
              <w:right w:val="single" w:color="D4C5A9" w:sz="1"/>
            </w:tcBorders>
            <w:shd w:fill="EDE8DE" w:val="clear"/>
            <w:tcMar>
              <w:top w:type="dxa" w:w="100"/>
              <w:left w:type="dxa" w:w="160"/>
              <w:bottom w:type="dxa" w:w="100"/>
              <w:right w:type="dxa" w:w="160"/>
            </w:tcMar>
          </w:tcPr>
          <w:p>
            <w:r>
              <w:rPr>
                <w:rFonts w:ascii="Arial" w:cs="Arial" w:eastAsia="Arial" w:hAnsi="Arial"/>
                <w:b/>
                <w:bCs/>
                <w:color w:val="1A1A2E"/>
                <w:sz w:val="20"/>
                <w:szCs w:val="20"/>
              </w:rPr>
              <w:t xml:space="preserve">Document</w:t>
            </w:r>
          </w:p>
        </w:tc>
        <w:tc>
          <w:tcPr>
            <w:tcW w:type="dxa" w:w="7360"/>
            <w:tcBorders>
              <w:top w:val="single" w:color="D4C5A9" w:sz="1"/>
              <w:left w:val="single" w:color="D4C5A9" w:sz="1"/>
              <w:bottom w:val="single" w:color="D4C5A9" w:sz="1"/>
              <w:right w:val="single" w:color="D4C5A9" w:sz="1"/>
            </w:tcBorders>
            <w:shd w:fill="F7F4EF" w:val="clear"/>
            <w:tcMar>
              <w:top w:type="dxa" w:w="100"/>
              <w:left w:type="dxa" w:w="160"/>
              <w:bottom w:type="dxa" w:w="100"/>
              <w:right w:type="dxa" w:w="160"/>
            </w:tcMar>
          </w:tcPr>
          <w:p>
            <w:r>
              <w:rPr>
                <w:rFonts w:ascii="Arial" w:cs="Arial" w:eastAsia="Arial" w:hAnsi="Arial"/>
                <w:color w:val="1A1A2E"/>
                <w:sz w:val="20"/>
                <w:szCs w:val="20"/>
              </w:rPr>
              <w:t xml:space="preserve">AKELI_COMM_REF03_VISION_CONTEXTE.md</w:t>
            </w:r>
          </w:p>
        </w:tc>
      </w:tr>
      <w:tr>
        <w:tc>
          <w:tcPr>
            <w:tcW w:type="dxa" w:w="2000"/>
            <w:tcBorders>
              <w:top w:val="single" w:color="D4C5A9" w:sz="1"/>
              <w:left w:val="single" w:color="D4C5A9" w:sz="1"/>
              <w:bottom w:val="single" w:color="D4C5A9" w:sz="1"/>
              <w:right w:val="single" w:color="D4C5A9" w:sz="1"/>
            </w:tcBorders>
            <w:shd w:fill="EDE8DE" w:val="clear"/>
            <w:tcMar>
              <w:top w:type="dxa" w:w="100"/>
              <w:left w:type="dxa" w:w="160"/>
              <w:bottom w:type="dxa" w:w="100"/>
              <w:right w:type="dxa" w:w="160"/>
            </w:tcMar>
          </w:tcPr>
          <w:p>
            <w:r>
              <w:rPr>
                <w:rFonts w:ascii="Arial" w:cs="Arial" w:eastAsia="Arial" w:hAnsi="Arial"/>
                <w:b/>
                <w:bCs/>
                <w:color w:val="1A1A2E"/>
                <w:sz w:val="20"/>
                <w:szCs w:val="20"/>
              </w:rPr>
              <w:t xml:space="preserve">Section</w:t>
            </w:r>
          </w:p>
        </w:tc>
        <w:tc>
          <w:tcPr>
            <w:tcW w:type="dxa" w:w="7360"/>
            <w:tcBorders>
              <w:top w:val="single" w:color="D4C5A9" w:sz="1"/>
              <w:left w:val="single" w:color="D4C5A9" w:sz="1"/>
              <w:bottom w:val="single" w:color="D4C5A9" w:sz="1"/>
              <w:right w:val="single" w:color="D4C5A9" w:sz="1"/>
            </w:tcBorders>
            <w:shd w:fill="F7F4EF" w:val="clear"/>
            <w:tcMar>
              <w:top w:type="dxa" w:w="100"/>
              <w:left w:type="dxa" w:w="160"/>
              <w:bottom w:type="dxa" w:w="100"/>
              <w:right w:type="dxa" w:w="160"/>
            </w:tcMar>
          </w:tcPr>
          <w:p>
            <w:r>
              <w:rPr>
                <w:rFonts w:ascii="Arial" w:cs="Arial" w:eastAsia="Arial" w:hAnsi="Arial"/>
                <w:color w:val="1A1A2E"/>
                <w:sz w:val="20"/>
                <w:szCs w:val="20"/>
              </w:rPr>
              <w:t xml:space="preserve">Les vraies références produit — Bic, Gillette, les produits du quotidien</w:t>
            </w:r>
          </w:p>
        </w:tc>
      </w:tr>
      <w:tr>
        <w:tc>
          <w:tcPr>
            <w:tcW w:type="dxa" w:w="2000"/>
            <w:tcBorders>
              <w:top w:val="single" w:color="D4C5A9" w:sz="1"/>
              <w:left w:val="single" w:color="D4C5A9" w:sz="1"/>
              <w:bottom w:val="single" w:color="D4C5A9" w:sz="1"/>
              <w:right w:val="single" w:color="D4C5A9" w:sz="1"/>
            </w:tcBorders>
            <w:shd w:fill="EDE8DE" w:val="clear"/>
            <w:tcMar>
              <w:top w:type="dxa" w:w="100"/>
              <w:left w:type="dxa" w:w="160"/>
              <w:bottom w:type="dxa" w:w="100"/>
              <w:right w:type="dxa" w:w="160"/>
            </w:tcMar>
          </w:tcPr>
          <w:p>
            <w:r>
              <w:rPr>
                <w:rFonts w:ascii="Arial" w:cs="Arial" w:eastAsia="Arial" w:hAnsi="Arial"/>
                <w:b/>
                <w:bCs/>
                <w:color w:val="1A1A2E"/>
                <w:sz w:val="20"/>
                <w:szCs w:val="20"/>
              </w:rPr>
              <w:t xml:space="preserve">Motif</w:t>
            </w:r>
          </w:p>
        </w:tc>
        <w:tc>
          <w:tcPr>
            <w:tcW w:type="dxa" w:w="7360"/>
            <w:tcBorders>
              <w:top w:val="single" w:color="D4C5A9" w:sz="1"/>
              <w:left w:val="single" w:color="D4C5A9" w:sz="1"/>
              <w:bottom w:val="single" w:color="D4C5A9" w:sz="1"/>
              <w:right w:val="single" w:color="D4C5A9" w:sz="1"/>
            </w:tcBorders>
            <w:shd w:fill="F7F4EF" w:val="clear"/>
            <w:tcMar>
              <w:top w:type="dxa" w:w="100"/>
              <w:left w:type="dxa" w:w="160"/>
              <w:bottom w:type="dxa" w:w="100"/>
              <w:right w:type="dxa" w:w="160"/>
            </w:tcMar>
          </w:tcPr>
          <w:p>
            <w:r>
              <w:rPr>
                <w:rFonts w:ascii="Arial" w:cs="Arial" w:eastAsia="Arial" w:hAnsi="Arial"/>
                <w:color w:val="1A1A2E"/>
                <w:sz w:val="20"/>
                <w:szCs w:val="20"/>
              </w:rPr>
              <w:t xml:space="preserve">Le positionnement concurrentiel d'Akeli est mal cadré si on le compare aux apps nutrition ou aux startups wellness. Les vraies références sont les produits du quotidien à usage répété, accessibles à toutes les classes sociales.</w:t>
            </w:r>
          </w:p>
        </w:tc>
      </w:tr>
      <w:tr>
        <w:tc>
          <w:tcPr>
            <w:tcW w:type="dxa" w:w="2000"/>
            <w:tcBorders>
              <w:top w:val="single" w:color="D4C5A9" w:sz="1"/>
              <w:left w:val="single" w:color="D4C5A9" w:sz="1"/>
              <w:bottom w:val="single" w:color="D4C5A9" w:sz="1"/>
              <w:right w:val="single" w:color="D4C5A9" w:sz="1"/>
            </w:tcBorders>
            <w:shd w:fill="EDE8DE" w:val="clear"/>
            <w:tcMar>
              <w:top w:type="dxa" w:w="100"/>
              <w:left w:type="dxa" w:w="160"/>
              <w:bottom w:type="dxa" w:w="100"/>
              <w:right w:type="dxa" w:w="160"/>
            </w:tcMar>
          </w:tcPr>
          <w:p>
            <w:r>
              <w:rPr>
                <w:rFonts w:ascii="Arial" w:cs="Arial" w:eastAsia="Arial" w:hAnsi="Arial"/>
                <w:b/>
                <w:bCs/>
                <w:color w:val="1A1A2E"/>
                <w:sz w:val="20"/>
                <w:szCs w:val="20"/>
              </w:rPr>
              <w:t xml:space="preserve">Proposition</w:t>
            </w:r>
          </w:p>
        </w:tc>
        <w:tc>
          <w:tcPr>
            <w:tcW w:type="dxa" w:w="7360"/>
            <w:tcBorders>
              <w:top w:val="single" w:color="D4C5A9" w:sz="1"/>
              <w:left w:val="single" w:color="D4C5A9" w:sz="1"/>
              <w:bottom w:val="single" w:color="D4C5A9" w:sz="1"/>
              <w:right w:val="single" w:color="D4C5A9" w:sz="1"/>
            </w:tcBorders>
            <w:shd w:fill="F7F4EF" w:val="clear"/>
            <w:tcMar>
              <w:top w:type="dxa" w:w="100"/>
              <w:left w:type="dxa" w:w="160"/>
              <w:bottom w:type="dxa" w:w="100"/>
              <w:right w:type="dxa" w:w="160"/>
            </w:tcMar>
          </w:tcPr>
          <w:p>
            <w:r>
              <w:rPr>
                <w:rFonts w:ascii="Arial" w:cs="Arial" w:eastAsia="Arial" w:hAnsi="Arial"/>
                <w:color w:val="1A1A2E"/>
                <w:sz w:val="20"/>
                <w:szCs w:val="20"/>
              </w:rPr>
              <w:t xml:space="preserve">Documenter que la référence produit d'Akeli est le produit du quotidien — présent, fiable, non spectaculaire. Pas de promesse de transformation, pas de before/after, pas de langage d'aspiration. La reconnaissance d'un besoin réel, résolu simplement, chaque jour.</w:t>
            </w:r>
          </w:p>
        </w:tc>
      </w:tr>
    </w:tbl>
    <w:p>
      <w:pPr>
        <w:spacing w:after="80" w:before="80"/>
      </w:pPr>
      <w:r>
        <w:t xml:space="preserve"/>
      </w:r>
    </w:p>
    <w:p>
      <w:pPr>
        <w:pBdr>
          <w:bottom w:val="single" w:color="D4C5A9" w:sz="2"/>
        </w:pBdr>
        <w:spacing w:after="200" w:before="200"/>
      </w:pPr>
      <w:r>
        <w:t xml:space="preserve"/>
      </w:r>
    </w:p>
    <w:p>
      <w:pPr>
        <w:pStyle w:val="Heading1"/>
        <w:pBdr>
          <w:bottom w:val="single" w:color="C9A84C" w:sz="4"/>
        </w:pBdr>
        <w:spacing w:after="160" w:before="480"/>
      </w:pPr>
      <w:r>
        <w:rPr>
          <w:rFonts w:ascii="Arial" w:cs="Arial" w:eastAsia="Arial" w:hAnsi="Arial"/>
          <w:b/>
          <w:bCs/>
          <w:color w:val="1A1A2E"/>
          <w:sz w:val="32"/>
          <w:szCs w:val="32"/>
        </w:rPr>
        <w:t xml:space="preserve">III. Akeli ne se positionne pas — il est</w:t>
      </w:r>
    </w:p>
    <w:p>
      <w:pPr>
        <w:pBdr>
          <w:left w:val="single" w:color="C9A84C" w:sz="12"/>
        </w:pBdr>
        <w:spacing w:after="160" w:before="160"/>
        <w:ind w:left="720"/>
      </w:pPr>
      <w:r>
        <w:rPr>
          <w:rFonts w:ascii="Arial" w:cs="Arial" w:eastAsia="Arial" w:hAnsi="Arial"/>
          <w:i/>
          <w:iCs/>
          <w:color w:val="555555"/>
          <w:sz w:val="22"/>
          <w:szCs w:val="22"/>
        </w:rPr>
        <w:t xml:space="preserve">Il vaut mieux être soi que de dire en moins bien ce que les autres ont déjà dit.</w:t>
      </w:r>
    </w:p>
    <w:p>
      <w:pPr>
        <w:spacing w:after="80" w:before="80"/>
      </w:pPr>
      <w:r>
        <w:t xml:space="preserve"/>
      </w:r>
    </w:p>
    <w:p>
      <w:pPr>
        <w:spacing w:after="120" w:before="60"/>
      </w:pPr>
      <w:r>
        <w:rPr>
          <w:rFonts w:ascii="Arial" w:cs="Arial" w:eastAsia="Arial" w:hAnsi="Arial"/>
          <w:color w:val="1A1A2E"/>
          <w:sz w:val="22"/>
          <w:szCs w:val="22"/>
        </w:rPr>
        <w:t xml:space="preserve">Se démarquer suppose qu'on regarde l'autre pour savoir où se placer. Être soi suppose qu'on n'a pas besoin de regarder l'autre du tout. La deuxième posture est non seulement plus juste — elle est plus solide dans le temps. On ne peut pas copier ce qu'on ne comprend pas de l'intérieur.</w:t>
      </w:r>
    </w:p>
    <w:p>
      <w:pPr>
        <w:spacing w:after="80" w:before="80"/>
      </w:pPr>
      <w:r>
        <w:t xml:space="preserve"/>
      </w:r>
    </w:p>
    <w:p>
      <w:pPr>
        <w:spacing w:after="120" w:before="60"/>
      </w:pPr>
      <w:r>
        <w:rPr>
          <w:rFonts w:ascii="Arial" w:cs="Arial" w:eastAsia="Arial" w:hAnsi="Arial"/>
          <w:color w:val="1A1A2E"/>
          <w:sz w:val="22"/>
          <w:szCs w:val="22"/>
        </w:rPr>
        <w:t xml:space="preserve">Les concurrents d'Akeli sont issus de la couche aisée visible. Mais Akeli n'a pas à se démarquer à proprement parler — seulement à être ce qu'il est. Chaque fois qu'on serait tenté de formuler un contenu qui commence par 'contrairement à d'autres outils' ou 'enfin une solution qui', c'est le signe qu'on a glissé hors de la posture.</w:t>
      </w:r>
    </w:p>
    <w:p>
      <w:pPr>
        <w:spacing w:after="80" w:before="80"/>
      </w:pPr>
      <w:r>
        <w:t xml:space="preserve"/>
      </w:r>
    </w:p>
    <w:p>
      <w:pPr>
        <w:spacing w:after="120" w:before="60"/>
      </w:pPr>
      <w:r>
        <w:rPr>
          <w:rFonts w:ascii="Arial" w:cs="Arial" w:eastAsia="Arial" w:hAnsi="Arial"/>
          <w:color w:val="1A1A2E"/>
          <w:sz w:val="22"/>
          <w:szCs w:val="22"/>
        </w:rPr>
        <w:t xml:space="preserve">La bonne question n'est jamais 'comment sommes-nous différents' mais 'qu'est-ce qui est vrai ici, maintenant, pour ces gens'.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C5A9" w:sz="1"/>
              <w:left w:val="single" w:color="D4C5A9" w:sz="1"/>
              <w:bottom w:val="single" w:color="D4C5A9" w:sz="1"/>
              <w:right w:val="single" w:color="D4C5A9" w:sz="1"/>
            </w:tcBorders>
            <w:shd w:fill="EDE8DE" w:val="clear"/>
            <w:tcMar>
              <w:top w:type="dxa" w:w="100"/>
              <w:left w:type="dxa" w:w="160"/>
              <w:bottom w:type="dxa" w:w="100"/>
              <w:right w:type="dxa" w:w="160"/>
            </w:tcMar>
          </w:tcPr>
          <w:p>
            <w:r>
              <w:rPr>
                <w:rFonts w:ascii="Arial" w:cs="Arial" w:eastAsia="Arial" w:hAnsi="Arial"/>
                <w:b/>
                <w:bCs/>
                <w:color w:val="1A1A2E"/>
                <w:sz w:val="20"/>
                <w:szCs w:val="20"/>
              </w:rPr>
              <w:t xml:space="preserve">Action</w:t>
            </w:r>
          </w:p>
        </w:tc>
        <w:tc>
          <w:tcPr>
            <w:tcW w:type="dxa" w:w="7360"/>
            <w:tcBorders>
              <w:top w:val="single" w:color="D4C5A9" w:sz="1"/>
              <w:left w:val="single" w:color="D4C5A9" w:sz="1"/>
              <w:bottom w:val="single" w:color="D4C5A9" w:sz="1"/>
              <w:right w:val="single" w:color="D4C5A9" w:sz="1"/>
            </w:tcBorders>
            <w:shd w:fill="F7F4EF" w:val="clear"/>
            <w:tcMar>
              <w:top w:type="dxa" w:w="100"/>
              <w:left w:type="dxa" w:w="160"/>
              <w:bottom w:type="dxa" w:w="100"/>
              <w:right w:type="dxa" w:w="160"/>
            </w:tcMar>
          </w:tcPr>
          <w:p>
            <w:r>
              <w:rPr>
                <w:rFonts w:ascii="Arial" w:cs="Arial" w:eastAsia="Arial" w:hAnsi="Arial"/>
                <w:b/>
                <w:bCs/>
                <w:color w:val="2D6A4F"/>
                <w:sz w:val="20"/>
                <w:szCs w:val="20"/>
              </w:rPr>
              <w:t xml:space="preserve">CREATE</w:t>
            </w:r>
          </w:p>
        </w:tc>
      </w:tr>
      <w:tr>
        <w:tc>
          <w:tcPr>
            <w:tcW w:type="dxa" w:w="2000"/>
            <w:tcBorders>
              <w:top w:val="single" w:color="D4C5A9" w:sz="1"/>
              <w:left w:val="single" w:color="D4C5A9" w:sz="1"/>
              <w:bottom w:val="single" w:color="D4C5A9" w:sz="1"/>
              <w:right w:val="single" w:color="D4C5A9" w:sz="1"/>
            </w:tcBorders>
            <w:shd w:fill="EDE8DE" w:val="clear"/>
            <w:tcMar>
              <w:top w:type="dxa" w:w="100"/>
              <w:left w:type="dxa" w:w="160"/>
              <w:bottom w:type="dxa" w:w="100"/>
              <w:right w:type="dxa" w:w="160"/>
            </w:tcMar>
          </w:tcPr>
          <w:p>
            <w:r>
              <w:rPr>
                <w:rFonts w:ascii="Arial" w:cs="Arial" w:eastAsia="Arial" w:hAnsi="Arial"/>
                <w:b/>
                <w:bCs/>
                <w:color w:val="1A1A2E"/>
                <w:sz w:val="20"/>
                <w:szCs w:val="20"/>
              </w:rPr>
              <w:t xml:space="preserve">Document</w:t>
            </w:r>
          </w:p>
        </w:tc>
        <w:tc>
          <w:tcPr>
            <w:tcW w:type="dxa" w:w="7360"/>
            <w:tcBorders>
              <w:top w:val="single" w:color="D4C5A9" w:sz="1"/>
              <w:left w:val="single" w:color="D4C5A9" w:sz="1"/>
              <w:bottom w:val="single" w:color="D4C5A9" w:sz="1"/>
              <w:right w:val="single" w:color="D4C5A9" w:sz="1"/>
            </w:tcBorders>
            <w:shd w:fill="F7F4EF" w:val="clear"/>
            <w:tcMar>
              <w:top w:type="dxa" w:w="100"/>
              <w:left w:type="dxa" w:w="160"/>
              <w:bottom w:type="dxa" w:w="100"/>
              <w:right w:type="dxa" w:w="160"/>
            </w:tcMar>
          </w:tcPr>
          <w:p>
            <w:r>
              <w:rPr>
                <w:rFonts w:ascii="Arial" w:cs="Arial" w:eastAsia="Arial" w:hAnsi="Arial"/>
                <w:color w:val="1A1A2E"/>
                <w:sz w:val="20"/>
                <w:szCs w:val="20"/>
              </w:rPr>
              <w:t xml:space="preserve">AKELI_COMM_REF04_POSTURE_PROTOCOLE.md</w:t>
            </w:r>
          </w:p>
        </w:tc>
      </w:tr>
      <w:tr>
        <w:tc>
          <w:tcPr>
            <w:tcW w:type="dxa" w:w="2000"/>
            <w:tcBorders>
              <w:top w:val="single" w:color="D4C5A9" w:sz="1"/>
              <w:left w:val="single" w:color="D4C5A9" w:sz="1"/>
              <w:bottom w:val="single" w:color="D4C5A9" w:sz="1"/>
              <w:right w:val="single" w:color="D4C5A9" w:sz="1"/>
            </w:tcBorders>
            <w:shd w:fill="EDE8DE" w:val="clear"/>
            <w:tcMar>
              <w:top w:type="dxa" w:w="100"/>
              <w:left w:type="dxa" w:w="160"/>
              <w:bottom w:type="dxa" w:w="100"/>
              <w:right w:type="dxa" w:w="160"/>
            </w:tcMar>
          </w:tcPr>
          <w:p>
            <w:r>
              <w:rPr>
                <w:rFonts w:ascii="Arial" w:cs="Arial" w:eastAsia="Arial" w:hAnsi="Arial"/>
                <w:b/>
                <w:bCs/>
                <w:color w:val="1A1A2E"/>
                <w:sz w:val="20"/>
                <w:szCs w:val="20"/>
              </w:rPr>
              <w:t xml:space="preserve">Section</w:t>
            </w:r>
          </w:p>
        </w:tc>
        <w:tc>
          <w:tcPr>
            <w:tcW w:type="dxa" w:w="7360"/>
            <w:tcBorders>
              <w:top w:val="single" w:color="D4C5A9" w:sz="1"/>
              <w:left w:val="single" w:color="D4C5A9" w:sz="1"/>
              <w:bottom w:val="single" w:color="D4C5A9" w:sz="1"/>
              <w:right w:val="single" w:color="D4C5A9" w:sz="1"/>
            </w:tcBorders>
            <w:shd w:fill="F7F4EF" w:val="clear"/>
            <w:tcMar>
              <w:top w:type="dxa" w:w="100"/>
              <w:left w:type="dxa" w:w="160"/>
              <w:bottom w:type="dxa" w:w="100"/>
              <w:right w:type="dxa" w:w="160"/>
            </w:tcMar>
          </w:tcPr>
          <w:p>
            <w:r>
              <w:rPr>
                <w:rFonts w:ascii="Arial" w:cs="Arial" w:eastAsia="Arial" w:hAnsi="Arial"/>
                <w:color w:val="1A1A2E"/>
                <w:sz w:val="20"/>
                <w:szCs w:val="20"/>
              </w:rPr>
              <w:t xml:space="preserve">Positionnement — pourquoi Akeli ne se compare pas</w:t>
            </w:r>
          </w:p>
        </w:tc>
      </w:tr>
      <w:tr>
        <w:tc>
          <w:tcPr>
            <w:tcW w:type="dxa" w:w="2000"/>
            <w:tcBorders>
              <w:top w:val="single" w:color="D4C5A9" w:sz="1"/>
              <w:left w:val="single" w:color="D4C5A9" w:sz="1"/>
              <w:bottom w:val="single" w:color="D4C5A9" w:sz="1"/>
              <w:right w:val="single" w:color="D4C5A9" w:sz="1"/>
            </w:tcBorders>
            <w:shd w:fill="EDE8DE" w:val="clear"/>
            <w:tcMar>
              <w:top w:type="dxa" w:w="100"/>
              <w:left w:type="dxa" w:w="160"/>
              <w:bottom w:type="dxa" w:w="100"/>
              <w:right w:type="dxa" w:w="160"/>
            </w:tcMar>
          </w:tcPr>
          <w:p>
            <w:r>
              <w:rPr>
                <w:rFonts w:ascii="Arial" w:cs="Arial" w:eastAsia="Arial" w:hAnsi="Arial"/>
                <w:b/>
                <w:bCs/>
                <w:color w:val="1A1A2E"/>
                <w:sz w:val="20"/>
                <w:szCs w:val="20"/>
              </w:rPr>
              <w:t xml:space="preserve">Motif</w:t>
            </w:r>
          </w:p>
        </w:tc>
        <w:tc>
          <w:tcPr>
            <w:tcW w:type="dxa" w:w="7360"/>
            <w:tcBorders>
              <w:top w:val="single" w:color="D4C5A9" w:sz="1"/>
              <w:left w:val="single" w:color="D4C5A9" w:sz="1"/>
              <w:bottom w:val="single" w:color="D4C5A9" w:sz="1"/>
              <w:right w:val="single" w:color="D4C5A9" w:sz="1"/>
            </w:tcBorders>
            <w:shd w:fill="F7F4EF" w:val="clear"/>
            <w:tcMar>
              <w:top w:type="dxa" w:w="100"/>
              <w:left w:type="dxa" w:w="160"/>
              <w:bottom w:type="dxa" w:w="100"/>
              <w:right w:type="dxa" w:w="160"/>
            </w:tcMar>
          </w:tcPr>
          <w:p>
            <w:r>
              <w:rPr>
                <w:rFonts w:ascii="Arial" w:cs="Arial" w:eastAsia="Arial" w:hAnsi="Arial"/>
                <w:color w:val="1A1A2E"/>
                <w:sz w:val="20"/>
                <w:szCs w:val="20"/>
              </w:rPr>
              <w:t xml:space="preserve">La documentation couvre la posture de contenu. Elle ne documente pas encore la règle stratégique qui interdit la posture comparative.</w:t>
            </w:r>
          </w:p>
        </w:tc>
      </w:tr>
      <w:tr>
        <w:tc>
          <w:tcPr>
            <w:tcW w:type="dxa" w:w="2000"/>
            <w:tcBorders>
              <w:top w:val="single" w:color="D4C5A9" w:sz="1"/>
              <w:left w:val="single" w:color="D4C5A9" w:sz="1"/>
              <w:bottom w:val="single" w:color="D4C5A9" w:sz="1"/>
              <w:right w:val="single" w:color="D4C5A9" w:sz="1"/>
            </w:tcBorders>
            <w:shd w:fill="EDE8DE" w:val="clear"/>
            <w:tcMar>
              <w:top w:type="dxa" w:w="100"/>
              <w:left w:type="dxa" w:w="160"/>
              <w:bottom w:type="dxa" w:w="100"/>
              <w:right w:type="dxa" w:w="160"/>
            </w:tcMar>
          </w:tcPr>
          <w:p>
            <w:r>
              <w:rPr>
                <w:rFonts w:ascii="Arial" w:cs="Arial" w:eastAsia="Arial" w:hAnsi="Arial"/>
                <w:b/>
                <w:bCs/>
                <w:color w:val="1A1A2E"/>
                <w:sz w:val="20"/>
                <w:szCs w:val="20"/>
              </w:rPr>
              <w:t xml:space="preserve">Proposition</w:t>
            </w:r>
          </w:p>
        </w:tc>
        <w:tc>
          <w:tcPr>
            <w:tcW w:type="dxa" w:w="7360"/>
            <w:tcBorders>
              <w:top w:val="single" w:color="D4C5A9" w:sz="1"/>
              <w:left w:val="single" w:color="D4C5A9" w:sz="1"/>
              <w:bottom w:val="single" w:color="D4C5A9" w:sz="1"/>
              <w:right w:val="single" w:color="D4C5A9" w:sz="1"/>
            </w:tcBorders>
            <w:shd w:fill="F7F4EF" w:val="clear"/>
            <w:tcMar>
              <w:top w:type="dxa" w:w="100"/>
              <w:left w:type="dxa" w:w="160"/>
              <w:bottom w:type="dxa" w:w="100"/>
              <w:right w:type="dxa" w:w="160"/>
            </w:tcMar>
          </w:tcPr>
          <w:p>
            <w:r>
              <w:rPr>
                <w:rFonts w:ascii="Arial" w:cs="Arial" w:eastAsia="Arial" w:hAnsi="Arial"/>
                <w:color w:val="1A1A2E"/>
                <w:sz w:val="20"/>
                <w:szCs w:val="20"/>
              </w:rPr>
              <w:t xml:space="preserve">Documenter le principe tel que formulé par Curtis : 'Il vaut mieux être soi que de dire en moins bien ce que les autres ont déjà dit.' Akeli ne se positionne pas par rapport à ses concurrents. Il fait ce que lui seul peut faire — parce que la proximité qui fonde sa voix ne s'imite pas.</w:t>
            </w:r>
          </w:p>
        </w:tc>
      </w:tr>
    </w:tbl>
    <w:p>
      <w:pPr>
        <w:spacing w:after="80" w:before="80"/>
      </w:pPr>
      <w:r>
        <w:t xml:space="preserve"/>
      </w:r>
    </w:p>
    <w:p>
      <w:pPr>
        <w:pBdr>
          <w:bottom w:val="single" w:color="D4C5A9" w:sz="2"/>
        </w:pBdr>
        <w:spacing w:after="200" w:before="200"/>
      </w:pPr>
      <w:r>
        <w:t xml:space="preserve"/>
      </w:r>
    </w:p>
    <w:p>
      <w:pPr>
        <w:pStyle w:val="Heading1"/>
        <w:pBdr>
          <w:bottom w:val="single" w:color="C9A84C" w:sz="4"/>
        </w:pBdr>
        <w:spacing w:after="160" w:before="480"/>
      </w:pPr>
      <w:r>
        <w:rPr>
          <w:rFonts w:ascii="Arial" w:cs="Arial" w:eastAsia="Arial" w:hAnsi="Arial"/>
          <w:b/>
          <w:bCs/>
          <w:color w:val="1A1A2E"/>
          <w:sz w:val="32"/>
          <w:szCs w:val="32"/>
        </w:rPr>
        <w:t xml:space="preserve">IV. La permanence comme fondation</w:t>
      </w:r>
    </w:p>
    <w:p>
      <w:pPr>
        <w:spacing w:after="120" w:before="60"/>
      </w:pPr>
      <w:r>
        <w:rPr>
          <w:rFonts w:ascii="Arial" w:cs="Arial" w:eastAsia="Arial" w:hAnsi="Arial"/>
          <w:color w:val="1A1A2E"/>
          <w:sz w:val="22"/>
          <w:szCs w:val="22"/>
        </w:rPr>
        <w:t xml:space="preserve">Akeli n'est pas le représentant de qui que ce soit. Il ne crée pas de mouvement. Il est la tentative de manifestation de ce qui a toujours été et ce qui sera.</w:t>
      </w:r>
    </w:p>
    <w:p>
      <w:pPr>
        <w:spacing w:after="80" w:before="80"/>
      </w:pPr>
      <w:r>
        <w:t xml:space="preserve"/>
      </w:r>
    </w:p>
    <w:p>
      <w:pPr>
        <w:spacing w:after="120" w:before="60"/>
      </w:pPr>
      <w:r>
        <w:rPr>
          <w:rFonts w:ascii="Arial" w:cs="Arial" w:eastAsia="Arial" w:hAnsi="Arial"/>
          <w:color w:val="1A1A2E"/>
          <w:sz w:val="22"/>
          <w:szCs w:val="22"/>
        </w:rPr>
        <w:t xml:space="preserve">Les élites ont pour caractéristique de s'élever et de tomber. Le peuple est une constante. La plupart des populations n'ont pas bougé ou évolué génétiquement depuis au moins 5000 ans. On retrouve des Français en France, des Chinois en Chine, des Indiens en Inde d'aussi loin qu'on puisse retrouver des traces.</w:t>
      </w:r>
    </w:p>
    <w:p>
      <w:pPr>
        <w:spacing w:after="80" w:before="80"/>
      </w:pPr>
      <w:r>
        <w:t xml:space="preserve"/>
      </w:r>
    </w:p>
    <w:p>
      <w:pPr>
        <w:spacing w:after="120" w:before="60"/>
      </w:pPr>
      <w:r>
        <w:rPr>
          <w:rFonts w:ascii="Arial" w:cs="Arial" w:eastAsia="Arial" w:hAnsi="Arial"/>
          <w:color w:val="1A1A2E"/>
          <w:sz w:val="22"/>
          <w:szCs w:val="22"/>
        </w:rPr>
        <w:t xml:space="preserve">Cette constance et permanence caractérise les gens communs qui préfèrent ce qui a toujours été à la nouveauté. Se rattacher à ce qu'ils connaissent comme valeur sûre et testée par le temps.</w:t>
      </w:r>
    </w:p>
    <w:p>
      <w:pPr>
        <w:spacing w:after="80" w:before="80"/>
      </w:pPr>
      <w:r>
        <w:t xml:space="preserve"/>
      </w:r>
    </w:p>
    <w:p>
      <w:pPr>
        <w:spacing w:after="80" w:before="240"/>
      </w:pPr>
      <w:r>
        <w:rPr>
          <w:rFonts w:ascii="Arial" w:cs="Arial" w:eastAsia="Arial" w:hAnsi="Arial"/>
          <w:b/>
          <w:bCs/>
          <w:color w:val="C9A84C"/>
          <w:sz w:val="22"/>
          <w:szCs w:val="22"/>
        </w:rPr>
        <w:t xml:space="preserve">Conséquence directe pour la communication</w:t>
      </w:r>
    </w:p>
    <w:p>
      <w:pPr>
        <w:spacing w:after="120" w:before="60"/>
      </w:pPr>
      <w:r>
        <w:rPr>
          <w:rFonts w:ascii="Arial" w:cs="Arial" w:eastAsia="Arial" w:hAnsi="Arial"/>
          <w:color w:val="1A1A2E"/>
          <w:sz w:val="22"/>
          <w:szCs w:val="22"/>
        </w:rPr>
        <w:t xml:space="preserve">Akeli ne propose pas quelque chose de nouveau. Il révèle quelque chose d'ancien qui a toujours fonctionné. La différence n'est pas sémantique — elle détermine comment on parle, à qui on parle, et pourquoi ces gens font confiance.</w:t>
      </w:r>
    </w:p>
    <w:p>
      <w:pPr>
        <w:spacing w:after="80" w:before="80"/>
      </w:pPr>
      <w:r>
        <w:t xml:space="preserve"/>
      </w:r>
    </w:p>
    <w:p>
      <w:pPr>
        <w:spacing w:after="120" w:before="60"/>
      </w:pPr>
      <w:r>
        <w:rPr>
          <w:rFonts w:ascii="Arial" w:cs="Arial" w:eastAsia="Arial" w:hAnsi="Arial"/>
          <w:color w:val="1A1A2E"/>
          <w:sz w:val="22"/>
          <w:szCs w:val="22"/>
        </w:rPr>
        <w:t xml:space="preserve">La nouveauté demande un acte de foi vers l'inconnu. La permanence demande une reconnaissance de ce qu'on sait déjà. Pour quelqu'un dont la vie est sous pression, la deuxième demande est infiniment plus accessible que la première.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C5A9" w:sz="1"/>
              <w:left w:val="single" w:color="D4C5A9" w:sz="1"/>
              <w:bottom w:val="single" w:color="D4C5A9" w:sz="1"/>
              <w:right w:val="single" w:color="D4C5A9" w:sz="1"/>
            </w:tcBorders>
            <w:shd w:fill="EDE8DE" w:val="clear"/>
            <w:tcMar>
              <w:top w:type="dxa" w:w="100"/>
              <w:left w:type="dxa" w:w="160"/>
              <w:bottom w:type="dxa" w:w="100"/>
              <w:right w:type="dxa" w:w="160"/>
            </w:tcMar>
          </w:tcPr>
          <w:p>
            <w:r>
              <w:rPr>
                <w:rFonts w:ascii="Arial" w:cs="Arial" w:eastAsia="Arial" w:hAnsi="Arial"/>
                <w:b/>
                <w:bCs/>
                <w:color w:val="1A1A2E"/>
                <w:sz w:val="20"/>
                <w:szCs w:val="20"/>
              </w:rPr>
              <w:t xml:space="preserve">Action</w:t>
            </w:r>
          </w:p>
        </w:tc>
        <w:tc>
          <w:tcPr>
            <w:tcW w:type="dxa" w:w="7360"/>
            <w:tcBorders>
              <w:top w:val="single" w:color="D4C5A9" w:sz="1"/>
              <w:left w:val="single" w:color="D4C5A9" w:sz="1"/>
              <w:bottom w:val="single" w:color="D4C5A9" w:sz="1"/>
              <w:right w:val="single" w:color="D4C5A9" w:sz="1"/>
            </w:tcBorders>
            <w:shd w:fill="F7F4EF" w:val="clear"/>
            <w:tcMar>
              <w:top w:type="dxa" w:w="100"/>
              <w:left w:type="dxa" w:w="160"/>
              <w:bottom w:type="dxa" w:w="100"/>
              <w:right w:type="dxa" w:w="160"/>
            </w:tcMar>
          </w:tcPr>
          <w:p>
            <w:r>
              <w:rPr>
                <w:rFonts w:ascii="Arial" w:cs="Arial" w:eastAsia="Arial" w:hAnsi="Arial"/>
                <w:b/>
                <w:bCs/>
                <w:color w:val="2D6A4F"/>
                <w:sz w:val="20"/>
                <w:szCs w:val="20"/>
              </w:rPr>
              <w:t xml:space="preserve">CREATE</w:t>
            </w:r>
          </w:p>
        </w:tc>
      </w:tr>
      <w:tr>
        <w:tc>
          <w:tcPr>
            <w:tcW w:type="dxa" w:w="2000"/>
            <w:tcBorders>
              <w:top w:val="single" w:color="D4C5A9" w:sz="1"/>
              <w:left w:val="single" w:color="D4C5A9" w:sz="1"/>
              <w:bottom w:val="single" w:color="D4C5A9" w:sz="1"/>
              <w:right w:val="single" w:color="D4C5A9" w:sz="1"/>
            </w:tcBorders>
            <w:shd w:fill="EDE8DE" w:val="clear"/>
            <w:tcMar>
              <w:top w:type="dxa" w:w="100"/>
              <w:left w:type="dxa" w:w="160"/>
              <w:bottom w:type="dxa" w:w="100"/>
              <w:right w:type="dxa" w:w="160"/>
            </w:tcMar>
          </w:tcPr>
          <w:p>
            <w:r>
              <w:rPr>
                <w:rFonts w:ascii="Arial" w:cs="Arial" w:eastAsia="Arial" w:hAnsi="Arial"/>
                <w:b/>
                <w:bCs/>
                <w:color w:val="1A1A2E"/>
                <w:sz w:val="20"/>
                <w:szCs w:val="20"/>
              </w:rPr>
              <w:t xml:space="preserve">Document</w:t>
            </w:r>
          </w:p>
        </w:tc>
        <w:tc>
          <w:tcPr>
            <w:tcW w:type="dxa" w:w="7360"/>
            <w:tcBorders>
              <w:top w:val="single" w:color="D4C5A9" w:sz="1"/>
              <w:left w:val="single" w:color="D4C5A9" w:sz="1"/>
              <w:bottom w:val="single" w:color="D4C5A9" w:sz="1"/>
              <w:right w:val="single" w:color="D4C5A9" w:sz="1"/>
            </w:tcBorders>
            <w:shd w:fill="F7F4EF" w:val="clear"/>
            <w:tcMar>
              <w:top w:type="dxa" w:w="100"/>
              <w:left w:type="dxa" w:w="160"/>
              <w:bottom w:type="dxa" w:w="100"/>
              <w:right w:type="dxa" w:w="160"/>
            </w:tcMar>
          </w:tcPr>
          <w:p>
            <w:r>
              <w:rPr>
                <w:rFonts w:ascii="Arial" w:cs="Arial" w:eastAsia="Arial" w:hAnsi="Arial"/>
                <w:color w:val="1A1A2E"/>
                <w:sz w:val="20"/>
                <w:szCs w:val="20"/>
              </w:rPr>
              <w:t xml:space="preserve">AKELI_COMM_REF03_VISION_CONTEXTE.md</w:t>
            </w:r>
          </w:p>
        </w:tc>
      </w:tr>
      <w:tr>
        <w:tc>
          <w:tcPr>
            <w:tcW w:type="dxa" w:w="2000"/>
            <w:tcBorders>
              <w:top w:val="single" w:color="D4C5A9" w:sz="1"/>
              <w:left w:val="single" w:color="D4C5A9" w:sz="1"/>
              <w:bottom w:val="single" w:color="D4C5A9" w:sz="1"/>
              <w:right w:val="single" w:color="D4C5A9" w:sz="1"/>
            </w:tcBorders>
            <w:shd w:fill="EDE8DE" w:val="clear"/>
            <w:tcMar>
              <w:top w:type="dxa" w:w="100"/>
              <w:left w:type="dxa" w:w="160"/>
              <w:bottom w:type="dxa" w:w="100"/>
              <w:right w:type="dxa" w:w="160"/>
            </w:tcMar>
          </w:tcPr>
          <w:p>
            <w:r>
              <w:rPr>
                <w:rFonts w:ascii="Arial" w:cs="Arial" w:eastAsia="Arial" w:hAnsi="Arial"/>
                <w:b/>
                <w:bCs/>
                <w:color w:val="1A1A2E"/>
                <w:sz w:val="20"/>
                <w:szCs w:val="20"/>
              </w:rPr>
              <w:t xml:space="preserve">Section</w:t>
            </w:r>
          </w:p>
        </w:tc>
        <w:tc>
          <w:tcPr>
            <w:tcW w:type="dxa" w:w="7360"/>
            <w:tcBorders>
              <w:top w:val="single" w:color="D4C5A9" w:sz="1"/>
              <w:left w:val="single" w:color="D4C5A9" w:sz="1"/>
              <w:bottom w:val="single" w:color="D4C5A9" w:sz="1"/>
              <w:right w:val="single" w:color="D4C5A9" w:sz="1"/>
            </w:tcBorders>
            <w:shd w:fill="F7F4EF" w:val="clear"/>
            <w:tcMar>
              <w:top w:type="dxa" w:w="100"/>
              <w:left w:type="dxa" w:w="160"/>
              <w:bottom w:type="dxa" w:w="100"/>
              <w:right w:type="dxa" w:w="160"/>
            </w:tcMar>
          </w:tcPr>
          <w:p>
            <w:r>
              <w:rPr>
                <w:rFonts w:ascii="Arial" w:cs="Arial" w:eastAsia="Arial" w:hAnsi="Arial"/>
                <w:color w:val="1A1A2E"/>
                <w:sz w:val="20"/>
                <w:szCs w:val="20"/>
              </w:rPr>
              <w:t xml:space="preserve">La permanence comme fondation — Akeli n'est pas un mouvement</w:t>
            </w:r>
          </w:p>
        </w:tc>
      </w:tr>
      <w:tr>
        <w:tc>
          <w:tcPr>
            <w:tcW w:type="dxa" w:w="2000"/>
            <w:tcBorders>
              <w:top w:val="single" w:color="D4C5A9" w:sz="1"/>
              <w:left w:val="single" w:color="D4C5A9" w:sz="1"/>
              <w:bottom w:val="single" w:color="D4C5A9" w:sz="1"/>
              <w:right w:val="single" w:color="D4C5A9" w:sz="1"/>
            </w:tcBorders>
            <w:shd w:fill="EDE8DE" w:val="clear"/>
            <w:tcMar>
              <w:top w:type="dxa" w:w="100"/>
              <w:left w:type="dxa" w:w="160"/>
              <w:bottom w:type="dxa" w:w="100"/>
              <w:right w:type="dxa" w:w="160"/>
            </w:tcMar>
          </w:tcPr>
          <w:p>
            <w:r>
              <w:rPr>
                <w:rFonts w:ascii="Arial" w:cs="Arial" w:eastAsia="Arial" w:hAnsi="Arial"/>
                <w:b/>
                <w:bCs/>
                <w:color w:val="1A1A2E"/>
                <w:sz w:val="20"/>
                <w:szCs w:val="20"/>
              </w:rPr>
              <w:t xml:space="preserve">Motif</w:t>
            </w:r>
          </w:p>
        </w:tc>
        <w:tc>
          <w:tcPr>
            <w:tcW w:type="dxa" w:w="7360"/>
            <w:tcBorders>
              <w:top w:val="single" w:color="D4C5A9" w:sz="1"/>
              <w:left w:val="single" w:color="D4C5A9" w:sz="1"/>
              <w:bottom w:val="single" w:color="D4C5A9" w:sz="1"/>
              <w:right w:val="single" w:color="D4C5A9" w:sz="1"/>
            </w:tcBorders>
            <w:shd w:fill="F7F4EF" w:val="clear"/>
            <w:tcMar>
              <w:top w:type="dxa" w:w="100"/>
              <w:left w:type="dxa" w:w="160"/>
              <w:bottom w:type="dxa" w:w="100"/>
              <w:right w:type="dxa" w:w="160"/>
            </w:tcMar>
          </w:tcPr>
          <w:p>
            <w:r>
              <w:rPr>
                <w:rFonts w:ascii="Arial" w:cs="Arial" w:eastAsia="Arial" w:hAnsi="Arial"/>
                <w:color w:val="1A1A2E"/>
                <w:sz w:val="20"/>
                <w:szCs w:val="20"/>
              </w:rPr>
              <w:t xml:space="preserve">La documentation décrit la vision et le positionnement d'Akeli. Elle ne capture pas encore le principe philosophique fondateur : Akeli n'est pas le représentant de qui que ce soit, ne crée pas de mouvement, et n'innove pas. Il est la tentative de manifestation de ce qui a toujours été.</w:t>
            </w:r>
          </w:p>
        </w:tc>
      </w:tr>
      <w:tr>
        <w:tc>
          <w:tcPr>
            <w:tcW w:type="dxa" w:w="2000"/>
            <w:tcBorders>
              <w:top w:val="single" w:color="D4C5A9" w:sz="1"/>
              <w:left w:val="single" w:color="D4C5A9" w:sz="1"/>
              <w:bottom w:val="single" w:color="D4C5A9" w:sz="1"/>
              <w:right w:val="single" w:color="D4C5A9" w:sz="1"/>
            </w:tcBorders>
            <w:shd w:fill="EDE8DE" w:val="clear"/>
            <w:tcMar>
              <w:top w:type="dxa" w:w="100"/>
              <w:left w:type="dxa" w:w="160"/>
              <w:bottom w:type="dxa" w:w="100"/>
              <w:right w:type="dxa" w:w="160"/>
            </w:tcMar>
          </w:tcPr>
          <w:p>
            <w:r>
              <w:rPr>
                <w:rFonts w:ascii="Arial" w:cs="Arial" w:eastAsia="Arial" w:hAnsi="Arial"/>
                <w:b/>
                <w:bCs/>
                <w:color w:val="1A1A2E"/>
                <w:sz w:val="20"/>
                <w:szCs w:val="20"/>
              </w:rPr>
              <w:t xml:space="preserve">Proposition</w:t>
            </w:r>
          </w:p>
        </w:tc>
        <w:tc>
          <w:tcPr>
            <w:tcW w:type="dxa" w:w="7360"/>
            <w:tcBorders>
              <w:top w:val="single" w:color="D4C5A9" w:sz="1"/>
              <w:left w:val="single" w:color="D4C5A9" w:sz="1"/>
              <w:bottom w:val="single" w:color="D4C5A9" w:sz="1"/>
              <w:right w:val="single" w:color="D4C5A9" w:sz="1"/>
            </w:tcBorders>
            <w:shd w:fill="F7F4EF" w:val="clear"/>
            <w:tcMar>
              <w:top w:type="dxa" w:w="100"/>
              <w:left w:type="dxa" w:w="160"/>
              <w:bottom w:type="dxa" w:w="100"/>
              <w:right w:type="dxa" w:w="160"/>
            </w:tcMar>
          </w:tcPr>
          <w:p>
            <w:r>
              <w:rPr>
                <w:rFonts w:ascii="Arial" w:cs="Arial" w:eastAsia="Arial" w:hAnsi="Arial"/>
                <w:color w:val="1A1A2E"/>
                <w:sz w:val="20"/>
                <w:szCs w:val="20"/>
              </w:rPr>
              <w:t xml:space="preserve">Documenter ce principe dans sa pleine portée — la constance du peuple comme réalité anthropologique, la permanence comme valeur de confiance. Akeli ne se présente jamais comme une nouveauté. Il nomme une réalité existante que ses membres reconnaissent parce qu'ils la vivent déjà.</w:t>
            </w:r>
          </w:p>
        </w:tc>
      </w:tr>
    </w:tbl>
    <w:p>
      <w:pPr>
        <w:spacing w:after="80" w:before="80"/>
      </w:pPr>
      <w:r>
        <w:t xml:space="preserve"/>
      </w:r>
    </w:p>
    <w:p>
      <w:pPr>
        <w:pBdr>
          <w:bottom w:val="single" w:color="D4C5A9" w:sz="2"/>
        </w:pBdr>
        <w:spacing w:after="200" w:before="200"/>
      </w:pPr>
      <w:r>
        <w:t xml:space="preserve"/>
      </w:r>
    </w:p>
    <w:p>
      <w:pPr>
        <w:pStyle w:val="Heading1"/>
        <w:pBdr>
          <w:bottom w:val="single" w:color="C9A84C" w:sz="4"/>
        </w:pBdr>
        <w:spacing w:after="160" w:before="480"/>
      </w:pPr>
      <w:r>
        <w:rPr>
          <w:rFonts w:ascii="Arial" w:cs="Arial" w:eastAsia="Arial" w:hAnsi="Arial"/>
          <w:b/>
          <w:bCs/>
          <w:color w:val="1A1A2E"/>
          <w:sz w:val="32"/>
          <w:szCs w:val="32"/>
        </w:rPr>
        <w:t xml:space="preserve">V. Les deux registres de langage</w:t>
      </w:r>
    </w:p>
    <w:p>
      <w:pPr>
        <w:spacing w:after="120" w:before="60"/>
      </w:pPr>
      <w:r>
        <w:rPr>
          <w:rFonts w:ascii="Arial" w:cs="Arial" w:eastAsia="Arial" w:hAnsi="Arial"/>
          <w:color w:val="1A1A2E"/>
          <w:sz w:val="22"/>
          <w:szCs w:val="22"/>
        </w:rPr>
        <w:t xml:space="preserve">Il faut distinguer un langage d'entretien et un langage public. Ce n'est pas une question de ton — c'est une question de destination et de fonction.</w:t>
      </w:r>
    </w:p>
    <w:p>
      <w:pPr>
        <w:spacing w:after="80" w:before="80"/>
      </w:pPr>
      <w:r>
        <w:t xml:space="preserve"/>
      </w:r>
    </w:p>
    <w:p>
      <w:pPr>
        <w:spacing w:after="80" w:before="240"/>
      </w:pPr>
      <w:r>
        <w:rPr>
          <w:rFonts w:ascii="Arial" w:cs="Arial" w:eastAsia="Arial" w:hAnsi="Arial"/>
          <w:b/>
          <w:bCs/>
          <w:color w:val="C9A84C"/>
          <w:sz w:val="22"/>
          <w:szCs w:val="22"/>
        </w:rPr>
        <w:t xml:space="preserve">Le langage d'entretien</w:t>
      </w:r>
    </w:p>
    <w:p>
      <w:pPr>
        <w:spacing w:after="120" w:before="60"/>
      </w:pPr>
      <w:r>
        <w:rPr>
          <w:rFonts w:ascii="Arial" w:cs="Arial" w:eastAsia="Arial" w:hAnsi="Arial"/>
          <w:color w:val="1A1A2E"/>
          <w:sz w:val="22"/>
          <w:szCs w:val="22"/>
        </w:rPr>
        <w:t xml:space="preserve">Il sert à construire, à comprendre, à poser les fondations. Il peut être précis, dense, philosophique. Il n'est pas destiné à être vu. Cette conversation en est un exemple direct.</w:t>
      </w:r>
    </w:p>
    <w:p>
      <w:pPr>
        <w:spacing w:after="80" w:before="80"/>
      </w:pPr>
      <w:r>
        <w:t xml:space="preserve"/>
      </w:r>
    </w:p>
    <w:p>
      <w:pPr>
        <w:spacing w:after="80" w:before="240"/>
      </w:pPr>
      <w:r>
        <w:rPr>
          <w:rFonts w:ascii="Arial" w:cs="Arial" w:eastAsia="Arial" w:hAnsi="Arial"/>
          <w:b/>
          <w:bCs/>
          <w:color w:val="C9A84C"/>
          <w:sz w:val="22"/>
          <w:szCs w:val="22"/>
        </w:rPr>
        <w:t xml:space="preserve">Le langage public</w:t>
      </w:r>
    </w:p>
    <w:p>
      <w:pPr>
        <w:spacing w:after="120" w:before="60"/>
      </w:pPr>
      <w:r>
        <w:rPr>
          <w:rFonts w:ascii="Arial" w:cs="Arial" w:eastAsia="Arial" w:hAnsi="Arial"/>
          <w:color w:val="1A1A2E"/>
          <w:sz w:val="22"/>
          <w:szCs w:val="22"/>
        </w:rPr>
        <w:t xml:space="preserve">Il s'adresse à une émotion collective — une réalité partagée que les membres reconnaissent ensemble. Il ne parle pas à mille individus séparément. Il pose quelque chose sur la table que tout le monde peut toucher en même temps.</w:t>
      </w:r>
    </w:p>
    <w:p>
      <w:pPr>
        <w:spacing w:after="80" w:before="80"/>
      </w:pPr>
      <w:r>
        <w:t xml:space="preserve"/>
      </w:r>
    </w:p>
    <w:p>
      <w:pPr>
        <w:spacing w:after="120" w:before="60"/>
      </w:pPr>
      <w:r>
        <w:rPr>
          <w:rFonts w:ascii="Arial" w:cs="Arial" w:eastAsia="Arial" w:hAnsi="Arial"/>
          <w:color w:val="1A1A2E"/>
          <w:sz w:val="22"/>
          <w:szCs w:val="22"/>
        </w:rPr>
        <w:t xml:space="preserve">Le marketing moderne a perdu ça. La personnalisation algorithmique fragmente l'expérience. Chacun reçoit son message taillé sur mesure. Mais une émotion collective ne naît pas de mille messages individuels. Elle naît d'un seul message que mille personnes ressentent en même temps.</w:t>
      </w:r>
    </w:p>
    <w:p>
      <w:pPr>
        <w:spacing w:after="80" w:before="80"/>
      </w:pPr>
      <w:r>
        <w:t xml:space="preserve"/>
      </w:r>
    </w:p>
    <w:p>
      <w:pPr>
        <w:spacing w:after="120" w:before="60"/>
      </w:pPr>
      <w:r>
        <w:rPr>
          <w:rFonts w:ascii="Arial" w:cs="Arial" w:eastAsia="Arial" w:hAnsi="Arial"/>
          <w:color w:val="1A1A2E"/>
          <w:sz w:val="22"/>
          <w:szCs w:val="22"/>
        </w:rPr>
        <w:t xml:space="preserve">C'est ce que fait un bon proverbe. Ce que fait une chanson qui traverse les générations. Ce que fait Bic sans jamais avoir parlé à quelqu'un en particulier.</w:t>
      </w:r>
    </w:p>
    <w:p>
      <w:pPr>
        <w:spacing w:after="80" w:before="80"/>
      </w:pPr>
      <w:r>
        <w:t xml:space="preserve"/>
      </w:r>
    </w:p>
    <w:p>
      <w:pPr>
        <w:spacing w:after="80" w:before="240"/>
      </w:pPr>
      <w:r>
        <w:rPr>
          <w:rFonts w:ascii="Arial" w:cs="Arial" w:eastAsia="Arial" w:hAnsi="Arial"/>
          <w:b/>
          <w:bCs/>
          <w:color w:val="C9A84C"/>
          <w:sz w:val="22"/>
          <w:szCs w:val="22"/>
        </w:rPr>
        <w:t xml:space="preserve">Conséquence sur la séquence immuable</w:t>
      </w:r>
    </w:p>
    <w:p>
      <w:pPr>
        <w:spacing w:after="120" w:before="60"/>
      </w:pPr>
      <w:r>
        <w:rPr>
          <w:rFonts w:ascii="Arial" w:cs="Arial" w:eastAsia="Arial" w:hAnsi="Arial"/>
          <w:color w:val="1A1A2E"/>
          <w:sz w:val="22"/>
          <w:szCs w:val="22"/>
        </w:rPr>
        <w:t xml:space="preserve">Le Fait en ouverture n'est pas choisi parce qu'il touche quelqu'un — il est choisi parce qu'il touche tout le monde dans ce groupe simultanément. C'est ce qui crée la communauté, pas la personnalisation.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C5A9" w:sz="1"/>
              <w:left w:val="single" w:color="D4C5A9" w:sz="1"/>
              <w:bottom w:val="single" w:color="D4C5A9" w:sz="1"/>
              <w:right w:val="single" w:color="D4C5A9" w:sz="1"/>
            </w:tcBorders>
            <w:shd w:fill="EDE8DE" w:val="clear"/>
            <w:tcMar>
              <w:top w:type="dxa" w:w="100"/>
              <w:left w:type="dxa" w:w="160"/>
              <w:bottom w:type="dxa" w:w="100"/>
              <w:right w:type="dxa" w:w="160"/>
            </w:tcMar>
          </w:tcPr>
          <w:p>
            <w:r>
              <w:rPr>
                <w:rFonts w:ascii="Arial" w:cs="Arial" w:eastAsia="Arial" w:hAnsi="Arial"/>
                <w:b/>
                <w:bCs/>
                <w:color w:val="1A1A2E"/>
                <w:sz w:val="20"/>
                <w:szCs w:val="20"/>
              </w:rPr>
              <w:t xml:space="preserve">Action</w:t>
            </w:r>
          </w:p>
        </w:tc>
        <w:tc>
          <w:tcPr>
            <w:tcW w:type="dxa" w:w="7360"/>
            <w:tcBorders>
              <w:top w:val="single" w:color="D4C5A9" w:sz="1"/>
              <w:left w:val="single" w:color="D4C5A9" w:sz="1"/>
              <w:bottom w:val="single" w:color="D4C5A9" w:sz="1"/>
              <w:right w:val="single" w:color="D4C5A9" w:sz="1"/>
            </w:tcBorders>
            <w:shd w:fill="F7F4EF" w:val="clear"/>
            <w:tcMar>
              <w:top w:type="dxa" w:w="100"/>
              <w:left w:type="dxa" w:w="160"/>
              <w:bottom w:type="dxa" w:w="100"/>
              <w:right w:type="dxa" w:w="160"/>
            </w:tcMar>
          </w:tcPr>
          <w:p>
            <w:r>
              <w:rPr>
                <w:rFonts w:ascii="Arial" w:cs="Arial" w:eastAsia="Arial" w:hAnsi="Arial"/>
                <w:b/>
                <w:bCs/>
                <w:color w:val="2D6A4F"/>
                <w:sz w:val="20"/>
                <w:szCs w:val="20"/>
              </w:rPr>
              <w:t xml:space="preserve">CREATE</w:t>
            </w:r>
          </w:p>
        </w:tc>
      </w:tr>
      <w:tr>
        <w:tc>
          <w:tcPr>
            <w:tcW w:type="dxa" w:w="2000"/>
            <w:tcBorders>
              <w:top w:val="single" w:color="D4C5A9" w:sz="1"/>
              <w:left w:val="single" w:color="D4C5A9" w:sz="1"/>
              <w:bottom w:val="single" w:color="D4C5A9" w:sz="1"/>
              <w:right w:val="single" w:color="D4C5A9" w:sz="1"/>
            </w:tcBorders>
            <w:shd w:fill="EDE8DE" w:val="clear"/>
            <w:tcMar>
              <w:top w:type="dxa" w:w="100"/>
              <w:left w:type="dxa" w:w="160"/>
              <w:bottom w:type="dxa" w:w="100"/>
              <w:right w:type="dxa" w:w="160"/>
            </w:tcMar>
          </w:tcPr>
          <w:p>
            <w:r>
              <w:rPr>
                <w:rFonts w:ascii="Arial" w:cs="Arial" w:eastAsia="Arial" w:hAnsi="Arial"/>
                <w:b/>
                <w:bCs/>
                <w:color w:val="1A1A2E"/>
                <w:sz w:val="20"/>
                <w:szCs w:val="20"/>
              </w:rPr>
              <w:t xml:space="preserve">Document</w:t>
            </w:r>
          </w:p>
        </w:tc>
        <w:tc>
          <w:tcPr>
            <w:tcW w:type="dxa" w:w="7360"/>
            <w:tcBorders>
              <w:top w:val="single" w:color="D4C5A9" w:sz="1"/>
              <w:left w:val="single" w:color="D4C5A9" w:sz="1"/>
              <w:bottom w:val="single" w:color="D4C5A9" w:sz="1"/>
              <w:right w:val="single" w:color="D4C5A9" w:sz="1"/>
            </w:tcBorders>
            <w:shd w:fill="F7F4EF" w:val="clear"/>
            <w:tcMar>
              <w:top w:type="dxa" w:w="100"/>
              <w:left w:type="dxa" w:w="160"/>
              <w:bottom w:type="dxa" w:w="100"/>
              <w:right w:type="dxa" w:w="160"/>
            </w:tcMar>
          </w:tcPr>
          <w:p>
            <w:r>
              <w:rPr>
                <w:rFonts w:ascii="Arial" w:cs="Arial" w:eastAsia="Arial" w:hAnsi="Arial"/>
                <w:color w:val="1A1A2E"/>
                <w:sz w:val="20"/>
                <w:szCs w:val="20"/>
              </w:rPr>
              <w:t xml:space="preserve">AKELI_COMM_REF04_POSTURE_PROTOCOLE.md</w:t>
            </w:r>
          </w:p>
        </w:tc>
      </w:tr>
      <w:tr>
        <w:tc>
          <w:tcPr>
            <w:tcW w:type="dxa" w:w="2000"/>
            <w:tcBorders>
              <w:top w:val="single" w:color="D4C5A9" w:sz="1"/>
              <w:left w:val="single" w:color="D4C5A9" w:sz="1"/>
              <w:bottom w:val="single" w:color="D4C5A9" w:sz="1"/>
              <w:right w:val="single" w:color="D4C5A9" w:sz="1"/>
            </w:tcBorders>
            <w:shd w:fill="EDE8DE" w:val="clear"/>
            <w:tcMar>
              <w:top w:type="dxa" w:w="100"/>
              <w:left w:type="dxa" w:w="160"/>
              <w:bottom w:type="dxa" w:w="100"/>
              <w:right w:type="dxa" w:w="160"/>
            </w:tcMar>
          </w:tcPr>
          <w:p>
            <w:r>
              <w:rPr>
                <w:rFonts w:ascii="Arial" w:cs="Arial" w:eastAsia="Arial" w:hAnsi="Arial"/>
                <w:b/>
                <w:bCs/>
                <w:color w:val="1A1A2E"/>
                <w:sz w:val="20"/>
                <w:szCs w:val="20"/>
              </w:rPr>
              <w:t xml:space="preserve">Section</w:t>
            </w:r>
          </w:p>
        </w:tc>
        <w:tc>
          <w:tcPr>
            <w:tcW w:type="dxa" w:w="7360"/>
            <w:tcBorders>
              <w:top w:val="single" w:color="D4C5A9" w:sz="1"/>
              <w:left w:val="single" w:color="D4C5A9" w:sz="1"/>
              <w:bottom w:val="single" w:color="D4C5A9" w:sz="1"/>
              <w:right w:val="single" w:color="D4C5A9" w:sz="1"/>
            </w:tcBorders>
            <w:shd w:fill="F7F4EF" w:val="clear"/>
            <w:tcMar>
              <w:top w:type="dxa" w:w="100"/>
              <w:left w:type="dxa" w:w="160"/>
              <w:bottom w:type="dxa" w:w="100"/>
              <w:right w:type="dxa" w:w="160"/>
            </w:tcMar>
          </w:tcPr>
          <w:p>
            <w:r>
              <w:rPr>
                <w:rFonts w:ascii="Arial" w:cs="Arial" w:eastAsia="Arial" w:hAnsi="Arial"/>
                <w:color w:val="1A1A2E"/>
                <w:sz w:val="20"/>
                <w:szCs w:val="20"/>
              </w:rPr>
              <w:t xml:space="preserve">Les deux registres de langage — interne et public</w:t>
            </w:r>
          </w:p>
        </w:tc>
      </w:tr>
      <w:tr>
        <w:tc>
          <w:tcPr>
            <w:tcW w:type="dxa" w:w="2000"/>
            <w:tcBorders>
              <w:top w:val="single" w:color="D4C5A9" w:sz="1"/>
              <w:left w:val="single" w:color="D4C5A9" w:sz="1"/>
              <w:bottom w:val="single" w:color="D4C5A9" w:sz="1"/>
              <w:right w:val="single" w:color="D4C5A9" w:sz="1"/>
            </w:tcBorders>
            <w:shd w:fill="EDE8DE" w:val="clear"/>
            <w:tcMar>
              <w:top w:type="dxa" w:w="100"/>
              <w:left w:type="dxa" w:w="160"/>
              <w:bottom w:type="dxa" w:w="100"/>
              <w:right w:type="dxa" w:w="160"/>
            </w:tcMar>
          </w:tcPr>
          <w:p>
            <w:r>
              <w:rPr>
                <w:rFonts w:ascii="Arial" w:cs="Arial" w:eastAsia="Arial" w:hAnsi="Arial"/>
                <w:b/>
                <w:bCs/>
                <w:color w:val="1A1A2E"/>
                <w:sz w:val="20"/>
                <w:szCs w:val="20"/>
              </w:rPr>
              <w:t xml:space="preserve">Motif</w:t>
            </w:r>
          </w:p>
        </w:tc>
        <w:tc>
          <w:tcPr>
            <w:tcW w:type="dxa" w:w="7360"/>
            <w:tcBorders>
              <w:top w:val="single" w:color="D4C5A9" w:sz="1"/>
              <w:left w:val="single" w:color="D4C5A9" w:sz="1"/>
              <w:bottom w:val="single" w:color="D4C5A9" w:sz="1"/>
              <w:right w:val="single" w:color="D4C5A9" w:sz="1"/>
            </w:tcBorders>
            <w:shd w:fill="F7F4EF" w:val="clear"/>
            <w:tcMar>
              <w:top w:type="dxa" w:w="100"/>
              <w:left w:type="dxa" w:w="160"/>
              <w:bottom w:type="dxa" w:w="100"/>
              <w:right w:type="dxa" w:w="160"/>
            </w:tcMar>
          </w:tcPr>
          <w:p>
            <w:r>
              <w:rPr>
                <w:rFonts w:ascii="Arial" w:cs="Arial" w:eastAsia="Arial" w:hAnsi="Arial"/>
                <w:color w:val="1A1A2E"/>
                <w:sz w:val="20"/>
                <w:szCs w:val="20"/>
              </w:rPr>
              <w:t xml:space="preserve">La documentation ne distingue pas encore explicitement le langage de construction interne du langage public. Elle n'articule pas encore pourquoi Akeli s'adresse au collectif plutôt qu'à l'individu.</w:t>
            </w:r>
          </w:p>
        </w:tc>
      </w:tr>
      <w:tr>
        <w:tc>
          <w:tcPr>
            <w:tcW w:type="dxa" w:w="2000"/>
            <w:tcBorders>
              <w:top w:val="single" w:color="D4C5A9" w:sz="1"/>
              <w:left w:val="single" w:color="D4C5A9" w:sz="1"/>
              <w:bottom w:val="single" w:color="D4C5A9" w:sz="1"/>
              <w:right w:val="single" w:color="D4C5A9" w:sz="1"/>
            </w:tcBorders>
            <w:shd w:fill="EDE8DE" w:val="clear"/>
            <w:tcMar>
              <w:top w:type="dxa" w:w="100"/>
              <w:left w:type="dxa" w:w="160"/>
              <w:bottom w:type="dxa" w:w="100"/>
              <w:right w:type="dxa" w:w="160"/>
            </w:tcMar>
          </w:tcPr>
          <w:p>
            <w:r>
              <w:rPr>
                <w:rFonts w:ascii="Arial" w:cs="Arial" w:eastAsia="Arial" w:hAnsi="Arial"/>
                <w:b/>
                <w:bCs/>
                <w:color w:val="1A1A2E"/>
                <w:sz w:val="20"/>
                <w:szCs w:val="20"/>
              </w:rPr>
              <w:t xml:space="preserve">Proposition</w:t>
            </w:r>
          </w:p>
        </w:tc>
        <w:tc>
          <w:tcPr>
            <w:tcW w:type="dxa" w:w="7360"/>
            <w:tcBorders>
              <w:top w:val="single" w:color="D4C5A9" w:sz="1"/>
              <w:left w:val="single" w:color="D4C5A9" w:sz="1"/>
              <w:bottom w:val="single" w:color="D4C5A9" w:sz="1"/>
              <w:right w:val="single" w:color="D4C5A9" w:sz="1"/>
            </w:tcBorders>
            <w:shd w:fill="F7F4EF" w:val="clear"/>
            <w:tcMar>
              <w:top w:type="dxa" w:w="100"/>
              <w:left w:type="dxa" w:w="160"/>
              <w:bottom w:type="dxa" w:w="100"/>
              <w:right w:type="dxa" w:w="160"/>
            </w:tcMar>
          </w:tcPr>
          <w:p>
            <w:r>
              <w:rPr>
                <w:rFonts w:ascii="Arial" w:cs="Arial" w:eastAsia="Arial" w:hAnsi="Arial"/>
                <w:color w:val="1A1A2E"/>
                <w:sz w:val="20"/>
                <w:szCs w:val="20"/>
              </w:rPr>
              <w:t xml:space="preserve">Documenter deux principes : (1) Le langage interne sert à construire — il peut être dense, philosophique, précis. Il ne paraît jamais dans le contenu public. (2) Le langage public s'adresse à une émotion collective — une réalité partagée que les membres reconnaissent ensemble. Il ne parle pas à chacun séparément.</w:t>
            </w:r>
          </w:p>
        </w:tc>
      </w:tr>
    </w:tbl>
    <w:p>
      <w:pPr>
        <w:spacing w:after="80" w:before="80"/>
      </w:pPr>
      <w:r>
        <w:t xml:space="preserve"/>
      </w:r>
    </w:p>
    <w:p>
      <w:pPr>
        <w:pBdr>
          <w:bottom w:val="single" w:color="D4C5A9" w:sz="2"/>
        </w:pBdr>
        <w:spacing w:after="200" w:before="200"/>
      </w:pPr>
      <w:r>
        <w:t xml:space="preserve"/>
      </w:r>
    </w:p>
    <w:p>
      <w:pPr>
        <w:pStyle w:val="Heading1"/>
        <w:pBdr>
          <w:bottom w:val="single" w:color="C9A84C" w:sz="4"/>
        </w:pBdr>
        <w:spacing w:after="160" w:before="480"/>
      </w:pPr>
      <w:r>
        <w:rPr>
          <w:rFonts w:ascii="Arial" w:cs="Arial" w:eastAsia="Arial" w:hAnsi="Arial"/>
          <w:b/>
          <w:bCs/>
          <w:color w:val="1A1A2E"/>
          <w:sz w:val="32"/>
          <w:szCs w:val="32"/>
        </w:rPr>
        <w:t xml:space="preserve">VI. Récapitulatif des principes fondateurs</w:t>
      </w:r>
    </w:p>
    <w:p>
      <w:pPr>
        <w:spacing w:after="120" w:before="60"/>
      </w:pPr>
      <w:r>
        <w:rPr>
          <w:rFonts w:ascii="Arial" w:cs="Arial" w:eastAsia="Arial" w:hAnsi="Arial"/>
          <w:color w:val="1A1A2E"/>
          <w:sz w:val="22"/>
          <w:szCs w:val="22"/>
        </w:rPr>
        <w:t xml:space="preserve">Ces principes sont documentés pour usage interne uniquement. Ils informent la voix sans jamais apparaître directement dans le contenu public. Leurs conséquences sur le discours seront évaluées séparément.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D4C5A9" w:sz="1"/>
              <w:left w:val="single" w:color="D4C5A9" w:sz="1"/>
              <w:bottom w:val="single" w:color="D4C5A9" w:sz="1"/>
              <w:right w:val="single" w:color="D4C5A9" w:sz="1"/>
            </w:tcBorders>
            <w:shd w:fill="EDE8DE" w:val="clear"/>
            <w:tcMar>
              <w:top w:type="dxa" w:w="80"/>
              <w:left w:type="dxa" w:w="120"/>
              <w:bottom w:type="dxa" w:w="80"/>
              <w:right w:type="dxa" w:w="120"/>
            </w:tcMar>
          </w:tcPr>
          <w:p>
            <w:r>
              <w:rPr>
                <w:rFonts w:ascii="Arial" w:cs="Arial" w:eastAsia="Arial" w:hAnsi="Arial"/>
                <w:b/>
                <w:bCs/>
                <w:color w:val="C9A84C"/>
                <w:sz w:val="20"/>
                <w:szCs w:val="20"/>
              </w:rPr>
              <w:t xml:space="preserve">1</w:t>
            </w:r>
          </w:p>
        </w:tc>
        <w:tc>
          <w:tcPr>
            <w:tcW w:type="dxa" w:w="8860"/>
            <w:tcBorders>
              <w:top w:val="single" w:color="D4C5A9" w:sz="1"/>
              <w:left w:val="single" w:color="D4C5A9" w:sz="1"/>
              <w:bottom w:val="single" w:color="D4C5A9" w:sz="1"/>
              <w:right w:val="single" w:color="D4C5A9" w:sz="1"/>
            </w:tcBorders>
            <w:shd w:fill="EDE8DE" w:val="clear"/>
            <w:tcMar>
              <w:top w:type="dxa" w:w="80"/>
              <w:left w:type="dxa" w:w="120"/>
              <w:bottom w:type="dxa" w:w="80"/>
              <w:right w:type="dxa" w:w="120"/>
            </w:tcMar>
          </w:tcPr>
          <w:p>
            <w:r>
              <w:rPr>
                <w:rFonts w:ascii="Arial" w:cs="Arial" w:eastAsia="Arial" w:hAnsi="Arial"/>
                <w:color w:val="1A1A2E"/>
                <w:sz w:val="20"/>
                <w:szCs w:val="20"/>
              </w:rPr>
              <w:t xml:space="preserve">Akeli n'est pas le représentant de qui que ce soit — il ne crée pas de mouvement</w:t>
            </w:r>
          </w:p>
        </w:tc>
      </w:tr>
      <w:tr>
        <w:tc>
          <w:tcPr>
            <w:tcW w:type="dxa" w:w="500"/>
            <w:tcBorders>
              <w:top w:val="single" w:color="D4C5A9" w:sz="1"/>
              <w:left w:val="single" w:color="D4C5A9" w:sz="1"/>
              <w:bottom w:val="single" w:color="D4C5A9" w:sz="1"/>
              <w:right w:val="single" w:color="D4C5A9" w:sz="1"/>
            </w:tcBorders>
            <w:shd w:fill="F7F4EF" w:val="clear"/>
            <w:tcMar>
              <w:top w:type="dxa" w:w="80"/>
              <w:left w:type="dxa" w:w="120"/>
              <w:bottom w:type="dxa" w:w="80"/>
              <w:right w:type="dxa" w:w="120"/>
            </w:tcMar>
          </w:tcPr>
          <w:p>
            <w:r>
              <w:rPr>
                <w:rFonts w:ascii="Arial" w:cs="Arial" w:eastAsia="Arial" w:hAnsi="Arial"/>
                <w:b/>
                <w:bCs/>
                <w:color w:val="C9A84C"/>
                <w:sz w:val="20"/>
                <w:szCs w:val="20"/>
              </w:rPr>
              <w:t xml:space="preserve">2</w:t>
            </w:r>
          </w:p>
        </w:tc>
        <w:tc>
          <w:tcPr>
            <w:tcW w:type="dxa" w:w="8860"/>
            <w:tcBorders>
              <w:top w:val="single" w:color="D4C5A9" w:sz="1"/>
              <w:left w:val="single" w:color="D4C5A9" w:sz="1"/>
              <w:bottom w:val="single" w:color="D4C5A9" w:sz="1"/>
              <w:right w:val="single" w:color="D4C5A9" w:sz="1"/>
            </w:tcBorders>
            <w:shd w:fill="F7F4EF" w:val="clear"/>
            <w:tcMar>
              <w:top w:type="dxa" w:w="80"/>
              <w:left w:type="dxa" w:w="120"/>
              <w:bottom w:type="dxa" w:w="80"/>
              <w:right w:type="dxa" w:w="120"/>
            </w:tcMar>
          </w:tcPr>
          <w:p>
            <w:r>
              <w:rPr>
                <w:rFonts w:ascii="Arial" w:cs="Arial" w:eastAsia="Arial" w:hAnsi="Arial"/>
                <w:color w:val="1A1A2E"/>
                <w:sz w:val="20"/>
                <w:szCs w:val="20"/>
              </w:rPr>
              <w:t xml:space="preserve">Il est la tentative de manifestation de ce qui a toujours été</w:t>
            </w:r>
          </w:p>
        </w:tc>
      </w:tr>
      <w:tr>
        <w:tc>
          <w:tcPr>
            <w:tcW w:type="dxa" w:w="500"/>
            <w:tcBorders>
              <w:top w:val="single" w:color="D4C5A9" w:sz="1"/>
              <w:left w:val="single" w:color="D4C5A9" w:sz="1"/>
              <w:bottom w:val="single" w:color="D4C5A9" w:sz="1"/>
              <w:right w:val="single" w:color="D4C5A9" w:sz="1"/>
            </w:tcBorders>
            <w:shd w:fill="EDE8DE" w:val="clear"/>
            <w:tcMar>
              <w:top w:type="dxa" w:w="80"/>
              <w:left w:type="dxa" w:w="120"/>
              <w:bottom w:type="dxa" w:w="80"/>
              <w:right w:type="dxa" w:w="120"/>
            </w:tcMar>
          </w:tcPr>
          <w:p>
            <w:r>
              <w:rPr>
                <w:rFonts w:ascii="Arial" w:cs="Arial" w:eastAsia="Arial" w:hAnsi="Arial"/>
                <w:b/>
                <w:bCs/>
                <w:color w:val="C9A84C"/>
                <w:sz w:val="20"/>
                <w:szCs w:val="20"/>
              </w:rPr>
              <w:t xml:space="preserve">3</w:t>
            </w:r>
          </w:p>
        </w:tc>
        <w:tc>
          <w:tcPr>
            <w:tcW w:type="dxa" w:w="8860"/>
            <w:tcBorders>
              <w:top w:val="single" w:color="D4C5A9" w:sz="1"/>
              <w:left w:val="single" w:color="D4C5A9" w:sz="1"/>
              <w:bottom w:val="single" w:color="D4C5A9" w:sz="1"/>
              <w:right w:val="single" w:color="D4C5A9" w:sz="1"/>
            </w:tcBorders>
            <w:shd w:fill="EDE8DE" w:val="clear"/>
            <w:tcMar>
              <w:top w:type="dxa" w:w="80"/>
              <w:left w:type="dxa" w:w="120"/>
              <w:bottom w:type="dxa" w:w="80"/>
              <w:right w:type="dxa" w:w="120"/>
            </w:tcMar>
          </w:tcPr>
          <w:p>
            <w:r>
              <w:rPr>
                <w:rFonts w:ascii="Arial" w:cs="Arial" w:eastAsia="Arial" w:hAnsi="Arial"/>
                <w:color w:val="1A1A2E"/>
                <w:sz w:val="20"/>
                <w:szCs w:val="20"/>
              </w:rPr>
              <w:t xml:space="preserve">La constance du peuple comme réalité anthropologique — ce qui dure est plus fiable que ce qui innove</w:t>
            </w:r>
          </w:p>
        </w:tc>
      </w:tr>
      <w:tr>
        <w:tc>
          <w:tcPr>
            <w:tcW w:type="dxa" w:w="500"/>
            <w:tcBorders>
              <w:top w:val="single" w:color="D4C5A9" w:sz="1"/>
              <w:left w:val="single" w:color="D4C5A9" w:sz="1"/>
              <w:bottom w:val="single" w:color="D4C5A9" w:sz="1"/>
              <w:right w:val="single" w:color="D4C5A9" w:sz="1"/>
            </w:tcBorders>
            <w:shd w:fill="F7F4EF" w:val="clear"/>
            <w:tcMar>
              <w:top w:type="dxa" w:w="80"/>
              <w:left w:type="dxa" w:w="120"/>
              <w:bottom w:type="dxa" w:w="80"/>
              <w:right w:type="dxa" w:w="120"/>
            </w:tcMar>
          </w:tcPr>
          <w:p>
            <w:r>
              <w:rPr>
                <w:rFonts w:ascii="Arial" w:cs="Arial" w:eastAsia="Arial" w:hAnsi="Arial"/>
                <w:b/>
                <w:bCs/>
                <w:color w:val="C9A84C"/>
                <w:sz w:val="20"/>
                <w:szCs w:val="20"/>
              </w:rPr>
              <w:t xml:space="preserve">4</w:t>
            </w:r>
          </w:p>
        </w:tc>
        <w:tc>
          <w:tcPr>
            <w:tcW w:type="dxa" w:w="8860"/>
            <w:tcBorders>
              <w:top w:val="single" w:color="D4C5A9" w:sz="1"/>
              <w:left w:val="single" w:color="D4C5A9" w:sz="1"/>
              <w:bottom w:val="single" w:color="D4C5A9" w:sz="1"/>
              <w:right w:val="single" w:color="D4C5A9" w:sz="1"/>
            </w:tcBorders>
            <w:shd w:fill="F7F4EF" w:val="clear"/>
            <w:tcMar>
              <w:top w:type="dxa" w:w="80"/>
              <w:left w:type="dxa" w:w="120"/>
              <w:bottom w:type="dxa" w:w="80"/>
              <w:right w:type="dxa" w:w="120"/>
            </w:tcMar>
          </w:tcPr>
          <w:p>
            <w:r>
              <w:rPr>
                <w:rFonts w:ascii="Arial" w:cs="Arial" w:eastAsia="Arial" w:hAnsi="Arial"/>
                <w:color w:val="1A1A2E"/>
                <w:sz w:val="20"/>
                <w:szCs w:val="20"/>
              </w:rPr>
              <w:t xml:space="preserve">La ségrégation sociale des fondateurs startup comme cécité de marché structurelle</w:t>
            </w:r>
          </w:p>
        </w:tc>
      </w:tr>
      <w:tr>
        <w:tc>
          <w:tcPr>
            <w:tcW w:type="dxa" w:w="500"/>
            <w:tcBorders>
              <w:top w:val="single" w:color="D4C5A9" w:sz="1"/>
              <w:left w:val="single" w:color="D4C5A9" w:sz="1"/>
              <w:bottom w:val="single" w:color="D4C5A9" w:sz="1"/>
              <w:right w:val="single" w:color="D4C5A9" w:sz="1"/>
            </w:tcBorders>
            <w:shd w:fill="EDE8DE" w:val="clear"/>
            <w:tcMar>
              <w:top w:type="dxa" w:w="80"/>
              <w:left w:type="dxa" w:w="120"/>
              <w:bottom w:type="dxa" w:w="80"/>
              <w:right w:type="dxa" w:w="120"/>
            </w:tcMar>
          </w:tcPr>
          <w:p>
            <w:r>
              <w:rPr>
                <w:rFonts w:ascii="Arial" w:cs="Arial" w:eastAsia="Arial" w:hAnsi="Arial"/>
                <w:b/>
                <w:bCs/>
                <w:color w:val="C9A84C"/>
                <w:sz w:val="20"/>
                <w:szCs w:val="20"/>
              </w:rPr>
              <w:t xml:space="preserve">5</w:t>
            </w:r>
          </w:p>
        </w:tc>
        <w:tc>
          <w:tcPr>
            <w:tcW w:type="dxa" w:w="8860"/>
            <w:tcBorders>
              <w:top w:val="single" w:color="D4C5A9" w:sz="1"/>
              <w:left w:val="single" w:color="D4C5A9" w:sz="1"/>
              <w:bottom w:val="single" w:color="D4C5A9" w:sz="1"/>
              <w:right w:val="single" w:color="D4C5A9" w:sz="1"/>
            </w:tcBorders>
            <w:shd w:fill="EDE8DE" w:val="clear"/>
            <w:tcMar>
              <w:top w:type="dxa" w:w="80"/>
              <w:left w:type="dxa" w:w="120"/>
              <w:bottom w:type="dxa" w:w="80"/>
              <w:right w:type="dxa" w:w="120"/>
            </w:tcMar>
          </w:tcPr>
          <w:p>
            <w:r>
              <w:rPr>
                <w:rFonts w:ascii="Arial" w:cs="Arial" w:eastAsia="Arial" w:hAnsi="Arial"/>
                <w:color w:val="1A1A2E"/>
                <w:sz w:val="20"/>
                <w:szCs w:val="20"/>
              </w:rPr>
              <w:t xml:space="preserve">Le Profil 3 reproduit au sein de la diaspora la même distance que le circuit startup produit dans la tech</w:t>
            </w:r>
          </w:p>
        </w:tc>
      </w:tr>
      <w:tr>
        <w:tc>
          <w:tcPr>
            <w:tcW w:type="dxa" w:w="500"/>
            <w:tcBorders>
              <w:top w:val="single" w:color="D4C5A9" w:sz="1"/>
              <w:left w:val="single" w:color="D4C5A9" w:sz="1"/>
              <w:bottom w:val="single" w:color="D4C5A9" w:sz="1"/>
              <w:right w:val="single" w:color="D4C5A9" w:sz="1"/>
            </w:tcBorders>
            <w:shd w:fill="F7F4EF" w:val="clear"/>
            <w:tcMar>
              <w:top w:type="dxa" w:w="80"/>
              <w:left w:type="dxa" w:w="120"/>
              <w:bottom w:type="dxa" w:w="80"/>
              <w:right w:type="dxa" w:w="120"/>
            </w:tcMar>
          </w:tcPr>
          <w:p>
            <w:r>
              <w:rPr>
                <w:rFonts w:ascii="Arial" w:cs="Arial" w:eastAsia="Arial" w:hAnsi="Arial"/>
                <w:b/>
                <w:bCs/>
                <w:color w:val="C9A84C"/>
                <w:sz w:val="20"/>
                <w:szCs w:val="20"/>
              </w:rPr>
              <w:t xml:space="preserve">6</w:t>
            </w:r>
          </w:p>
        </w:tc>
        <w:tc>
          <w:tcPr>
            <w:tcW w:type="dxa" w:w="8860"/>
            <w:tcBorders>
              <w:top w:val="single" w:color="D4C5A9" w:sz="1"/>
              <w:left w:val="single" w:color="D4C5A9" w:sz="1"/>
              <w:bottom w:val="single" w:color="D4C5A9" w:sz="1"/>
              <w:right w:val="single" w:color="D4C5A9" w:sz="1"/>
            </w:tcBorders>
            <w:shd w:fill="F7F4EF" w:val="clear"/>
            <w:tcMar>
              <w:top w:type="dxa" w:w="80"/>
              <w:left w:type="dxa" w:w="120"/>
              <w:bottom w:type="dxa" w:w="80"/>
              <w:right w:type="dxa" w:w="120"/>
            </w:tcMar>
          </w:tcPr>
          <w:p>
            <w:r>
              <w:rPr>
                <w:rFonts w:ascii="Arial" w:cs="Arial" w:eastAsia="Arial" w:hAnsi="Arial"/>
                <w:color w:val="1A1A2E"/>
                <w:sz w:val="20"/>
                <w:szCs w:val="20"/>
              </w:rPr>
              <w:t xml:space="preserve">Il vaut mieux être soi que de dire en moins bien ce que les autres ont déjà dit</w:t>
            </w:r>
          </w:p>
        </w:tc>
      </w:tr>
      <w:tr>
        <w:tc>
          <w:tcPr>
            <w:tcW w:type="dxa" w:w="500"/>
            <w:tcBorders>
              <w:top w:val="single" w:color="D4C5A9" w:sz="1"/>
              <w:left w:val="single" w:color="D4C5A9" w:sz="1"/>
              <w:bottom w:val="single" w:color="D4C5A9" w:sz="1"/>
              <w:right w:val="single" w:color="D4C5A9" w:sz="1"/>
            </w:tcBorders>
            <w:shd w:fill="EDE8DE" w:val="clear"/>
            <w:tcMar>
              <w:top w:type="dxa" w:w="80"/>
              <w:left w:type="dxa" w:w="120"/>
              <w:bottom w:type="dxa" w:w="80"/>
              <w:right w:type="dxa" w:w="120"/>
            </w:tcMar>
          </w:tcPr>
          <w:p>
            <w:r>
              <w:rPr>
                <w:rFonts w:ascii="Arial" w:cs="Arial" w:eastAsia="Arial" w:hAnsi="Arial"/>
                <w:b/>
                <w:bCs/>
                <w:color w:val="C9A84C"/>
                <w:sz w:val="20"/>
                <w:szCs w:val="20"/>
              </w:rPr>
              <w:t xml:space="preserve">7</w:t>
            </w:r>
          </w:p>
        </w:tc>
        <w:tc>
          <w:tcPr>
            <w:tcW w:type="dxa" w:w="8860"/>
            <w:tcBorders>
              <w:top w:val="single" w:color="D4C5A9" w:sz="1"/>
              <w:left w:val="single" w:color="D4C5A9" w:sz="1"/>
              <w:bottom w:val="single" w:color="D4C5A9" w:sz="1"/>
              <w:right w:val="single" w:color="D4C5A9" w:sz="1"/>
            </w:tcBorders>
            <w:shd w:fill="EDE8DE" w:val="clear"/>
            <w:tcMar>
              <w:top w:type="dxa" w:w="80"/>
              <w:left w:type="dxa" w:w="120"/>
              <w:bottom w:type="dxa" w:w="80"/>
              <w:right w:type="dxa" w:w="120"/>
            </w:tcMar>
          </w:tcPr>
          <w:p>
            <w:r>
              <w:rPr>
                <w:rFonts w:ascii="Arial" w:cs="Arial" w:eastAsia="Arial" w:hAnsi="Arial"/>
                <w:color w:val="1A1A2E"/>
                <w:sz w:val="20"/>
                <w:szCs w:val="20"/>
              </w:rPr>
              <w:t xml:space="preserve">Akeli ne se positionne pas — il est</w:t>
            </w:r>
          </w:p>
        </w:tc>
      </w:tr>
      <w:tr>
        <w:tc>
          <w:tcPr>
            <w:tcW w:type="dxa" w:w="500"/>
            <w:tcBorders>
              <w:top w:val="single" w:color="D4C5A9" w:sz="1"/>
              <w:left w:val="single" w:color="D4C5A9" w:sz="1"/>
              <w:bottom w:val="single" w:color="D4C5A9" w:sz="1"/>
              <w:right w:val="single" w:color="D4C5A9" w:sz="1"/>
            </w:tcBorders>
            <w:shd w:fill="F7F4EF" w:val="clear"/>
            <w:tcMar>
              <w:top w:type="dxa" w:w="80"/>
              <w:left w:type="dxa" w:w="120"/>
              <w:bottom w:type="dxa" w:w="80"/>
              <w:right w:type="dxa" w:w="120"/>
            </w:tcMar>
          </w:tcPr>
          <w:p>
            <w:r>
              <w:rPr>
                <w:rFonts w:ascii="Arial" w:cs="Arial" w:eastAsia="Arial" w:hAnsi="Arial"/>
                <w:b/>
                <w:bCs/>
                <w:color w:val="C9A84C"/>
                <w:sz w:val="20"/>
                <w:szCs w:val="20"/>
              </w:rPr>
              <w:t xml:space="preserve">8</w:t>
            </w:r>
          </w:p>
        </w:tc>
        <w:tc>
          <w:tcPr>
            <w:tcW w:type="dxa" w:w="8860"/>
            <w:tcBorders>
              <w:top w:val="single" w:color="D4C5A9" w:sz="1"/>
              <w:left w:val="single" w:color="D4C5A9" w:sz="1"/>
              <w:bottom w:val="single" w:color="D4C5A9" w:sz="1"/>
              <w:right w:val="single" w:color="D4C5A9" w:sz="1"/>
            </w:tcBorders>
            <w:shd w:fill="F7F4EF" w:val="clear"/>
            <w:tcMar>
              <w:top w:type="dxa" w:w="80"/>
              <w:left w:type="dxa" w:w="120"/>
              <w:bottom w:type="dxa" w:w="80"/>
              <w:right w:type="dxa" w:w="120"/>
            </w:tcMar>
          </w:tcPr>
          <w:p>
            <w:r>
              <w:rPr>
                <w:rFonts w:ascii="Arial" w:cs="Arial" w:eastAsia="Arial" w:hAnsi="Arial"/>
                <w:color w:val="1A1A2E"/>
                <w:sz w:val="20"/>
                <w:szCs w:val="20"/>
              </w:rPr>
              <w:t xml:space="preserve">La communication publique s'adresse à une émotion collective, pas à mille individus séparément</w:t>
            </w:r>
          </w:p>
        </w:tc>
      </w:tr>
      <w:tr>
        <w:tc>
          <w:tcPr>
            <w:tcW w:type="dxa" w:w="500"/>
            <w:tcBorders>
              <w:top w:val="single" w:color="D4C5A9" w:sz="1"/>
              <w:left w:val="single" w:color="D4C5A9" w:sz="1"/>
              <w:bottom w:val="single" w:color="D4C5A9" w:sz="1"/>
              <w:right w:val="single" w:color="D4C5A9" w:sz="1"/>
            </w:tcBorders>
            <w:shd w:fill="EDE8DE" w:val="clear"/>
            <w:tcMar>
              <w:top w:type="dxa" w:w="80"/>
              <w:left w:type="dxa" w:w="120"/>
              <w:bottom w:type="dxa" w:w="80"/>
              <w:right w:type="dxa" w:w="120"/>
            </w:tcMar>
          </w:tcPr>
          <w:p>
            <w:r>
              <w:rPr>
                <w:rFonts w:ascii="Arial" w:cs="Arial" w:eastAsia="Arial" w:hAnsi="Arial"/>
                <w:b/>
                <w:bCs/>
                <w:color w:val="C9A84C"/>
                <w:sz w:val="20"/>
                <w:szCs w:val="20"/>
              </w:rPr>
              <w:t xml:space="preserve">9</w:t>
            </w:r>
          </w:p>
        </w:tc>
        <w:tc>
          <w:tcPr>
            <w:tcW w:type="dxa" w:w="8860"/>
            <w:tcBorders>
              <w:top w:val="single" w:color="D4C5A9" w:sz="1"/>
              <w:left w:val="single" w:color="D4C5A9" w:sz="1"/>
              <w:bottom w:val="single" w:color="D4C5A9" w:sz="1"/>
              <w:right w:val="single" w:color="D4C5A9" w:sz="1"/>
            </w:tcBorders>
            <w:shd w:fill="EDE8DE" w:val="clear"/>
            <w:tcMar>
              <w:top w:type="dxa" w:w="80"/>
              <w:left w:type="dxa" w:w="120"/>
              <w:bottom w:type="dxa" w:w="80"/>
              <w:right w:type="dxa" w:w="120"/>
            </w:tcMar>
          </w:tcPr>
          <w:p>
            <w:r>
              <w:rPr>
                <w:rFonts w:ascii="Arial" w:cs="Arial" w:eastAsia="Arial" w:hAnsi="Arial"/>
                <w:color w:val="1A1A2E"/>
                <w:sz w:val="20"/>
                <w:szCs w:val="20"/>
              </w:rPr>
              <w:t xml:space="preserve">Chaque contenu doit pouvoir être republié dans cinq ans sans paraître daté</w:t>
            </w:r>
          </w:p>
        </w:tc>
      </w:tr>
      <w:tr>
        <w:tc>
          <w:tcPr>
            <w:tcW w:type="dxa" w:w="500"/>
            <w:tcBorders>
              <w:top w:val="single" w:color="D4C5A9" w:sz="1"/>
              <w:left w:val="single" w:color="D4C5A9" w:sz="1"/>
              <w:bottom w:val="single" w:color="D4C5A9" w:sz="1"/>
              <w:right w:val="single" w:color="D4C5A9" w:sz="1"/>
            </w:tcBorders>
            <w:shd w:fill="F7F4EF" w:val="clear"/>
            <w:tcMar>
              <w:top w:type="dxa" w:w="80"/>
              <w:left w:type="dxa" w:w="120"/>
              <w:bottom w:type="dxa" w:w="80"/>
              <w:right w:type="dxa" w:w="120"/>
            </w:tcMar>
          </w:tcPr>
          <w:p>
            <w:r>
              <w:rPr>
                <w:rFonts w:ascii="Arial" w:cs="Arial" w:eastAsia="Arial" w:hAnsi="Arial"/>
                <w:b/>
                <w:bCs/>
                <w:color w:val="C9A84C"/>
                <w:sz w:val="20"/>
                <w:szCs w:val="20"/>
              </w:rPr>
              <w:t xml:space="preserve">10</w:t>
            </w:r>
          </w:p>
        </w:tc>
        <w:tc>
          <w:tcPr>
            <w:tcW w:type="dxa" w:w="8860"/>
            <w:tcBorders>
              <w:top w:val="single" w:color="D4C5A9" w:sz="1"/>
              <w:left w:val="single" w:color="D4C5A9" w:sz="1"/>
              <w:bottom w:val="single" w:color="D4C5A9" w:sz="1"/>
              <w:right w:val="single" w:color="D4C5A9" w:sz="1"/>
            </w:tcBorders>
            <w:shd w:fill="F7F4EF" w:val="clear"/>
            <w:tcMar>
              <w:top w:type="dxa" w:w="80"/>
              <w:left w:type="dxa" w:w="120"/>
              <w:bottom w:type="dxa" w:w="80"/>
              <w:right w:type="dxa" w:w="120"/>
            </w:tcMar>
          </w:tcPr>
          <w:p>
            <w:r>
              <w:rPr>
                <w:rFonts w:ascii="Arial" w:cs="Arial" w:eastAsia="Arial" w:hAnsi="Arial"/>
                <w:color w:val="1A1A2E"/>
                <w:sz w:val="20"/>
                <w:szCs w:val="20"/>
              </w:rPr>
              <w:t xml:space="preserve">La confiance précède toujours l'engagement — on reconnaît avant d'adhérer</w:t>
            </w:r>
          </w:p>
        </w:tc>
      </w:tr>
    </w:tbl>
    <w:p>
      <w:pPr>
        <w:spacing w:after="80" w:before="80"/>
      </w:pPr>
      <w:r>
        <w:t xml:space="preserve"/>
      </w:r>
    </w:p>
    <w:p>
      <w:pPr>
        <w:pBdr>
          <w:bottom w:val="single" w:color="D4C5A9" w:sz="2"/>
        </w:pBdr>
        <w:spacing w:after="200" w:before="200"/>
      </w:pPr>
      <w:r>
        <w:t xml:space="preserve"/>
      </w:r>
    </w:p>
    <w:p>
      <w:pPr>
        <w:spacing w:after="0" w:before="160"/>
        <w:jc w:val="center"/>
      </w:pPr>
      <w:r>
        <w:rPr>
          <w:rFonts w:ascii="Arial" w:cs="Arial" w:eastAsia="Arial" w:hAnsi="Arial"/>
          <w:i/>
          <w:iCs/>
          <w:color w:val="AAAAAA"/>
          <w:sz w:val="18"/>
          <w:szCs w:val="18"/>
        </w:rPr>
        <w:t xml:space="preserve">AKELI — Usage interne — Mars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2026-03-08T11:14:09.629Z</dcterms:created>
  <dcterms:modified xsi:type="dcterms:W3CDTF">2026-03-08T11:14:09.630Z</dcterms:modified>
</cp:coreProperties>
</file>

<file path=docProps/custom.xml><?xml version="1.0" encoding="utf-8"?>
<Properties xmlns="http://schemas.openxmlformats.org/officeDocument/2006/custom-properties" xmlns:vt="http://schemas.openxmlformats.org/officeDocument/2006/docPropsVTypes"/>
</file>