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left"/>
      </w:pPr>
      <w:r>
        <w:rPr>
          <w:rFonts w:ascii="Arial" w:cs="Arial" w:eastAsia="Arial" w:hAnsi="Arial"/>
          <w:b/>
          <w:bCs/>
          <w:i w:val="false"/>
          <w:iCs w:val="false"/>
          <w:color w:val="C8A96E"/>
          <w:sz w:val="18"/>
          <w:szCs w:val="18"/>
        </w:rPr>
        <w:t xml:space="preserve">AKELI — DOCUMENTATION INTERNE</w:t>
      </w:r>
    </w:p>
    <w:p>
      <w:pPr>
        <w:pBdr>
          <w:bottom w:val="single" w:color="C8A96E" w:sz="6"/>
        </w:pBdr>
        <w:spacing w:before="40" w:after="160"/>
      </w:pPr>
      <w:r>
        <w:rPr>
          <w:rFonts w:ascii="Arial" w:cs="Arial" w:eastAsia="Arial" w:hAnsi="Arial"/>
          <w:b/>
          <w:bCs/>
          <w:color w:val="1A3C5E"/>
          <w:sz w:val="52"/>
          <w:szCs w:val="52"/>
        </w:rPr>
        <w:t xml:space="preserve">REF-10</w:t>
      </w:r>
    </w:p>
    <w:p>
      <w:pPr>
        <w:spacing w:before="160" w:after="100"/>
        <w:jc w:val="left"/>
      </w:pPr>
      <w:r>
        <w:rPr>
          <w:rFonts w:ascii="Arial" w:cs="Arial" w:eastAsia="Arial" w:hAnsi="Arial"/>
          <w:b/>
          <w:bCs/>
          <w:i w:val="false"/>
          <w:iCs w:val="false"/>
          <w:color w:val="1A3C5E"/>
          <w:sz w:val="40"/>
          <w:szCs w:val="40"/>
        </w:rPr>
        <w:t xml:space="preserve">Stratégie de communication dans le temps</w:t>
      </w:r>
    </w:p>
    <w:p>
      <w:pPr>
        <w:spacing w:before="0" w:after="40"/>
        <w:jc w:val="left"/>
      </w:pPr>
      <w:r>
        <w:rPr>
          <w:rFonts w:ascii="Arial" w:cs="Arial" w:eastAsia="Arial" w:hAnsi="Arial"/>
          <w:b w:val="false"/>
          <w:bCs w:val="false"/>
          <w:i/>
          <w:iCs/>
          <w:color w:val="1A1A1A"/>
          <w:sz w:val="21"/>
          <w:szCs w:val="21"/>
        </w:rPr>
        <w:t xml:space="preserve">Conversion par accumulation · Deux jambes · Granularité · Registres émotionnels</w:t>
      </w:r>
    </w:p>
    <w:p>
      <w:pPr>
        <w:spacing w:before="0" w:after="400"/>
        <w:jc w:val="left"/>
      </w:pPr>
      <w:r>
        <w:rPr>
          <w:rFonts w:ascii="Arial" w:cs="Arial" w:eastAsia="Arial" w:hAnsi="Arial"/>
          <w:b w:val="false"/>
          <w:bCs w:val="false"/>
          <w:i w:val="false"/>
          <w:iCs w:val="false"/>
          <w:color w:val="C8A96E"/>
          <w:sz w:val="20"/>
          <w:szCs w:val="20"/>
        </w:rPr>
        <w:t xml:space="preserve">Mars 2026 — Curtis, Fondateur Akeli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40"/>
              <w:left w:type="dxa" w:w="220"/>
              <w:bottom w:type="dxa" w:w="140"/>
              <w:right w:type="dxa" w:w="220"/>
            </w:tcMar>
          </w:tcPr>
          <w:p>
            <w:r>
              <w:rPr>
                <w:rFonts w:ascii="Arial" w:cs="Arial" w:eastAsia="Arial" w:hAnsi="Arial"/>
                <w:b/>
                <w:bCs/>
                <w:color w:val="1A3C5E"/>
                <w:sz w:val="20"/>
                <w:szCs w:val="20"/>
              </w:rPr>
              <w:t xml:space="preserve">Quand consulter ce document</w:t>
            </w:r>
          </w:p>
          <w:p>
            <w:pPr>
              <w:spacing w:before="60"/>
            </w:pPr>
            <w:r>
              <w:rPr>
                <w:rFonts w:ascii="Arial" w:cs="Arial" w:eastAsia="Arial" w:hAnsi="Arial"/>
                <w:color w:val="1A1A1A"/>
                <w:sz w:val="20"/>
                <w:szCs w:val="20"/>
              </w:rPr>
              <w:t xml:space="preserve">Ce document est la boussole stratégique qui donne son sens à toutes les autres REF.</w:t>
            </w:r>
          </w:p>
          <w:p>
            <w:pPr>
              <w:spacing w:before="60"/>
            </w:pPr>
            <w:r>
              <w:rPr>
                <w:rFonts w:ascii="Arial" w:cs="Arial" w:eastAsia="Arial" w:hAnsi="Arial"/>
                <w:color w:val="1A1A1A"/>
                <w:sz w:val="20"/>
                <w:szCs w:val="20"/>
              </w:rPr>
              <w:t xml:space="preserve">Le consulter quand on planifie une série de contenus, quand on évalue l'efficacité d'un contenu existant,</w:t>
            </w:r>
          </w:p>
          <w:p>
            <w:pPr>
              <w:spacing w:before="60"/>
            </w:pPr>
            <w:r>
              <w:rPr>
                <w:rFonts w:ascii="Arial" w:cs="Arial" w:eastAsia="Arial" w:hAnsi="Arial"/>
                <w:color w:val="1A1A1A"/>
                <w:sz w:val="20"/>
                <w:szCs w:val="20"/>
              </w:rPr>
              <w:t xml:space="preserve">quand on se demande pourquoi un contenu n'engage pas, ou quand on veut comprendre</w:t>
            </w:r>
          </w:p>
          <w:p>
            <w:pPr>
              <w:spacing w:before="60"/>
            </w:pPr>
            <w:r>
              <w:rPr>
                <w:rFonts w:ascii="Arial" w:cs="Arial" w:eastAsia="Arial" w:hAnsi="Arial"/>
                <w:color w:val="1A1A1A"/>
                <w:sz w:val="20"/>
                <w:szCs w:val="20"/>
              </w:rPr>
              <w:t xml:space="preserve">pourquoi Akeli communique comme il le fait — et pas autrement.</w:t>
            </w:r>
          </w:p>
        </w:tc>
      </w:tr>
    </w:tbl>
    <w:p>
      <w:r>
        <w:t xml:space="preserve"/>
      </w:r>
    </w:p>
    <w:p>
      <w:r>
        <w:t xml:space="preserve"/>
      </w:r>
    </w:p>
    <w:p>
      <w:pPr>
        <w:pStyle w:val="Heading1"/>
        <w:spacing w:before="380" w:after="120"/>
      </w:pPr>
      <w:r>
        <w:rPr>
          <w:rFonts w:ascii="Arial" w:cs="Arial" w:eastAsia="Arial" w:hAnsi="Arial"/>
          <w:b/>
          <w:bCs/>
          <w:color w:val="1A3C5E"/>
          <w:sz w:val="32"/>
          <w:szCs w:val="32"/>
        </w:rPr>
        <w:t xml:space="preserve">0. Le changement de paradigme</w:t>
      </w:r>
    </w:p>
    <w:p>
      <w:pPr>
        <w:spacing w:before="60" w:after="80"/>
        <w:jc w:val="left"/>
      </w:pPr>
      <w:r>
        <w:rPr>
          <w:rFonts w:ascii="Arial" w:cs="Arial" w:eastAsia="Arial" w:hAnsi="Arial"/>
          <w:b w:val="false"/>
          <w:bCs w:val="false"/>
          <w:i w:val="false"/>
          <w:iCs w:val="false"/>
          <w:color w:val="1A1A1A"/>
          <w:sz w:val="22"/>
          <w:szCs w:val="22"/>
        </w:rPr>
        <w:t xml:space="preserve">Avant de poser la stratégie, il faut nommer ce qui a changé. Parce que la stratégie de communication d'Akeli n'est pas une préférence stylistique — elle est une réponse à un changement structurel dans la façon dont la confiance se construit entre une marque et un public.</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6CFC5" w:sz="1"/>
              <w:left w:val="single" w:color="D6CFC5" w:sz="1"/>
              <w:bottom w:val="single" w:color="D6CFC5" w:sz="1"/>
              <w:right w:val="single" w:color="D6CFC5" w:sz="1"/>
            </w:tcBorders>
            <w:shd w:fill="1A3C5E" w:val="clear"/>
            <w:tcMar>
              <w:top w:type="dxa" w:w="100"/>
              <w:left w:type="dxa" w:w="160"/>
              <w:bottom w:type="dxa" w:w="100"/>
              <w:right w:type="dxa" w:w="120"/>
            </w:tcMar>
          </w:tcPr>
          <w:p>
            <w:r>
              <w:rPr>
                <w:rFonts w:ascii="Arial" w:cs="Arial" w:eastAsia="Arial" w:hAnsi="Arial"/>
                <w:b/>
                <w:bCs/>
                <w:color w:val="FFFFFF"/>
                <w:sz w:val="20"/>
                <w:szCs w:val="20"/>
              </w:rPr>
              <w:t xml:space="preserve">L'ancien modèle — la conversion par friction</w:t>
            </w:r>
          </w:p>
        </w:tc>
        <w:tc>
          <w:tcPr>
            <w:tcBorders>
              <w:top w:val="single" w:color="D6CFC5" w:sz="1"/>
              <w:left w:val="single" w:color="D6CFC5" w:sz="1"/>
              <w:bottom w:val="single" w:color="D6CFC5" w:sz="1"/>
              <w:right w:val="single" w:color="D6CFC5" w:sz="1"/>
            </w:tcBorders>
            <w:shd w:fill="C8A96E" w:val="clear"/>
            <w:tcMar>
              <w:top w:type="dxa" w:w="100"/>
              <w:left w:type="dxa" w:w="160"/>
              <w:bottom w:type="dxa" w:w="100"/>
              <w:right w:type="dxa" w:w="120"/>
            </w:tcMar>
          </w:tcPr>
          <w:p>
            <w:r>
              <w:rPr>
                <w:rFonts w:ascii="Arial" w:cs="Arial" w:eastAsia="Arial" w:hAnsi="Arial"/>
                <w:b/>
                <w:bCs/>
                <w:color w:val="FFFFFF"/>
                <w:sz w:val="20"/>
                <w:szCs w:val="20"/>
              </w:rPr>
              <w:t xml:space="preserve">Le nouveau modèle — la conversion par accumulation</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Une pub crée une émotion forte</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Une présence régulière construit une familiarité</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Un clic emmène vers une landing page</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La familiarité construit la confiance</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Une décision forcée dans un contexte de méfiance</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La confiance rend la décision naturelle, presque évidente</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Le taux de conversion est faible — on compense par le volume</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La conversion arrive quand la somme des expositions atteint un seuil</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La landing page crée la décision</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La landing page confirme une décision déjà prise</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Chaque contenu doit convertir</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Chaque contenu dépose une couche de légitimité</w:t>
            </w:r>
          </w:p>
        </w:tc>
      </w:tr>
    </w:tbl>
    <w:p>
      <w:r>
        <w:t xml:space="preserve"/>
      </w:r>
    </w:p>
    <w:p>
      <w:pPr>
        <w:pBdr>
          <w:left w:val="single" w:color="C8A96E" w:sz="12"/>
        </w:pBdr>
        <w:spacing w:before="120" w:after="120"/>
        <w:ind w:left="480"/>
      </w:pPr>
      <w:r>
        <w:rPr>
          <w:rFonts w:ascii="Arial" w:cs="Arial" w:eastAsia="Arial" w:hAnsi="Arial"/>
          <w:i/>
          <w:iCs/>
          <w:color w:val="1A3C5E"/>
          <w:sz w:val="22"/>
          <w:szCs w:val="22"/>
        </w:rPr>
        <w:t xml:space="preserve">Une publicité et une landing page ne suffiront jamais à rendre compte de ce qu'une entreprise propose. Elles étaient une contrainte. TikTok et les réseaux sociaux permettent de la dépasser.</w:t>
      </w:r>
    </w:p>
    <w:p>
      <w:r>
        <w:t xml:space="preserve"/>
      </w:r>
    </w:p>
    <w:p>
      <w:pPr>
        <w:spacing w:before="60" w:after="80"/>
        <w:jc w:val="left"/>
      </w:pPr>
      <w:r>
        <w:rPr>
          <w:rFonts w:ascii="Arial" w:cs="Arial" w:eastAsia="Arial" w:hAnsi="Arial"/>
          <w:b w:val="false"/>
          <w:bCs w:val="false"/>
          <w:i w:val="false"/>
          <w:iCs w:val="false"/>
          <w:color w:val="1A1A1A"/>
          <w:sz w:val="22"/>
          <w:szCs w:val="22"/>
        </w:rPr>
        <w:t xml:space="preserve">Ce changement est mécanique, pas philosophique. Il ne s'agit pas de préférer une approche plus douce ou plus humaine. Il s'agit de comprendre que la mécanique de la décision a changé — et d'y répondre correctement.</w:t>
      </w:r>
    </w:p>
    <w:p>
      <w:r>
        <w:t xml:space="preserve"/>
      </w:r>
    </w:p>
    <w:p>
      <w:r>
        <w:t xml:space="preserve"/>
      </w:r>
    </w:p>
    <w:p>
      <w:pPr>
        <w:pStyle w:val="Heading1"/>
        <w:spacing w:before="380" w:after="120"/>
      </w:pPr>
      <w:r>
        <w:rPr>
          <w:rFonts w:ascii="Arial" w:cs="Arial" w:eastAsia="Arial" w:hAnsi="Arial"/>
          <w:b/>
          <w:bCs/>
          <w:color w:val="1A3C5E"/>
          <w:sz w:val="32"/>
          <w:szCs w:val="32"/>
        </w:rPr>
        <w:t xml:space="preserve">0.5 — Les réseaux comme lieu, pas comme canal</w:t>
      </w:r>
    </w:p>
    <w:p>
      <w:pPr>
        <w:spacing w:before="60" w:after="80"/>
        <w:jc w:val="left"/>
      </w:pPr>
      <w:r>
        <w:rPr>
          <w:rFonts w:ascii="Arial" w:cs="Arial" w:eastAsia="Arial" w:hAnsi="Arial"/>
          <w:b w:val="false"/>
          <w:bCs w:val="false"/>
          <w:i w:val="false"/>
          <w:iCs w:val="false"/>
          <w:color w:val="1A1A1A"/>
          <w:sz w:val="22"/>
          <w:szCs w:val="22"/>
        </w:rPr>
        <w:t xml:space="preserve">La plupart des marques utilisent les réseaux sociaux comme un canal publicitaire : capter l'attention, créer le désir, forcer la décision. Tout l'effort va dans cette direction parce que le besoin n'existe pas encore — il faut le créer, ou l'amplifier jusqu'à la conversion.</w:t>
      </w:r>
    </w:p>
    <w:p>
      <w:pPr>
        <w:spacing w:before="60" w:after="80"/>
        <w:jc w:val="left"/>
      </w:pPr>
      <w:r>
        <w:rPr>
          <w:rFonts w:ascii="Arial" w:cs="Arial" w:eastAsia="Arial" w:hAnsi="Arial"/>
          <w:b w:val="false"/>
          <w:bCs w:val="false"/>
          <w:i w:val="false"/>
          <w:iCs w:val="false"/>
          <w:color w:val="1A1A1A"/>
          <w:sz w:val="22"/>
          <w:szCs w:val="22"/>
        </w:rPr>
        <w:t xml:space="preserve">Akeli part d'une réalité différente.</w:t>
      </w:r>
    </w:p>
    <w:p>
      <w:r>
        <w:t xml:space="preserve"/>
      </w:r>
    </w:p>
    <w:p>
      <w:pPr>
        <w:pBdr>
          <w:left w:val="single" w:color="C8A96E" w:sz="12"/>
        </w:pBdr>
        <w:spacing w:before="120" w:after="120"/>
        <w:ind w:left="480"/>
      </w:pPr>
      <w:r>
        <w:rPr>
          <w:rFonts w:ascii="Arial" w:cs="Arial" w:eastAsia="Arial" w:hAnsi="Arial"/>
          <w:i/>
          <w:iCs/>
          <w:color w:val="1A3C5E"/>
          <w:sz w:val="22"/>
          <w:szCs w:val="22"/>
        </w:rPr>
        <w:t xml:space="preserve">Si le besoin est réel, la conversion n'est pas le problème déterminant. On peut utiliser les réseaux comme lieu de rassemblement, espace de parole — plutôt que simple espace publicitaire.</w:t>
      </w:r>
    </w:p>
    <w:p>
      <w:r>
        <w:t xml:space="preserve"/>
      </w:r>
    </w:p>
    <w:p>
      <w:pPr>
        <w:spacing w:before="60" w:after="80"/>
        <w:jc w:val="left"/>
      </w:pPr>
      <w:r>
        <w:rPr>
          <w:rFonts w:ascii="Arial" w:cs="Arial" w:eastAsia="Arial" w:hAnsi="Arial"/>
          <w:b w:val="false"/>
          <w:bCs w:val="false"/>
          <w:i w:val="false"/>
          <w:iCs w:val="false"/>
          <w:color w:val="1A1A1A"/>
          <w:sz w:val="22"/>
          <w:szCs w:val="22"/>
        </w:rPr>
        <w:t xml:space="preserve">La désynchronisation alimentaire de la diaspora n'a pas besoin d'être inventée. Elle est là. Les gens la vivent. Certains peuvent la nommer, d'autres pas encore — mais elle est réelle et antérieure à Akeli. Ce renversement change fondamentalement la façon dont les réseaux sont utilisés.</w:t>
      </w:r>
    </w:p>
    <w:p>
      <w:pPr>
        <w:spacing w:before="60" w:after="80"/>
        <w:jc w:val="left"/>
      </w:pPr>
      <w:r>
        <w:rPr>
          <w:rFonts w:ascii="Arial" w:cs="Arial" w:eastAsia="Arial" w:hAnsi="Arial"/>
          <w:b w:val="false"/>
          <w:bCs w:val="false"/>
          <w:i w:val="false"/>
          <w:iCs w:val="false"/>
          <w:color w:val="1A1A1A"/>
          <w:sz w:val="22"/>
          <w:szCs w:val="22"/>
        </w:rPr>
        <w:t xml:space="preserve">La question ne devient plus "comment convertir" mais "comment rassembler ceux qui vivent déjà ce besoin". La conversion arrive d'elle-même quand les bonnes personnes se retrouvent au même endroit et comprennent qu'une réponse existe.</w:t>
      </w:r>
    </w:p>
    <w:p>
      <w:r>
        <w:t xml:space="preserve"/>
      </w:r>
    </w:p>
    <w:p>
      <w:pPr>
        <w:spacing w:before="200" w:after="80"/>
      </w:pPr>
      <w:r>
        <w:rPr>
          <w:rFonts w:ascii="Arial" w:cs="Arial" w:eastAsia="Arial" w:hAnsi="Arial"/>
          <w:b/>
          <w:bCs/>
          <w:color w:val="C8A96E"/>
          <w:sz w:val="22"/>
          <w:szCs w:val="22"/>
        </w:rPr>
        <w:t xml:space="preserve">Les trois fonctions des réseaux pour Akeli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20"/>
                <w:szCs w:val="20"/>
              </w:rPr>
              <w:t xml:space="preserve">Fonction</w:t>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20"/>
                <w:szCs w:val="20"/>
              </w:rPr>
              <w:t xml:space="preserve">Ce qui se passe</w:t>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20"/>
                <w:szCs w:val="20"/>
              </w:rPr>
              <w:t xml:space="preserve">Ce que ça produit</w:t>
            </w:r>
          </w:p>
        </w:tc>
      </w:tr>
      <w:tr>
        <w:tc>
          <w:tcPr>
            <w:tcBorders>
              <w:top w:val="single" w:color="D6CFC5" w:sz="1"/>
              <w:left w:val="single" w:color="D6CFC5" w:sz="1"/>
              <w:bottom w:val="single" w:color="D6CFC5" w:sz="1"/>
              <w:right w:val="single" w:color="D6CFC5" w:sz="1"/>
            </w:tcBorders>
            <w:shd w:fill="F2EDE6" w:val="clear"/>
            <w:tcMar>
              <w:top w:type="dxa" w:w="100"/>
              <w:left w:type="dxa" w:w="140"/>
              <w:bottom w:type="dxa" w:w="100"/>
              <w:right w:type="dxa" w:w="100"/>
            </w:tcMar>
          </w:tcPr>
          <w:p>
            <w:r>
              <w:rPr>
                <w:rFonts w:ascii="Arial" w:cs="Arial" w:eastAsia="Arial" w:hAnsi="Arial"/>
                <w:b/>
                <w:bCs/>
                <w:color w:val="1A3C5E"/>
                <w:sz w:val="19"/>
                <w:szCs w:val="19"/>
              </w:rPr>
              <w:t xml:space="preserve">Espace de reconnaissance</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color w:val="1A1A1A"/>
                <w:sz w:val="19"/>
                <w:szCs w:val="19"/>
              </w:rPr>
              <w:t xml:space="preserve">Les gens découvrent que ce qu'ils vivent a un nom, que d'autres le vivent, qu'ils ne sont pas seuls dans ce décalage.</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color w:val="1A1A1A"/>
                <w:sz w:val="19"/>
                <w:szCs w:val="19"/>
              </w:rPr>
              <w:t xml:space="preserve">Le premier mouvement vers la communauté. La légitimité d'Akeli sans argument publicitaire.</w:t>
            </w:r>
          </w:p>
        </w:tc>
      </w:tr>
      <w:tr>
        <w:tc>
          <w:tcPr>
            <w:tcBorders>
              <w:top w:val="single" w:color="D6CFC5" w:sz="1"/>
              <w:left w:val="single" w:color="D6CFC5" w:sz="1"/>
              <w:bottom w:val="single" w:color="D6CFC5" w:sz="1"/>
              <w:right w:val="single" w:color="D6CFC5" w:sz="1"/>
            </w:tcBorders>
            <w:shd w:fill="F2EDE6" w:val="clear"/>
            <w:tcMar>
              <w:top w:type="dxa" w:w="100"/>
              <w:left w:type="dxa" w:w="140"/>
              <w:bottom w:type="dxa" w:w="100"/>
              <w:right w:type="dxa" w:w="100"/>
            </w:tcMar>
          </w:tcPr>
          <w:p>
            <w:r>
              <w:rPr>
                <w:rFonts w:ascii="Arial" w:cs="Arial" w:eastAsia="Arial" w:hAnsi="Arial"/>
                <w:b/>
                <w:bCs/>
                <w:color w:val="1A3C5E"/>
                <w:sz w:val="19"/>
                <w:szCs w:val="19"/>
              </w:rPr>
              <w:t xml:space="preserve">Espace de parole</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color w:val="1A1A1A"/>
                <w:sz w:val="19"/>
                <w:szCs w:val="19"/>
              </w:rPr>
              <w:t xml:space="preserve">Les commentaires ne sont pas un indicateur de performance. Ils sont la substance de ce qu'Akeli construit. Chaque personne qui décrit sa réalité contribue à l'intelligence collective.</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color w:val="1A1A1A"/>
                <w:sz w:val="19"/>
                <w:szCs w:val="19"/>
              </w:rPr>
              <w:t xml:space="preserve">Akeli est le catalyseur, pas la source. La valeur vient de la communauté — Akeli l'organise.</w:t>
            </w:r>
          </w:p>
        </w:tc>
      </w:tr>
      <w:tr>
        <w:tc>
          <w:tcPr>
            <w:tcBorders>
              <w:top w:val="single" w:color="D6CFC5" w:sz="1"/>
              <w:left w:val="single" w:color="D6CFC5" w:sz="1"/>
              <w:bottom w:val="single" w:color="D6CFC5" w:sz="1"/>
              <w:right w:val="single" w:color="D6CFC5" w:sz="1"/>
            </w:tcBorders>
            <w:shd w:fill="F2EDE6" w:val="clear"/>
            <w:tcMar>
              <w:top w:type="dxa" w:w="100"/>
              <w:left w:type="dxa" w:w="140"/>
              <w:bottom w:type="dxa" w:w="100"/>
              <w:right w:type="dxa" w:w="100"/>
            </w:tcMar>
          </w:tcPr>
          <w:p>
            <w:r>
              <w:rPr>
                <w:rFonts w:ascii="Arial" w:cs="Arial" w:eastAsia="Arial" w:hAnsi="Arial"/>
                <w:b/>
                <w:bCs/>
                <w:color w:val="1A3C5E"/>
                <w:sz w:val="19"/>
                <w:szCs w:val="19"/>
              </w:rPr>
              <w:t xml:space="preserve">Espace de rassemblement</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color w:val="1A1A1A"/>
                <w:sz w:val="19"/>
                <w:szCs w:val="19"/>
              </w:rPr>
              <w:t xml:space="preserve">Les gens qui se reconnaissent dans un contenu se reconnaissent aussi entre eux dans les commentaires. La communauté se forme horizontalement.</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color w:val="1A1A1A"/>
                <w:sz w:val="19"/>
                <w:szCs w:val="19"/>
              </w:rPr>
              <w:t xml:space="preserve">Des commentaires qui se répondent entre eux — pas seulement vers Akeli. C'est le signal de victoire.</w:t>
            </w:r>
          </w:p>
        </w:tc>
      </w:tr>
    </w:tbl>
    <w:p>
      <w:r>
        <w:t xml:space="preserve"/>
      </w:r>
    </w:p>
    <w:p>
      <w:pPr>
        <w:spacing w:before="200" w:after="80"/>
      </w:pPr>
      <w:r>
        <w:rPr>
          <w:rFonts w:ascii="Arial" w:cs="Arial" w:eastAsia="Arial" w:hAnsi="Arial"/>
          <w:b/>
          <w:bCs/>
          <w:color w:val="C8A96E"/>
          <w:sz w:val="22"/>
          <w:szCs w:val="22"/>
        </w:rPr>
        <w:t xml:space="preserve">Ce que ça change dans la fonction de la reliance</w:t>
      </w:r>
    </w:p>
    <w:p>
      <w:pPr>
        <w:spacing w:before="60" w:after="80"/>
        <w:jc w:val="left"/>
      </w:pPr>
      <w:r>
        <w:rPr>
          <w:rFonts w:ascii="Arial" w:cs="Arial" w:eastAsia="Arial" w:hAnsi="Arial"/>
          <w:b w:val="false"/>
          <w:bCs w:val="false"/>
          <w:i w:val="false"/>
          <w:iCs w:val="false"/>
          <w:color w:val="1A1A1A"/>
          <w:sz w:val="22"/>
          <w:szCs w:val="22"/>
        </w:rPr>
        <w:t xml:space="preserve">Ce principe a une conséquence directe sur la reliance. La question finale n'est pas seulement une invitation à interagir avec Akeli. C'est une invitation à interagir entre eux.</w:t>
      </w:r>
    </w:p>
    <w:p>
      <w:pPr>
        <w:spacing w:before="60" w:after="80"/>
        <w:jc w:val="left"/>
      </w:pPr>
      <w:r>
        <w:rPr>
          <w:rFonts w:ascii="Arial" w:cs="Arial" w:eastAsia="Arial" w:hAnsi="Arial"/>
          <w:b w:val="false"/>
          <w:bCs w:val="false"/>
          <w:i w:val="false"/>
          <w:iCs w:val="false"/>
          <w:color w:val="1A1A1A"/>
          <w:sz w:val="22"/>
          <w:szCs w:val="22"/>
        </w:rPr>
        <w:t xml:space="preserve">La reliance réussie est celle qui génère des commentaires qui se répondent les uns aux autres — pas des commentaires qui attendent une réponse d'Akeli. Akeli pose la question. La communauté y répond collectivement. Akeli se retire.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6CFC5" w:sz="1"/>
              <w:left w:val="single" w:color="D6CFC5" w:sz="1"/>
              <w:bottom w:val="single" w:color="D6CFC5" w:sz="1"/>
              <w:right w:val="single" w:color="D6CFC5" w:sz="1"/>
            </w:tcBorders>
            <w:shd w:fill="8B0000" w:val="clear"/>
            <w:tcMar>
              <w:top w:type="dxa" w:w="80"/>
              <w:left w:type="dxa" w:w="160"/>
              <w:bottom w:type="dxa" w:w="80"/>
              <w:right w:type="dxa" w:w="120"/>
            </w:tcMar>
          </w:tcPr>
          <w:p>
            <w:r>
              <w:rPr>
                <w:rFonts w:ascii="Arial" w:cs="Arial" w:eastAsia="Arial" w:hAnsi="Arial"/>
                <w:b/>
                <w:bCs/>
                <w:color w:val="FFFFFF"/>
                <w:sz w:val="20"/>
                <w:szCs w:val="20"/>
              </w:rPr>
              <w:t xml:space="preserve">Reliance comme canal publicitaire</w:t>
            </w:r>
          </w:p>
        </w:tc>
        <w:tc>
          <w:tcPr>
            <w:tcBorders>
              <w:top w:val="single" w:color="D6CFC5" w:sz="1"/>
              <w:left w:val="single" w:color="D6CFC5" w:sz="1"/>
              <w:bottom w:val="single" w:color="D6CFC5" w:sz="1"/>
              <w:right w:val="single" w:color="D6CFC5" w:sz="1"/>
            </w:tcBorders>
            <w:shd w:fill="2E5F2E" w:val="clear"/>
            <w:tcMar>
              <w:top w:type="dxa" w:w="80"/>
              <w:left w:type="dxa" w:w="160"/>
              <w:bottom w:type="dxa" w:w="80"/>
              <w:right w:type="dxa" w:w="120"/>
            </w:tcMar>
          </w:tcPr>
          <w:p>
            <w:r>
              <w:rPr>
                <w:rFonts w:ascii="Arial" w:cs="Arial" w:eastAsia="Arial" w:hAnsi="Arial"/>
                <w:b/>
                <w:bCs/>
                <w:color w:val="FFFFFF"/>
                <w:sz w:val="20"/>
                <w:szCs w:val="20"/>
              </w:rPr>
              <w:t xml:space="preserve">Reliance comme lieu de rassemblement</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"Découvrez Akeli en cliquant ici"</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"Chez vous, comment fait-on ?"</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La réponse attendue est une action vers Akeli</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La réponse attendue est un partage vers la communauté</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L'interaction est verticale — vers Akeli</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L'interaction est horizontale — entre membres</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Le succès se mesure en clics</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Le succès se mesure en échanges entre personnes</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La conversion est l'objectif de chaque contenu</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La conversion est la conséquence naturelle d'une communauté formée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40"/>
              <w:left w:type="dxa" w:w="220"/>
              <w:bottom w:type="dxa" w:w="140"/>
              <w:right w:type="dxa" w:w="220"/>
            </w:tcMar>
          </w:tcPr>
          <w:p>
            <w:r>
              <w:rPr>
                <w:rFonts w:ascii="Arial" w:cs="Arial" w:eastAsia="Arial" w:hAnsi="Arial"/>
                <w:b/>
                <w:bCs/>
                <w:color w:val="1A3C5E"/>
                <w:sz w:val="20"/>
                <w:szCs w:val="20"/>
              </w:rPr>
              <w:t xml:space="preserve">La métrique qui change</w:t>
            </w:r>
          </w:p>
          <w:p>
            <w:pPr>
              <w:spacing w:before="60"/>
            </w:pPr>
            <w:r>
              <w:rPr>
                <w:rFonts w:ascii="Arial" w:cs="Arial" w:eastAsia="Arial" w:hAnsi="Arial"/>
                <w:color w:val="1A1A1A"/>
                <w:sz w:val="20"/>
                <w:szCs w:val="20"/>
              </w:rPr>
              <w:t xml:space="preserve">On ne mesure pas la viralité. On ne mesure pas les vues. On ne mesure pas les likes.</w:t>
            </w:r>
          </w:p>
          <w:p>
            <w:pPr>
              <w:spacing w:before="60"/>
            </w:pPr>
            <w:r>
              <w:rPr>
                <w:rFonts w:ascii="Arial" w:cs="Arial" w:eastAsia="Arial" w:hAnsi="Arial"/>
                <w:color w:val="1A1A1A"/>
                <w:sz w:val="20"/>
                <w:szCs w:val="20"/>
              </w:rPr>
              <w:t xml:space="preserve">On mesure le ratio d'interaction : quelle proportion de l'audience commente, et à quelle fréquence.</w:t>
            </w:r>
          </w:p>
          <w:p>
            <w:pPr>
              <w:spacing w:before="60"/>
            </w:pPr>
            <w:r>
              <w:rPr>
                <w:rFonts w:ascii="Arial" w:cs="Arial" w:eastAsia="Arial" w:hAnsi="Arial"/>
                <w:color w:val="1A1A1A"/>
                <w:sz w:val="20"/>
                <w:szCs w:val="20"/>
              </w:rPr>
              <w:t xml:space="preserve">On mesure le taux de retour : les mêmes personnes qui reviennent commenter sur plusieurs contenus dans le temps.</w:t>
            </w:r>
          </w:p>
          <w:p>
            <w:pPr>
              <w:spacing w:before="60"/>
            </w:pPr>
            <w:r>
              <w:rPr>
                <w:rFonts w:ascii="Arial" w:cs="Arial" w:eastAsia="Arial" w:hAnsi="Arial"/>
                <w:color w:val="1A1A1A"/>
                <w:sz w:val="20"/>
                <w:szCs w:val="20"/>
              </w:rPr>
              <w:t xml:space="preserve">On mesure la densité horizontale : des commentaires qui se répondent entre eux — signe que la communauté existe.</w:t>
            </w:r>
          </w:p>
          <w:p>
            <w:pPr>
              <w:spacing w:before="60"/>
            </w:pPr>
            <w:r>
              <w:rPr>
                <w:rFonts w:ascii="Arial" w:cs="Arial" w:eastAsia="Arial" w:hAnsi="Arial"/>
                <w:color w:val="1A1A1A"/>
                <w:sz w:val="20"/>
                <w:szCs w:val="20"/>
              </w:rPr>
              <w:t xml:space="preserve">Seuil clair : une communauté de 5 000 francophones engagés vaut plus que 200 000 abonnés qui regardent de loin.</w:t>
            </w:r>
          </w:p>
        </w:tc>
      </w:tr>
    </w:tbl>
    <w:p>
      <w:r>
        <w:t xml:space="preserve"/>
      </w:r>
    </w:p>
    <w:p>
      <w:r>
        <w:t xml:space="preserve"/>
      </w:r>
    </w:p>
    <w:p>
      <w:pPr>
        <w:pStyle w:val="Heading1"/>
        <w:spacing w:before="380" w:after="120"/>
      </w:pPr>
      <w:r>
        <w:rPr>
          <w:rFonts w:ascii="Arial" w:cs="Arial" w:eastAsia="Arial" w:hAnsi="Arial"/>
          <w:b/>
          <w:bCs/>
          <w:color w:val="1A3C5E"/>
          <w:sz w:val="32"/>
          <w:szCs w:val="32"/>
        </w:rPr>
        <w:t xml:space="preserve">1. La règle des 7 contacts — ce qu'elle implique vraiment</w:t>
      </w:r>
    </w:p>
    <w:p>
      <w:pPr>
        <w:spacing w:before="60" w:after="80"/>
        <w:jc w:val="left"/>
      </w:pPr>
      <w:r>
        <w:rPr>
          <w:rFonts w:ascii="Arial" w:cs="Arial" w:eastAsia="Arial" w:hAnsi="Arial"/>
          <w:b w:val="false"/>
          <w:bCs w:val="false"/>
          <w:i w:val="false"/>
          <w:iCs w:val="false"/>
          <w:color w:val="1A1A1A"/>
          <w:sz w:val="22"/>
          <w:szCs w:val="22"/>
        </w:rPr>
        <w:t xml:space="preserve">Le principe marketing dit qu'une personne a besoin de voir une marque environ 7 fois avant de prendre une décision. Le chiffre exact varie. Le principe, lui, ne varie pas.</w:t>
      </w:r>
    </w:p>
    <w:p>
      <w:pPr>
        <w:spacing w:before="60" w:after="80"/>
        <w:jc w:val="left"/>
      </w:pPr>
      <w:r>
        <w:rPr>
          <w:rFonts w:ascii="Arial" w:cs="Arial" w:eastAsia="Arial" w:hAnsi="Arial"/>
          <w:b w:val="false"/>
          <w:bCs w:val="false"/>
          <w:i w:val="false"/>
          <w:iCs w:val="false"/>
          <w:color w:val="1A1A1A"/>
          <w:sz w:val="22"/>
          <w:szCs w:val="22"/>
        </w:rPr>
        <w:t xml:space="preserve">Ce que ça signifie concrètement pour Akeli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0"/>
              <w:left w:type="dxa" w:w="0"/>
              <w:bottom w:type="dxa" w:w="0"/>
              <w:right w:type="dxa" w:w="0"/>
            </w:tcMar>
          </w:tcPr>
          <w:p>
            <w:pPr>
              <w:spacing w:before="120" w:after="120"/>
              <w:ind w:left="200"/>
            </w:pPr>
            <w:r>
              <w:rPr>
                <w:rFonts w:ascii="Arial" w:cs="Arial" w:eastAsia="Arial" w:hAnsi="Arial"/>
                <w:b/>
                <w:bCs/>
                <w:color w:val="C8A96E"/>
                <w:sz w:val="20"/>
                <w:szCs w:val="20"/>
              </w:rPr>
              <w:t xml:space="preserve">1.  </w:t>
            </w:r>
            <w:r>
              <w:rPr>
                <w:rFonts w:ascii="Arial" w:cs="Arial" w:eastAsia="Arial" w:hAnsi="Arial"/>
                <w:color w:val="1A1A1A"/>
                <w:sz w:val="20"/>
                <w:szCs w:val="20"/>
              </w:rPr>
              <w:t xml:space="preserve">La constance n'est pas une option de style. C'est la condition mécanique de la conversion. Un contenu isolé, même excellent, ne convertit pas. Une présence régulière, même modeste, convertit.</w:t>
            </w:r>
          </w:p>
          <w:p>
            <w:pPr>
              <w:spacing w:before="120" w:after="120"/>
              <w:ind w:left="200"/>
            </w:pPr>
            <w:r>
              <w:rPr>
                <w:rFonts w:ascii="Arial" w:cs="Arial" w:eastAsia="Arial" w:hAnsi="Arial"/>
                <w:b/>
                <w:bCs/>
                <w:color w:val="C8A96E"/>
                <w:sz w:val="20"/>
                <w:szCs w:val="20"/>
              </w:rPr>
              <w:t xml:space="preserve">2.  </w:t>
            </w:r>
            <w:r>
              <w:rPr>
                <w:rFonts w:ascii="Arial" w:cs="Arial" w:eastAsia="Arial" w:hAnsi="Arial"/>
                <w:color w:val="1A1A1A"/>
                <w:sz w:val="20"/>
                <w:szCs w:val="20"/>
              </w:rPr>
              <w:t xml:space="preserve">Chaque contact n'a pas à vendre. Il a à déposer. Une couche de familiarité. Une couche de crédibilité. Une couche de reconnaissance. La somme de ces couches produit la confiance.</w:t>
            </w:r>
          </w:p>
          <w:p>
            <w:pPr>
              <w:spacing w:before="120" w:after="120"/>
              <w:ind w:left="200"/>
            </w:pPr>
            <w:r>
              <w:rPr>
                <w:rFonts w:ascii="Arial" w:cs="Arial" w:eastAsia="Arial" w:hAnsi="Arial"/>
                <w:b/>
                <w:bCs/>
                <w:color w:val="C8A96E"/>
                <w:sz w:val="20"/>
                <w:szCs w:val="20"/>
              </w:rPr>
              <w:t xml:space="preserve">3.  </w:t>
            </w:r>
            <w:r>
              <w:rPr>
                <w:rFonts w:ascii="Arial" w:cs="Arial" w:eastAsia="Arial" w:hAnsi="Arial"/>
                <w:color w:val="1A1A1A"/>
                <w:sz w:val="20"/>
                <w:szCs w:val="20"/>
              </w:rPr>
              <w:t xml:space="preserve">Le bon contenu n'est pas celui qui génère le plus de clics immédiats. C'est celui qui reste dans la tête le plus longtemps. Un contenu qui touche 50 000 personnes et reste 6 mois en mémoire est plus utile qu'une pub qui convertit 0,3% à froid.</w:t>
            </w:r>
          </w:p>
          <w:p>
            <w:pPr>
              <w:spacing w:before="120" w:after="120"/>
              <w:ind w:left="200"/>
            </w:pPr>
            <w:r>
              <w:rPr>
                <w:rFonts w:ascii="Arial" w:cs="Arial" w:eastAsia="Arial" w:hAnsi="Arial"/>
                <w:b/>
                <w:bCs/>
                <w:color w:val="C8A96E"/>
                <w:sz w:val="20"/>
                <w:szCs w:val="20"/>
              </w:rPr>
              <w:t xml:space="preserve">4.  </w:t>
            </w:r>
            <w:r>
              <w:rPr>
                <w:rFonts w:ascii="Arial" w:cs="Arial" w:eastAsia="Arial" w:hAnsi="Arial"/>
                <w:color w:val="1A1A1A"/>
                <w:sz w:val="20"/>
                <w:szCs w:val="20"/>
              </w:rPr>
              <w:t xml:space="preserve">La fréquence d'exposition prime sur l'intensité d'une seule exposition. Mieux vaut 7 contenus qui touchent juste que 1 contenu qui impressionne.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40"/>
              <w:left w:type="dxa" w:w="220"/>
              <w:bottom w:type="dxa" w:w="140"/>
              <w:right w:type="dxa" w:w="220"/>
            </w:tcMar>
          </w:tcPr>
          <w:p>
            <w:r>
              <w:rPr>
                <w:rFonts w:ascii="Arial" w:cs="Arial" w:eastAsia="Arial" w:hAnsi="Arial"/>
                <w:b/>
                <w:bCs/>
                <w:color w:val="1A3C5E"/>
                <w:sz w:val="20"/>
                <w:szCs w:val="20"/>
              </w:rPr>
              <w:t xml:space="preserve">Implication directe pour la production de contenu</w:t>
            </w:r>
          </w:p>
          <w:p>
            <w:pPr>
              <w:spacing w:before="60"/>
            </w:pPr>
            <w:r>
              <w:rPr>
                <w:rFonts w:ascii="Arial" w:cs="Arial" w:eastAsia="Arial" w:hAnsi="Arial"/>
                <w:color w:val="1A1A1A"/>
                <w:sz w:val="20"/>
                <w:szCs w:val="20"/>
              </w:rPr>
              <w:t xml:space="preserve">Ne jamais évaluer un contenu individuel à son taux de conversion immédiat.</w:t>
            </w:r>
          </w:p>
          <w:p>
            <w:pPr>
              <w:spacing w:before="60"/>
            </w:pPr>
            <w:r>
              <w:rPr>
                <w:rFonts w:ascii="Arial" w:cs="Arial" w:eastAsia="Arial" w:hAnsi="Arial"/>
                <w:color w:val="1A1A1A"/>
                <w:sz w:val="20"/>
                <w:szCs w:val="20"/>
              </w:rPr>
              <w:t xml:space="preserve">Évaluer une série de contenus à sa capacité à maintenir une présence régulière dans la tête d'une audience.</w:t>
            </w:r>
          </w:p>
          <w:p>
            <w:pPr>
              <w:spacing w:before="60"/>
            </w:pPr>
            <w:r>
              <w:rPr>
                <w:rFonts w:ascii="Arial" w:cs="Arial" w:eastAsia="Arial" w:hAnsi="Arial"/>
                <w:color w:val="1A1A1A"/>
                <w:sz w:val="20"/>
                <w:szCs w:val="20"/>
              </w:rPr>
              <w:t xml:space="preserve">La bonne question n'est pas : 'ce contenu a-t-il converti ?' mais 'ce contenu a-t-il contribué à la relation ?'</w:t>
            </w:r>
          </w:p>
        </w:tc>
      </w:tr>
    </w:tbl>
    <w:p>
      <w:r>
        <w:t xml:space="preserve"/>
      </w:r>
    </w:p>
    <w:p>
      <w:r>
        <w:t xml:space="preserve"/>
      </w:r>
    </w:p>
    <w:p>
      <w:pPr>
        <w:pStyle w:val="Heading1"/>
        <w:spacing w:before="380" w:after="120"/>
      </w:pPr>
      <w:r>
        <w:rPr>
          <w:rFonts w:ascii="Arial" w:cs="Arial" w:eastAsia="Arial" w:hAnsi="Arial"/>
          <w:b/>
          <w:bCs/>
          <w:color w:val="1A3C5E"/>
          <w:sz w:val="32"/>
          <w:szCs w:val="32"/>
        </w:rPr>
        <w:t xml:space="preserve">2. Les deux jambes — pourquoi cet ordre</w:t>
      </w:r>
    </w:p>
    <w:p>
      <w:pPr>
        <w:spacing w:before="60" w:after="80"/>
        <w:jc w:val="left"/>
      </w:pPr>
      <w:r>
        <w:rPr>
          <w:rFonts w:ascii="Arial" w:cs="Arial" w:eastAsia="Arial" w:hAnsi="Arial"/>
          <w:b w:val="false"/>
          <w:bCs w:val="false"/>
          <w:i w:val="false"/>
          <w:iCs w:val="false"/>
          <w:color w:val="1A1A1A"/>
          <w:sz w:val="22"/>
          <w:szCs w:val="22"/>
        </w:rPr>
        <w:t xml:space="preserve">Akeli a un avantage déterminant : la preuve par les résultats. Mais cet avantage ne peut être montré qu'une fois construit. Il faut 6 mois de données réelles pour pouvoir parler de taux de résultat. Avant ça, parler de résultats sans données, c'est de la hype — exactement ce qu'Akeli refuse d'être.</w:t>
      </w:r>
    </w:p>
    <w:p>
      <w:pPr>
        <w:spacing w:before="60" w:after="80"/>
        <w:jc w:val="left"/>
      </w:pPr>
      <w:r>
        <w:rPr>
          <w:rFonts w:ascii="Arial" w:cs="Arial" w:eastAsia="Arial" w:hAnsi="Arial"/>
          <w:b w:val="false"/>
          <w:bCs w:val="false"/>
          <w:i w:val="false"/>
          <w:iCs w:val="false"/>
          <w:color w:val="1A1A1A"/>
          <w:sz w:val="22"/>
          <w:szCs w:val="22"/>
        </w:rPr>
        <w:t xml:space="preserve">La stratégie répond à cette contrainte avec deux jambes distinctes, dans un ordre précis.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13"/>
        <w:gridCol w:w="3813"/>
      </w:tblGrid>
      <w:tr>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Jambe 1 — La niche diaspora</w:t>
            </w:r>
          </w:p>
        </w:tc>
        <w:tc>
          <w:tcPr>
            <w:tcBorders>
              <w:top w:val="single" w:color="D6CFC5" w:sz="1"/>
              <w:left w:val="single" w:color="D6CFC5" w:sz="1"/>
              <w:bottom w:val="single" w:color="D6CFC5" w:sz="1"/>
              <w:right w:val="single" w:color="D6CFC5" w:sz="1"/>
            </w:tcBorders>
            <w:shd w:fill="C8A96E" w:val="clear"/>
            <w:tcMar>
              <w:top w:type="dxa" w:w="80"/>
              <w:left w:type="dxa" w:w="140"/>
              <w:bottom w:type="dxa" w:w="80"/>
              <w:right w:type="dxa" w:w="100"/>
            </w:tcMar>
          </w:tcPr>
          <w:p>
            <w:r>
              <w:rPr>
                <w:rFonts w:ascii="Arial" w:cs="Arial" w:eastAsia="Arial" w:hAnsi="Arial"/>
                <w:b/>
                <w:bCs/>
                <w:color w:val="FFFFFF"/>
                <w:sz w:val="19"/>
                <w:szCs w:val="19"/>
              </w:rPr>
              <w:t xml:space="preserve">Jambe 2 — La preuve par les résultats</w:t>
            </w:r>
          </w:p>
        </w:tc>
      </w:tr>
      <w:tr>
        <w:tc>
          <w:tcPr>
            <w:tcBorders>
              <w:top w:val="single" w:color="D6CFC5" w:sz="1"/>
              <w:left w:val="single" w:color="D6CFC5" w:sz="1"/>
              <w:bottom w:val="single" w:color="D6CFC5" w:sz="1"/>
              <w:right w:val="single" w:color="D6CFC5" w:sz="1"/>
            </w:tcBorders>
            <w:shd w:fill="F2EDE6" w:val="clear"/>
            <w:tcMar>
              <w:top w:type="dxa" w:w="80"/>
              <w:left w:type="dxa" w:w="140"/>
              <w:bottom w:type="dxa" w:w="80"/>
              <w:right w:type="dxa" w:w="100"/>
            </w:tcMar>
          </w:tcPr>
          <w:p>
            <w:r>
              <w:rPr>
                <w:rFonts w:ascii="Arial" w:cs="Arial" w:eastAsia="Arial" w:hAnsi="Arial"/>
                <w:b/>
                <w:bCs/>
                <w:color w:val="1A3C5E"/>
                <w:sz w:val="19"/>
                <w:szCs w:val="19"/>
              </w:rPr>
              <w:t xml:space="preserve">Quand</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Maintenant — dès le premier contenu</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Après 6 mois de données</w:t>
            </w:r>
          </w:p>
        </w:tc>
      </w:tr>
      <w:tr>
        <w:tc>
          <w:tcPr>
            <w:tcBorders>
              <w:top w:val="single" w:color="D6CFC5" w:sz="1"/>
              <w:left w:val="single" w:color="D6CFC5" w:sz="1"/>
              <w:bottom w:val="single" w:color="D6CFC5" w:sz="1"/>
              <w:right w:val="single" w:color="D6CFC5" w:sz="1"/>
            </w:tcBorders>
            <w:shd w:fill="F2EDE6" w:val="clear"/>
            <w:tcMar>
              <w:top w:type="dxa" w:w="80"/>
              <w:left w:type="dxa" w:w="140"/>
              <w:bottom w:type="dxa" w:w="80"/>
              <w:right w:type="dxa" w:w="100"/>
            </w:tcMar>
          </w:tcPr>
          <w:p>
            <w:r>
              <w:rPr>
                <w:rFonts w:ascii="Arial" w:cs="Arial" w:eastAsia="Arial" w:hAnsi="Arial"/>
                <w:b/>
                <w:bCs/>
                <w:color w:val="1A3C5E"/>
                <w:sz w:val="19"/>
                <w:szCs w:val="19"/>
              </w:rPr>
              <w:t xml:space="preserve">Ce sur quoi elle repose</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Une réalité sociologique qui existe indépendamment d'Akeli. Un marché réel, mal servi, identifiable.</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Des données mesurées sur des objectifs définis. Un taux de résultat objectif, agrégé, non sélectionnable.</w:t>
            </w:r>
          </w:p>
        </w:tc>
      </w:tr>
      <w:tr>
        <w:tc>
          <w:tcPr>
            <w:tcBorders>
              <w:top w:val="single" w:color="D6CFC5" w:sz="1"/>
              <w:left w:val="single" w:color="D6CFC5" w:sz="1"/>
              <w:bottom w:val="single" w:color="D6CFC5" w:sz="1"/>
              <w:right w:val="single" w:color="D6CFC5" w:sz="1"/>
            </w:tcBorders>
            <w:shd w:fill="F2EDE6" w:val="clear"/>
            <w:tcMar>
              <w:top w:type="dxa" w:w="80"/>
              <w:left w:type="dxa" w:w="140"/>
              <w:bottom w:type="dxa" w:w="80"/>
              <w:right w:type="dxa" w:w="100"/>
            </w:tcMar>
          </w:tcPr>
          <w:p>
            <w:r>
              <w:rPr>
                <w:rFonts w:ascii="Arial" w:cs="Arial" w:eastAsia="Arial" w:hAnsi="Arial"/>
                <w:b/>
                <w:bCs/>
                <w:color w:val="1A3C5E"/>
                <w:sz w:val="19"/>
                <w:szCs w:val="19"/>
              </w:rPr>
              <w:t xml:space="preserve">Ce qu'elle fait</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Donne à Akeli le droit d'exister dans la conversation. Construit la familiarité et la légitimité.</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Confirme et amplifie la confiance construite. Donne à Akeli une position de marché inédite.</w:t>
            </w:r>
          </w:p>
        </w:tc>
      </w:tr>
      <w:tr>
        <w:tc>
          <w:tcPr>
            <w:tcBorders>
              <w:top w:val="single" w:color="D6CFC5" w:sz="1"/>
              <w:left w:val="single" w:color="D6CFC5" w:sz="1"/>
              <w:bottom w:val="single" w:color="D6CFC5" w:sz="1"/>
              <w:right w:val="single" w:color="D6CFC5" w:sz="1"/>
            </w:tcBorders>
            <w:shd w:fill="F2EDE6" w:val="clear"/>
            <w:tcMar>
              <w:top w:type="dxa" w:w="80"/>
              <w:left w:type="dxa" w:w="140"/>
              <w:bottom w:type="dxa" w:w="80"/>
              <w:right w:type="dxa" w:w="100"/>
            </w:tcMar>
          </w:tcPr>
          <w:p>
            <w:r>
              <w:rPr>
                <w:rFonts w:ascii="Arial" w:cs="Arial" w:eastAsia="Arial" w:hAnsi="Arial"/>
                <w:b/>
                <w:bCs/>
                <w:color w:val="1A3C5E"/>
                <w:sz w:val="19"/>
                <w:szCs w:val="19"/>
              </w:rPr>
              <w:t xml:space="preserve">Ce qu'elle n'est pas</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La destination finale. La cible permanente. Un discours identitaire.</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De la hype anticipée. Une promesse avant les données. Un argument utilisable avant son heure.</w:t>
            </w:r>
          </w:p>
        </w:tc>
      </w:tr>
      <w:tr>
        <w:tc>
          <w:tcPr>
            <w:tcBorders>
              <w:top w:val="single" w:color="D6CFC5" w:sz="1"/>
              <w:left w:val="single" w:color="D6CFC5" w:sz="1"/>
              <w:bottom w:val="single" w:color="D6CFC5" w:sz="1"/>
              <w:right w:val="single" w:color="D6CFC5" w:sz="1"/>
            </w:tcBorders>
            <w:shd w:fill="F2EDE6" w:val="clear"/>
            <w:tcMar>
              <w:top w:type="dxa" w:w="80"/>
              <w:left w:type="dxa" w:w="140"/>
              <w:bottom w:type="dxa" w:w="80"/>
              <w:right w:type="dxa" w:w="100"/>
            </w:tcMar>
          </w:tcPr>
          <w:p>
            <w:r>
              <w:rPr>
                <w:rFonts w:ascii="Arial" w:cs="Arial" w:eastAsia="Arial" w:hAnsi="Arial"/>
                <w:b/>
                <w:bCs/>
                <w:color w:val="1A3C5E"/>
                <w:sz w:val="19"/>
                <w:szCs w:val="19"/>
              </w:rPr>
              <w:t xml:space="preserve">Risque si mal cadrée</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Tomber dans le discours diaspora identitaire — bruyant, peu fidèle, qui parle à 10% du marché.</w:t>
            </w:r>
          </w:p>
        </w:tc>
        <w:tc>
          <w:tcPr>
            <w:tcBorders>
              <w:top w:val="single" w:color="D6CFC5" w:sz="1"/>
              <w:left w:val="single" w:color="D6CFC5" w:sz="1"/>
              <w:bottom w:val="single" w:color="D6CFC5" w:sz="1"/>
              <w:right w:val="single" w:color="D6CFC5" w:sz="1"/>
            </w:tcBorders>
            <w:shd w:fill="FFFFFF" w:val="clear"/>
            <w:tcMar>
              <w:top w:type="dxa" w:w="80"/>
              <w:left w:type="dxa" w:w="140"/>
              <w:bottom w:type="dxa" w:w="80"/>
              <w:right w:type="dxa" w:w="100"/>
            </w:tcMar>
          </w:tcPr>
          <w:p>
            <w:r>
              <w:rPr>
                <w:rFonts w:ascii="Arial" w:cs="Arial" w:eastAsia="Arial" w:hAnsi="Arial"/>
                <w:color w:val="1A1A1A"/>
                <w:sz w:val="19"/>
                <w:szCs w:val="19"/>
              </w:rPr>
              <w:t xml:space="preserve">Parler de résultats avant de les avoir — perte immédiate de crédibilité, incompatible avec la Vérité Tranquille.</w:t>
            </w:r>
          </w:p>
        </w:tc>
      </w:tr>
    </w:tbl>
    <w:p>
      <w:r>
        <w:t xml:space="preserve"/>
      </w:r>
    </w:p>
    <w:p>
      <w:pPr>
        <w:pBdr>
          <w:left w:val="single" w:color="C8A96E" w:sz="12"/>
        </w:pBdr>
        <w:spacing w:before="120" w:after="120"/>
        <w:ind w:left="480"/>
      </w:pPr>
      <w:r>
        <w:rPr>
          <w:rFonts w:ascii="Arial" w:cs="Arial" w:eastAsia="Arial" w:hAnsi="Arial"/>
          <w:i/>
          <w:iCs/>
          <w:color w:val="1A3C5E"/>
          <w:sz w:val="22"/>
          <w:szCs w:val="22"/>
        </w:rPr>
        <w:t xml:space="preserve">La niche diaspora donne à Akeli le droit d'exister dans la conversation. Les résultats lui donnent le droit de prétendre à une position de marché inédite. Les deux sont nécessaires — dans cet ordre.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40"/>
              <w:left w:type="dxa" w:w="220"/>
              <w:bottom w:type="dxa" w:w="140"/>
              <w:right w:type="dxa" w:w="220"/>
            </w:tcMar>
          </w:tcPr>
          <w:p>
            <w:r>
              <w:rPr>
                <w:rFonts w:ascii="Arial" w:cs="Arial" w:eastAsia="Arial" w:hAnsi="Arial"/>
                <w:b/>
                <w:bCs/>
                <w:color w:val="1A3C5E"/>
                <w:sz w:val="20"/>
                <w:szCs w:val="20"/>
              </w:rPr>
              <w:t xml:space="preserve">Pourquoi la diaspora et pas une autre niche</w:t>
            </w:r>
          </w:p>
          <w:p>
            <w:pPr>
              <w:spacing w:before="60"/>
            </w:pPr>
            <w:r>
              <w:rPr>
                <w:rFonts w:ascii="Arial" w:cs="Arial" w:eastAsia="Arial" w:hAnsi="Arial"/>
                <w:color w:val="1A1A1A"/>
                <w:sz w:val="20"/>
                <w:szCs w:val="20"/>
              </w:rPr>
              <w:t xml:space="preserve">C'est le marché le plus mal servi : aucun outil de nutrition existant n'adresse leur réalité culinaire.</w:t>
            </w:r>
          </w:p>
          <w:p>
            <w:pPr>
              <w:spacing w:before="60"/>
            </w:pPr>
            <w:r>
              <w:rPr>
                <w:rFonts w:ascii="Arial" w:cs="Arial" w:eastAsia="Arial" w:hAnsi="Arial"/>
                <w:color w:val="1A1A1A"/>
                <w:sz w:val="20"/>
                <w:szCs w:val="20"/>
              </w:rPr>
              <w:t xml:space="preserve">C'est le marché le plus identifiable : une réalité sociologique documentée, des niches précises (soignante, jeune pro, athlète).</w:t>
            </w:r>
          </w:p>
          <w:p>
            <w:pPr>
              <w:spacing w:before="60"/>
            </w:pPr>
            <w:r>
              <w:rPr>
                <w:rFonts w:ascii="Arial" w:cs="Arial" w:eastAsia="Arial" w:hAnsi="Arial"/>
                <w:color w:val="1A1A1A"/>
                <w:sz w:val="20"/>
                <w:szCs w:val="20"/>
              </w:rPr>
              <w:t xml:space="preserve">C'est le marché le plus facile à convaincre sans données : le problème est assez visible pour que la reconnaissance suffise.</w:t>
            </w:r>
          </w:p>
          <w:p>
            <w:pPr>
              <w:spacing w:before="60"/>
            </w:pPr>
            <w:r>
              <w:rPr>
                <w:rFonts w:ascii="Arial" w:cs="Arial" w:eastAsia="Arial" w:hAnsi="Arial"/>
                <w:color w:val="1A1A1A"/>
                <w:sz w:val="20"/>
                <w:szCs w:val="20"/>
              </w:rPr>
              <w:t xml:space="preserve">C'est le marché qui donne accès aux données les plus riches pour construire la jambe 2.</w:t>
            </w:r>
          </w:p>
          <w:p>
            <w:pPr>
              <w:spacing w:before="60"/>
            </w:pPr>
            <w:r>
              <w:rPr>
                <w:rFonts w:ascii="Arial" w:cs="Arial" w:eastAsia="Arial" w:hAnsi="Arial"/>
                <w:color w:val="1A1A1A"/>
                <w:sz w:val="20"/>
                <w:szCs w:val="20"/>
              </w:rPr>
              <w:t xml:space="preserve">Ce n'est pas la destination — c'est la porte d'entrée qui rend tout le reste possible.</w:t>
            </w:r>
          </w:p>
        </w:tc>
      </w:tr>
    </w:tbl>
    <w:p>
      <w:r>
        <w:t xml:space="preserve"/>
      </w:r>
    </w:p>
    <w:p>
      <w:r>
        <w:t xml:space="preserve"/>
      </w:r>
    </w:p>
    <w:p>
      <w:pPr>
        <w:pStyle w:val="Heading1"/>
        <w:spacing w:before="380" w:after="120"/>
      </w:pPr>
      <w:r>
        <w:rPr>
          <w:rFonts w:ascii="Arial" w:cs="Arial" w:eastAsia="Arial" w:hAnsi="Arial"/>
          <w:b/>
          <w:bCs/>
          <w:color w:val="1A3C5E"/>
          <w:sz w:val="32"/>
          <w:szCs w:val="32"/>
        </w:rPr>
        <w:t xml:space="preserve">3. La granularité — pourquoi le spécifique est plus puissant que le générique</w:t>
      </w:r>
    </w:p>
    <w:p>
      <w:pPr>
        <w:spacing w:before="60" w:after="80"/>
        <w:jc w:val="left"/>
      </w:pPr>
      <w:r>
        <w:rPr>
          <w:rFonts w:ascii="Arial" w:cs="Arial" w:eastAsia="Arial" w:hAnsi="Arial"/>
          <w:b w:val="false"/>
          <w:bCs w:val="false"/>
          <w:i w:val="false"/>
          <w:iCs w:val="false"/>
          <w:color w:val="1A1A1A"/>
          <w:sz w:val="22"/>
          <w:szCs w:val="22"/>
        </w:rPr>
        <w:t xml:space="preserve">Le réflexe de la communication générique est de vouloir parler à tout le monde pour maximiser la portée. C'est une erreur mécanique.</w:t>
      </w:r>
    </w:p>
    <w:p>
      <w:pPr>
        <w:spacing w:before="60" w:after="80"/>
        <w:jc w:val="left"/>
      </w:pPr>
      <w:r>
        <w:rPr>
          <w:rFonts w:ascii="Arial" w:cs="Arial" w:eastAsia="Arial" w:hAnsi="Arial"/>
          <w:b w:val="false"/>
          <w:bCs w:val="false"/>
          <w:i w:val="false"/>
          <w:iCs w:val="false"/>
          <w:color w:val="1A1A1A"/>
          <w:sz w:val="22"/>
          <w:szCs w:val="22"/>
        </w:rPr>
        <w:t xml:space="preserve">Un contenu générique produit une reconnaissance faible. Une reconnaissance faible produit une mémorisation faible. Une mémorisation faible ne contribue pas à la construction de confiance.</w:t>
      </w:r>
    </w:p>
    <w:p>
      <w:pPr>
        <w:spacing w:before="60" w:after="80"/>
        <w:jc w:val="left"/>
      </w:pPr>
      <w:r>
        <w:rPr>
          <w:rFonts w:ascii="Arial" w:cs="Arial" w:eastAsia="Arial" w:hAnsi="Arial"/>
          <w:b w:val="false"/>
          <w:bCs w:val="false"/>
          <w:i w:val="false"/>
          <w:iCs w:val="false"/>
          <w:color w:val="1A1A1A"/>
          <w:sz w:val="22"/>
          <w:szCs w:val="22"/>
        </w:rPr>
        <w:t xml:space="preserve">Un contenu spécifique — qui nomme une niche précise, une réalité précise, une émotion précise — produit une reconnaissance forte chez les personnes concernées. Cette reconnaissance est disproportionnellement mémorable. Et sur TikTok, l'algorithme distribue selon la pertinence — pas selon la taille du compte. Le contenu spécifique est un avantage structurel.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6CFC5" w:sz="1"/>
              <w:left w:val="single" w:color="D6CFC5" w:sz="1"/>
              <w:bottom w:val="single" w:color="D6CFC5" w:sz="1"/>
              <w:right w:val="single" w:color="D6CFC5" w:sz="1"/>
            </w:tcBorders>
            <w:shd w:fill="8B0000" w:val="clear"/>
            <w:tcMar>
              <w:top w:type="dxa" w:w="80"/>
              <w:left w:type="dxa" w:w="160"/>
              <w:bottom w:type="dxa" w:w="80"/>
              <w:right w:type="dxa" w:w="120"/>
            </w:tcMar>
          </w:tcPr>
          <w:p>
            <w:r>
              <w:rPr>
                <w:rFonts w:ascii="Arial" w:cs="Arial" w:eastAsia="Arial" w:hAnsi="Arial"/>
                <w:b/>
                <w:bCs/>
                <w:color w:val="FFFFFF"/>
                <w:sz w:val="20"/>
                <w:szCs w:val="20"/>
              </w:rPr>
              <w:t xml:space="preserve">Contenu générique — ce qui se passe</w:t>
            </w:r>
          </w:p>
        </w:tc>
        <w:tc>
          <w:tcPr>
            <w:tcBorders>
              <w:top w:val="single" w:color="D6CFC5" w:sz="1"/>
              <w:left w:val="single" w:color="D6CFC5" w:sz="1"/>
              <w:bottom w:val="single" w:color="D6CFC5" w:sz="1"/>
              <w:right w:val="single" w:color="D6CFC5" w:sz="1"/>
            </w:tcBorders>
            <w:shd w:fill="2E5F2E" w:val="clear"/>
            <w:tcMar>
              <w:top w:type="dxa" w:w="80"/>
              <w:left w:type="dxa" w:w="160"/>
              <w:bottom w:type="dxa" w:w="80"/>
              <w:right w:type="dxa" w:w="120"/>
            </w:tcMar>
          </w:tcPr>
          <w:p>
            <w:r>
              <w:rPr>
                <w:rFonts w:ascii="Arial" w:cs="Arial" w:eastAsia="Arial" w:hAnsi="Arial"/>
                <w:b/>
                <w:bCs/>
                <w:color w:val="FFFFFF"/>
                <w:sz w:val="20"/>
                <w:szCs w:val="20"/>
              </w:rPr>
              <w:t xml:space="preserve">Contenu spécifique — ce qui se passe</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Tout le monde se sent vaguement concerné</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Certaines personnes se sentent exactement concernées</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Faible reconnaissance — 'c'est pour moi aussi'</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Forte reconnaissance — 'c'est exactement ma vie'</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Mémorisation faible — le contenu glisse</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Mémorisation forte — le contenu reste</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Faible probabilité de partage organique</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Fort partage organique — 'tu dois voir ça'</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Contact 1 parmi 100 — peu de contribution à la relation</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Contact fort — contribution élevée à la relation</w:t>
            </w:r>
          </w:p>
        </w:tc>
      </w:tr>
    </w:tbl>
    <w:p>
      <w:r>
        <w:t xml:space="preserve"/>
      </w:r>
    </w:p>
    <w:p>
      <w:pPr>
        <w:spacing w:before="200" w:after="80"/>
      </w:pPr>
      <w:r>
        <w:rPr>
          <w:rFonts w:ascii="Arial" w:cs="Arial" w:eastAsia="Arial" w:hAnsi="Arial"/>
          <w:b/>
          <w:bCs/>
          <w:color w:val="C8A96E"/>
          <w:sz w:val="22"/>
          <w:szCs w:val="22"/>
        </w:rPr>
        <w:t xml:space="preserve">La granularité en pratique — deux dimensions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20"/>
                <w:szCs w:val="20"/>
              </w:rPr>
              <w:t xml:space="preserve">Dimension</w:t>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20"/>
                <w:szCs w:val="20"/>
              </w:rPr>
              <w:t xml:space="preserve">Ce que ça signifie</w:t>
            </w:r>
          </w:p>
        </w:tc>
      </w:tr>
      <w:tr>
        <w:tc>
          <w:tcPr>
            <w:tcBorders>
              <w:top w:val="single" w:color="D6CFC5" w:sz="1"/>
              <w:left w:val="single" w:color="D6CFC5" w:sz="1"/>
              <w:bottom w:val="single" w:color="D6CFC5" w:sz="1"/>
              <w:right w:val="single" w:color="D6CFC5" w:sz="1"/>
            </w:tcBorders>
            <w:shd w:fill="F2EDE6" w:val="clear"/>
            <w:tcMar>
              <w:top w:type="dxa" w:w="100"/>
              <w:left w:type="dxa" w:w="140"/>
              <w:bottom w:type="dxa" w:w="100"/>
              <w:right w:type="dxa" w:w="100"/>
            </w:tcMar>
          </w:tcPr>
          <w:p>
            <w:r>
              <w:rPr>
                <w:rFonts w:ascii="Arial" w:cs="Arial" w:eastAsia="Arial" w:hAnsi="Arial"/>
                <w:b/>
                <w:bCs/>
                <w:color w:val="1A3C5E"/>
                <w:sz w:val="19"/>
                <w:szCs w:val="19"/>
              </w:rPr>
              <w:t xml:space="preserve">La niche</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color w:val="1A1A1A"/>
                <w:sz w:val="19"/>
                <w:szCs w:val="19"/>
              </w:rPr>
              <w:t xml:space="preserve">Chaque contenu s'adresse à un profil précis — la soignante, la jeune professionnelle, l'athlète, le primo-arrivant. Pas 'la diaspora'. Un contenu sur la soignante ne parle pas à la jeune pro — et c'est exactement ce qui le rend plus fort auprès de la soignante.</w:t>
            </w:r>
          </w:p>
        </w:tc>
      </w:tr>
      <w:tr>
        <w:tc>
          <w:tcPr>
            <w:tcBorders>
              <w:top w:val="single" w:color="D6CFC5" w:sz="1"/>
              <w:left w:val="single" w:color="D6CFC5" w:sz="1"/>
              <w:bottom w:val="single" w:color="D6CFC5" w:sz="1"/>
              <w:right w:val="single" w:color="D6CFC5" w:sz="1"/>
            </w:tcBorders>
            <w:shd w:fill="F2EDE6" w:val="clear"/>
            <w:tcMar>
              <w:top w:type="dxa" w:w="100"/>
              <w:left w:type="dxa" w:w="140"/>
              <w:bottom w:type="dxa" w:w="100"/>
              <w:right w:type="dxa" w:w="100"/>
            </w:tcMar>
          </w:tcPr>
          <w:p>
            <w:r>
              <w:rPr>
                <w:rFonts w:ascii="Arial" w:cs="Arial" w:eastAsia="Arial" w:hAnsi="Arial"/>
                <w:b/>
                <w:bCs/>
                <w:color w:val="1A3C5E"/>
                <w:sz w:val="19"/>
                <w:szCs w:val="19"/>
              </w:rPr>
              <w:t xml:space="preserve">La facette</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color w:val="1A1A1A"/>
                <w:sz w:val="19"/>
                <w:szCs w:val="19"/>
              </w:rPr>
              <w:t xml:space="preserve">Chaque contenu explore un angle précis d'un sujet : pas 'la cuisine africaine et la santé' mais 'pourquoi le gingembre est déjà dans ta cuisine et pourquoi ça compte pour ton corps'. La facette est le niveau de précision qui produit la reconnaissance forte.</w:t>
            </w:r>
          </w:p>
        </w:tc>
      </w:tr>
    </w:tbl>
    <w:p>
      <w:r>
        <w:t xml:space="preserve"/>
      </w:r>
    </w:p>
    <w:p>
      <w:r>
        <w:t xml:space="preserve"/>
      </w:r>
    </w:p>
    <w:p>
      <w:pPr>
        <w:pStyle w:val="Heading1"/>
        <w:spacing w:before="380" w:after="120"/>
      </w:pPr>
      <w:r>
        <w:rPr>
          <w:rFonts w:ascii="Arial" w:cs="Arial" w:eastAsia="Arial" w:hAnsi="Arial"/>
          <w:b/>
          <w:bCs/>
          <w:color w:val="1A3C5E"/>
          <w:sz w:val="32"/>
          <w:szCs w:val="32"/>
        </w:rPr>
        <w:t xml:space="preserve">4. La carte des registres émotionnels</w:t>
      </w:r>
    </w:p>
    <w:p>
      <w:pPr>
        <w:spacing w:before="60" w:after="80"/>
        <w:jc w:val="left"/>
      </w:pPr>
      <w:r>
        <w:rPr>
          <w:rFonts w:ascii="Arial" w:cs="Arial" w:eastAsia="Arial" w:hAnsi="Arial"/>
          <w:b w:val="false"/>
          <w:bCs w:val="false"/>
          <w:i w:val="false"/>
          <w:iCs w:val="false"/>
          <w:color w:val="1A1A1A"/>
          <w:sz w:val="22"/>
          <w:szCs w:val="22"/>
        </w:rPr>
        <w:t xml:space="preserve">La constance ne veut pas dire répétition. Revenir régulièrement vers la même audience en activant toujours le même registre émotionnel produit de la lassitude, pas de la confiance.</w:t>
      </w:r>
    </w:p>
    <w:p>
      <w:pPr>
        <w:spacing w:before="60" w:after="80"/>
        <w:jc w:val="left"/>
      </w:pPr>
      <w:r>
        <w:rPr>
          <w:rFonts w:ascii="Arial" w:cs="Arial" w:eastAsia="Arial" w:hAnsi="Arial"/>
          <w:b w:val="false"/>
          <w:bCs w:val="false"/>
          <w:i w:val="false"/>
          <w:iCs w:val="false"/>
          <w:color w:val="1A1A1A"/>
          <w:sz w:val="22"/>
          <w:szCs w:val="22"/>
        </w:rPr>
        <w:t xml:space="preserve">Akeli dispose de cinq registres émotionnels distincts. Chacun dépose une couche différente dans la relation. La variété de ces registres, maintenue dans le temps, est ce qui construit une relation complète — pas une relation à une seule note.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13"/>
        <w:gridCol w:w="2413"/>
      </w:tblGrid>
      <w:tr>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Registre</w:t>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Ce qu'il active</w:t>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Ce qu'il dépose</w:t>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Exemple d'ancrage</w:t>
            </w:r>
          </w:p>
        </w:tc>
      </w:tr>
      <w:tr>
        <w:tc>
          <w:tcPr>
            <w:tcBorders>
              <w:top w:val="single" w:color="D6CFC5" w:sz="1"/>
              <w:left w:val="single" w:color="D6CFC5" w:sz="1"/>
              <w:bottom w:val="single" w:color="D6CFC5" w:sz="1"/>
              <w:right w:val="single" w:color="D6CFC5" w:sz="1"/>
            </w:tcBorders>
            <w:shd w:fill="F2EDE6" w:val="clear"/>
            <w:tcMar>
              <w:top w:type="dxa" w:w="90"/>
              <w:left w:type="dxa" w:w="140"/>
              <w:bottom w:type="dxa" w:w="90"/>
              <w:right w:type="dxa" w:w="100"/>
            </w:tcMar>
          </w:tcPr>
          <w:p>
            <w:r>
              <w:rPr>
                <w:rFonts w:ascii="Arial" w:cs="Arial" w:eastAsia="Arial" w:hAnsi="Arial"/>
                <w:b/>
                <w:bCs/>
                <w:color w:val="1A3C5E"/>
                <w:sz w:val="19"/>
                <w:szCs w:val="19"/>
              </w:rPr>
              <w:t xml:space="preserve">La reconnaissance</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i/>
                <w:iCs/>
                <w:color w:val="1A1A1A"/>
                <w:sz w:val="19"/>
                <w:szCs w:val="19"/>
              </w:rPr>
              <w:t xml:space="preserve">"C'est exactement ma vie"</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Légitimité — Akeli comprend ma réalité</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La soignante qui mange sur le pouce entre deux gardes. Le décalage semaine/week-end de la jeune pro.</w:t>
            </w:r>
          </w:p>
        </w:tc>
      </w:tr>
      <w:tr>
        <w:tc>
          <w:tcPr>
            <w:tcBorders>
              <w:top w:val="single" w:color="D6CFC5" w:sz="1"/>
              <w:left w:val="single" w:color="D6CFC5" w:sz="1"/>
              <w:bottom w:val="single" w:color="D6CFC5" w:sz="1"/>
              <w:right w:val="single" w:color="D6CFC5" w:sz="1"/>
            </w:tcBorders>
            <w:shd w:fill="F2EDE6" w:val="clear"/>
            <w:tcMar>
              <w:top w:type="dxa" w:w="90"/>
              <w:left w:type="dxa" w:w="140"/>
              <w:bottom w:type="dxa" w:w="90"/>
              <w:right w:type="dxa" w:w="100"/>
            </w:tcMar>
          </w:tcPr>
          <w:p>
            <w:r>
              <w:rPr>
                <w:rFonts w:ascii="Arial" w:cs="Arial" w:eastAsia="Arial" w:hAnsi="Arial"/>
                <w:b/>
                <w:bCs/>
                <w:color w:val="1A3C5E"/>
                <w:sz w:val="19"/>
                <w:szCs w:val="19"/>
              </w:rPr>
              <w:t xml:space="preserve">La curiosité</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i/>
                <w:iCs/>
                <w:color w:val="1A1A1A"/>
                <w:sz w:val="19"/>
                <w:szCs w:val="19"/>
              </w:rPr>
              <w:t xml:space="preserve">"Je ne savais pas ça"</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Intérêt — Akeli m'apprend quelque chose de vrai</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Le manioc venu d'Amazonie. Le couscous, plat le plus consommé en France. Le fufu comme structure universelle.</w:t>
            </w:r>
          </w:p>
        </w:tc>
      </w:tr>
      <w:tr>
        <w:tc>
          <w:tcPr>
            <w:tcBorders>
              <w:top w:val="single" w:color="D6CFC5" w:sz="1"/>
              <w:left w:val="single" w:color="D6CFC5" w:sz="1"/>
              <w:bottom w:val="single" w:color="D6CFC5" w:sz="1"/>
              <w:right w:val="single" w:color="D6CFC5" w:sz="1"/>
            </w:tcBorders>
            <w:shd w:fill="F2EDE6" w:val="clear"/>
            <w:tcMar>
              <w:top w:type="dxa" w:w="90"/>
              <w:left w:type="dxa" w:w="140"/>
              <w:bottom w:type="dxa" w:w="90"/>
              <w:right w:type="dxa" w:w="100"/>
            </w:tcMar>
          </w:tcPr>
          <w:p>
            <w:r>
              <w:rPr>
                <w:rFonts w:ascii="Arial" w:cs="Arial" w:eastAsia="Arial" w:hAnsi="Arial"/>
                <w:b/>
                <w:bCs/>
                <w:color w:val="1A3C5E"/>
                <w:sz w:val="19"/>
                <w:szCs w:val="19"/>
              </w:rPr>
              <w:t xml:space="preserve">La fierté</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i/>
                <w:iCs/>
                <w:color w:val="1A1A1A"/>
                <w:sz w:val="19"/>
                <w:szCs w:val="19"/>
              </w:rPr>
              <w:t xml:space="preserve">"Ma cuisine est plus forte que je ne pensais"</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Dignité — Akeli valorise ce que je suis</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La cuisine africaine a nourri l'Inde. Les athlètes africains performent sans le savoir avec leur héritage culinaire.</w:t>
            </w:r>
          </w:p>
        </w:tc>
      </w:tr>
      <w:tr>
        <w:tc>
          <w:tcPr>
            <w:tcBorders>
              <w:top w:val="single" w:color="D6CFC5" w:sz="1"/>
              <w:left w:val="single" w:color="D6CFC5" w:sz="1"/>
              <w:bottom w:val="single" w:color="D6CFC5" w:sz="1"/>
              <w:right w:val="single" w:color="D6CFC5" w:sz="1"/>
            </w:tcBorders>
            <w:shd w:fill="F2EDE6" w:val="clear"/>
            <w:tcMar>
              <w:top w:type="dxa" w:w="90"/>
              <w:left w:type="dxa" w:w="140"/>
              <w:bottom w:type="dxa" w:w="90"/>
              <w:right w:type="dxa" w:w="100"/>
            </w:tcMar>
          </w:tcPr>
          <w:p>
            <w:r>
              <w:rPr>
                <w:rFonts w:ascii="Arial" w:cs="Arial" w:eastAsia="Arial" w:hAnsi="Arial"/>
                <w:b/>
                <w:bCs/>
                <w:color w:val="1A3C5E"/>
                <w:sz w:val="19"/>
                <w:szCs w:val="19"/>
              </w:rPr>
              <w:t xml:space="preserve">L'interrogation</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i/>
                <w:iCs/>
                <w:color w:val="1A1A1A"/>
                <w:sz w:val="19"/>
                <w:szCs w:val="19"/>
              </w:rPr>
              <w:t xml:space="preserve">"Je n'avais jamais pensé à ça"</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Réflexion — Akeli m'invite à reconsidérer</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Est-ce que ce que je mange correspond à comment je vis ? Mon alimentation travaille-t-elle pour moi ou contre moi ?</w:t>
            </w:r>
          </w:p>
        </w:tc>
      </w:tr>
      <w:tr>
        <w:tc>
          <w:tcPr>
            <w:tcBorders>
              <w:top w:val="single" w:color="D6CFC5" w:sz="1"/>
              <w:left w:val="single" w:color="D6CFC5" w:sz="1"/>
              <w:bottom w:val="single" w:color="D6CFC5" w:sz="1"/>
              <w:right w:val="single" w:color="D6CFC5" w:sz="1"/>
            </w:tcBorders>
            <w:shd w:fill="F2EDE6" w:val="clear"/>
            <w:tcMar>
              <w:top w:type="dxa" w:w="90"/>
              <w:left w:type="dxa" w:w="140"/>
              <w:bottom w:type="dxa" w:w="90"/>
              <w:right w:type="dxa" w:w="100"/>
            </w:tcMar>
          </w:tcPr>
          <w:p>
            <w:r>
              <w:rPr>
                <w:rFonts w:ascii="Arial" w:cs="Arial" w:eastAsia="Arial" w:hAnsi="Arial"/>
                <w:b/>
                <w:bCs/>
                <w:color w:val="1A3C5E"/>
                <w:sz w:val="19"/>
                <w:szCs w:val="19"/>
              </w:rPr>
              <w:t xml:space="preserve">La surprise</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i/>
                <w:iCs/>
                <w:color w:val="1A1A1A"/>
                <w:sz w:val="19"/>
                <w:szCs w:val="19"/>
              </w:rPr>
              <w:t xml:space="preserve">"Vraiment ?"</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Mémorisation — Akeli est inattendu et factuel</w:t>
            </w:r>
          </w:p>
        </w:tc>
        <w:tc>
          <w:tcPr>
            <w:tcBorders>
              <w:top w:val="single" w:color="D6CFC5" w:sz="1"/>
              <w:left w:val="single" w:color="D6CFC5" w:sz="1"/>
              <w:bottom w:val="single" w:color="D6CFC5" w:sz="1"/>
              <w:right w:val="single" w:color="D6CFC5" w:sz="1"/>
            </w:tcBorders>
            <w:shd w:fill="FFFFFF" w:val="clear"/>
            <w:tcMar>
              <w:top w:type="dxa" w:w="90"/>
              <w:left w:type="dxa" w:w="140"/>
              <w:bottom w:type="dxa" w:w="90"/>
              <w:right w:type="dxa" w:w="100"/>
            </w:tcMar>
          </w:tcPr>
          <w:p>
            <w:r>
              <w:rPr>
                <w:rFonts w:ascii="Arial" w:cs="Arial" w:eastAsia="Arial" w:hAnsi="Arial"/>
                <w:color w:val="1A1A1A"/>
                <w:sz w:val="19"/>
                <w:szCs w:val="19"/>
              </w:rPr>
              <w:t xml:space="preserve">70% de la population mondiale adulte est intolérante au lactose. Le mil africain est le premier producteur mondial.</w:t>
            </w:r>
          </w:p>
        </w:tc>
      </w:tr>
    </w:tbl>
    <w:p>
      <w:r>
        <w:t xml:space="preserve"/>
      </w:r>
    </w:p>
    <w:p>
      <w:pPr>
        <w:spacing w:before="200" w:after="80"/>
      </w:pPr>
      <w:r>
        <w:rPr>
          <w:rFonts w:ascii="Arial" w:cs="Arial" w:eastAsia="Arial" w:hAnsi="Arial"/>
          <w:b/>
          <w:bCs/>
          <w:color w:val="C8A96E"/>
          <w:sz w:val="22"/>
          <w:szCs w:val="22"/>
        </w:rPr>
        <w:t xml:space="preserve">Correspondance registres / axes de contenu</w:t>
      </w:r>
    </w:p>
    <w:p>
      <w:pPr>
        <w:spacing w:before="60" w:after="80"/>
        <w:jc w:val="left"/>
      </w:pPr>
      <w:r>
        <w:rPr>
          <w:rFonts w:ascii="Arial" w:cs="Arial" w:eastAsia="Arial" w:hAnsi="Arial"/>
          <w:b w:val="false"/>
          <w:bCs w:val="false"/>
          <w:i w:val="false"/>
          <w:iCs w:val="false"/>
          <w:color w:val="1A1A1A"/>
          <w:sz w:val="22"/>
          <w:szCs w:val="22"/>
        </w:rPr>
        <w:t xml:space="preserve">Les cinq registres se répartissent naturellement sur les trois axes existants.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AXE I — Enjeux socioculturels</w:t>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AXE II — Ouverture culinaire</w:t>
            </w:r>
          </w:p>
        </w:tc>
        <w:tc>
          <w:tcPr>
            <w:tcBorders>
              <w:top w:val="single" w:color="D6CFC5" w:sz="1"/>
              <w:left w:val="single" w:color="D6CFC5" w:sz="1"/>
              <w:bottom w:val="single" w:color="D6CFC5" w:sz="1"/>
              <w:right w:val="single" w:color="D6CFC5" w:sz="1"/>
            </w:tcBorders>
            <w:shd w:fill="1A3C5E" w:val="clear"/>
            <w:tcMar>
              <w:top w:type="dxa" w:w="80"/>
              <w:left w:type="dxa" w:w="140"/>
              <w:bottom w:type="dxa" w:w="80"/>
              <w:right w:type="dxa" w:w="100"/>
            </w:tcMar>
          </w:tcPr>
          <w:p>
            <w:r>
              <w:rPr>
                <w:rFonts w:ascii="Arial" w:cs="Arial" w:eastAsia="Arial" w:hAnsi="Arial"/>
                <w:b/>
                <w:bCs/>
                <w:color w:val="FFFFFF"/>
                <w:sz w:val="19"/>
                <w:szCs w:val="19"/>
              </w:rPr>
              <w:t xml:space="preserve">AXE III — Ambition &amp; opportunités</w:t>
            </w:r>
          </w:p>
        </w:tc>
      </w:tr>
      <w:tr>
        <w:tc>
          <w:tcPr>
            <w:tcBorders>
              <w:top w:val="single" w:color="D6CFC5" w:sz="1"/>
              <w:left w:val="single" w:color="D6CFC5" w:sz="1"/>
              <w:bottom w:val="single" w:color="D6CFC5" w:sz="1"/>
              <w:right w:val="single" w:color="D6CFC5" w:sz="1"/>
            </w:tcBorders>
            <w:shd w:fill="F2EDE6" w:val="clear"/>
            <w:tcMar>
              <w:top w:type="dxa" w:w="100"/>
              <w:left w:type="dxa" w:w="140"/>
              <w:bottom w:type="dxa" w:w="100"/>
              <w:right w:type="dxa" w:w="100"/>
            </w:tcMar>
          </w:tcPr>
          <w:p>
            <w:r>
              <w:rPr>
                <w:rFonts w:ascii="Arial" w:cs="Arial" w:eastAsia="Arial" w:hAnsi="Arial"/>
                <w:b/>
                <w:bCs/>
                <w:color w:val="1A3C5E"/>
                <w:sz w:val="19"/>
                <w:szCs w:val="19"/>
              </w:rPr>
              <w:t xml:space="preserve">Reconnaissance</w:t>
            </w:r>
          </w:p>
          <w:p>
            <w:pPr>
              <w:spacing w:before="40"/>
            </w:pPr>
            <w:r>
              <w:rPr>
                <w:rFonts w:ascii="Arial" w:cs="Arial" w:eastAsia="Arial" w:hAnsi="Arial"/>
                <w:b/>
                <w:bCs/>
                <w:color w:val="1A3C5E"/>
                <w:sz w:val="19"/>
                <w:szCs w:val="19"/>
              </w:rPr>
              <w:t xml:space="preserve">Interrogation</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b/>
                <w:bCs/>
                <w:color w:val="1A3C5E"/>
                <w:sz w:val="19"/>
                <w:szCs w:val="19"/>
              </w:rPr>
              <w:t xml:space="preserve">Curiosité</w:t>
            </w:r>
          </w:p>
          <w:p>
            <w:pPr>
              <w:spacing w:before="40"/>
            </w:pPr>
            <w:r>
              <w:rPr>
                <w:rFonts w:ascii="Arial" w:cs="Arial" w:eastAsia="Arial" w:hAnsi="Arial"/>
                <w:b/>
                <w:bCs/>
                <w:color w:val="1A3C5E"/>
                <w:sz w:val="19"/>
                <w:szCs w:val="19"/>
              </w:rPr>
              <w:t xml:space="preserve">Fierté</w:t>
            </w:r>
          </w:p>
          <w:p>
            <w:pPr>
              <w:spacing w:before="40"/>
            </w:pPr>
            <w:r>
              <w:rPr>
                <w:rFonts w:ascii="Arial" w:cs="Arial" w:eastAsia="Arial" w:hAnsi="Arial"/>
                <w:b/>
                <w:bCs/>
                <w:color w:val="1A3C5E"/>
                <w:sz w:val="19"/>
                <w:szCs w:val="19"/>
              </w:rPr>
              <w:t xml:space="preserve">Surprise</w:t>
            </w:r>
          </w:p>
        </w:tc>
        <w:tc>
          <w:tcPr>
            <w:tcBorders>
              <w:top w:val="single" w:color="D6CFC5" w:sz="1"/>
              <w:left w:val="single" w:color="D6CFC5" w:sz="1"/>
              <w:bottom w:val="single" w:color="D6CFC5" w:sz="1"/>
              <w:right w:val="single" w:color="D6CFC5" w:sz="1"/>
            </w:tcBorders>
            <w:shd w:fill="FFFFFF" w:val="clear"/>
            <w:tcMar>
              <w:top w:type="dxa" w:w="100"/>
              <w:left w:type="dxa" w:w="140"/>
              <w:bottom w:type="dxa" w:w="100"/>
              <w:right w:type="dxa" w:w="100"/>
            </w:tcMar>
          </w:tcPr>
          <w:p>
            <w:r>
              <w:rPr>
                <w:rFonts w:ascii="Arial" w:cs="Arial" w:eastAsia="Arial" w:hAnsi="Arial"/>
                <w:b/>
                <w:bCs/>
                <w:color w:val="1A3C5E"/>
                <w:sz w:val="19"/>
                <w:szCs w:val="19"/>
              </w:rPr>
              <w:t xml:space="preserve">Désir</w:t>
            </w:r>
          </w:p>
          <w:p>
            <w:pPr>
              <w:spacing w:before="40"/>
            </w:pPr>
            <w:r>
              <w:rPr>
                <w:rFonts w:ascii="Arial" w:cs="Arial" w:eastAsia="Arial" w:hAnsi="Arial"/>
                <w:b/>
                <w:bCs/>
                <w:color w:val="1A3C5E"/>
                <w:sz w:val="19"/>
                <w:szCs w:val="19"/>
              </w:rPr>
              <w:t xml:space="preserve">Reconnaissance (créateur)</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40"/>
              <w:left w:type="dxa" w:w="220"/>
              <w:bottom w:type="dxa" w:w="140"/>
              <w:right w:type="dxa" w:w="220"/>
            </w:tcMar>
          </w:tcPr>
          <w:p>
            <w:r>
              <w:rPr>
                <w:rFonts w:ascii="Arial" w:cs="Arial" w:eastAsia="Arial" w:hAnsi="Arial"/>
                <w:b/>
                <w:bCs/>
                <w:color w:val="1A3C5E"/>
                <w:sz w:val="20"/>
                <w:szCs w:val="20"/>
              </w:rPr>
              <w:t xml:space="preserve">Règle de séquençage</w:t>
            </w:r>
          </w:p>
          <w:p>
            <w:pPr>
              <w:spacing w:before="60"/>
            </w:pPr>
            <w:r>
              <w:rPr>
                <w:rFonts w:ascii="Arial" w:cs="Arial" w:eastAsia="Arial" w:hAnsi="Arial"/>
                <w:color w:val="1A1A1A"/>
                <w:sz w:val="20"/>
                <w:szCs w:val="20"/>
              </w:rPr>
              <w:t xml:space="preserve">Une série de contenus équilibrée active les cinq registres dans le temps.</w:t>
            </w:r>
          </w:p>
          <w:p>
            <w:pPr>
              <w:spacing w:before="60"/>
            </w:pPr>
            <w:r>
              <w:rPr>
                <w:rFonts w:ascii="Arial" w:cs="Arial" w:eastAsia="Arial" w:hAnsi="Arial"/>
                <w:color w:val="1A1A1A"/>
                <w:sz w:val="20"/>
                <w:szCs w:val="20"/>
              </w:rPr>
              <w:t xml:space="preserve">Pas de règle fixe sur l'ordre — mais une vigilance : si trois contenus consécutifs activent le même registre, la série s'appauvrit.</w:t>
            </w:r>
          </w:p>
          <w:p>
            <w:pPr>
              <w:spacing w:before="60"/>
            </w:pPr>
            <w:r>
              <w:rPr>
                <w:rFonts w:ascii="Arial" w:cs="Arial" w:eastAsia="Arial" w:hAnsi="Arial"/>
                <w:color w:val="1A1A1A"/>
                <w:sz w:val="20"/>
                <w:szCs w:val="20"/>
              </w:rPr>
              <w:t xml:space="preserve">Le registre 'interrogation' est le plus sous-utilisé — et souvent le plus efficace pour maintenir une audience qui revient.</w:t>
            </w:r>
          </w:p>
        </w:tc>
      </w:tr>
    </w:tbl>
    <w:p>
      <w:r>
        <w:t xml:space="preserve"/>
      </w:r>
    </w:p>
    <w:p>
      <w:r>
        <w:t xml:space="preserve"/>
      </w:r>
    </w:p>
    <w:p>
      <w:pPr>
        <w:pStyle w:val="Heading1"/>
        <w:spacing w:before="380" w:after="120"/>
      </w:pPr>
      <w:r>
        <w:rPr>
          <w:rFonts w:ascii="Arial" w:cs="Arial" w:eastAsia="Arial" w:hAnsi="Arial"/>
          <w:b/>
          <w:bCs/>
          <w:color w:val="1A3C5E"/>
          <w:sz w:val="32"/>
          <w:szCs w:val="32"/>
        </w:rPr>
        <w:t xml:space="preserve">5. La vue d'ensemble — comment tout s'articule</w:t>
      </w:r>
    </w:p>
    <w:p>
      <w:pPr>
        <w:spacing w:before="60" w:after="80"/>
        <w:jc w:val="left"/>
      </w:pPr>
      <w:r>
        <w:rPr>
          <w:rFonts w:ascii="Arial" w:cs="Arial" w:eastAsia="Arial" w:hAnsi="Arial"/>
          <w:b w:val="false"/>
          <w:bCs w:val="false"/>
          <w:i w:val="false"/>
          <w:iCs w:val="false"/>
          <w:color w:val="1A1A1A"/>
          <w:sz w:val="22"/>
          <w:szCs w:val="22"/>
        </w:rPr>
        <w:t xml:space="preserve">Ces quatre principes ne sont pas indépendants. Ils forment une architecture cohérente où chaque élément renforce les autres.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6CFC5" w:sz="1"/>
              <w:left w:val="single" w:color="D6CFC5" w:sz="1"/>
              <w:bottom w:val="single" w:color="D6CFC5" w:sz="1"/>
              <w:right w:val="single" w:color="D6CFC5" w:sz="1"/>
            </w:tcBorders>
            <w:shd w:fill="F2EDE6" w:val="clear"/>
            <w:tcMar>
              <w:top w:type="dxa" w:w="160"/>
              <w:left w:type="dxa" w:w="220"/>
              <w:bottom w:type="dxa" w:w="160"/>
              <w:right w:type="dxa" w:w="220"/>
            </w:tcMar>
          </w:tcPr>
          <w:p>
            <w:pPr>
              <w:jc w:val="center"/>
            </w:pPr>
            <w:r>
              <w:rPr>
                <w:rFonts w:ascii="Arial" w:cs="Arial" w:eastAsia="Arial" w:hAnsi="Arial"/>
                <w:b/>
                <w:bCs/>
                <w:color w:val="1A3C5E"/>
                <w:sz w:val="20"/>
                <w:szCs w:val="20"/>
              </w:rPr>
              <w:t xml:space="preserve">La constance mécanique (règle des 7 contacts)</w:t>
            </w:r>
          </w:p>
          <w:p>
            <w:pPr>
              <w:spacing w:before="40"/>
              <w:jc w:val="center"/>
            </w:pPr>
            <w:r>
              <w:rPr>
                <w:rFonts w:ascii="Arial" w:cs="Arial" w:eastAsia="Arial" w:hAnsi="Arial"/>
                <w:b/>
                <w:bCs/>
                <w:color w:val="C8A96E"/>
                <w:sz w:val="24"/>
                <w:szCs w:val="24"/>
              </w:rPr>
              <w:t xml:space="preserve">↓</w:t>
            </w:r>
          </w:p>
          <w:p>
            <w:pPr>
              <w:jc w:val="center"/>
            </w:pPr>
            <w:r>
              <w:rPr>
                <w:rFonts w:ascii="Arial" w:cs="Arial" w:eastAsia="Arial" w:hAnsi="Arial"/>
                <w:i/>
                <w:iCs/>
                <w:color w:val="1A1A1A"/>
                <w:sz w:val="19"/>
                <w:szCs w:val="19"/>
              </w:rPr>
              <w:t xml:space="preserve">crée les conditions pour que la granularité fonctionne</w:t>
            </w:r>
          </w:p>
          <w:p>
            <w:pPr>
              <w:spacing w:before="80"/>
              <w:jc w:val="center"/>
            </w:pPr>
            <w:r>
              <w:rPr>
                <w:rFonts w:ascii="Arial" w:cs="Arial" w:eastAsia="Arial" w:hAnsi="Arial"/>
                <w:b/>
                <w:bCs/>
                <w:color w:val="1A3C5E"/>
                <w:sz w:val="20"/>
                <w:szCs w:val="20"/>
              </w:rPr>
              <w:t xml:space="preserve">La granularité (niche + facette)</w:t>
            </w:r>
          </w:p>
          <w:p>
            <w:pPr>
              <w:spacing w:before="40"/>
              <w:jc w:val="center"/>
            </w:pPr>
            <w:r>
              <w:rPr>
                <w:rFonts w:ascii="Arial" w:cs="Arial" w:eastAsia="Arial" w:hAnsi="Arial"/>
                <w:b/>
                <w:bCs/>
                <w:color w:val="C8A96E"/>
                <w:sz w:val="24"/>
                <w:szCs w:val="24"/>
              </w:rPr>
              <w:t xml:space="preserve">↓</w:t>
            </w:r>
          </w:p>
          <w:p>
            <w:pPr>
              <w:jc w:val="center"/>
            </w:pPr>
            <w:r>
              <w:rPr>
                <w:rFonts w:ascii="Arial" w:cs="Arial" w:eastAsia="Arial" w:hAnsi="Arial"/>
                <w:i/>
                <w:iCs/>
                <w:color w:val="1A1A1A"/>
                <w:sz w:val="19"/>
                <w:szCs w:val="19"/>
              </w:rPr>
              <w:t xml:space="preserve">produit des reconnaissances fortes qui se mémorisent</w:t>
            </w:r>
          </w:p>
          <w:p>
            <w:pPr>
              <w:spacing w:before="80"/>
              <w:jc w:val="center"/>
            </w:pPr>
            <w:r>
              <w:rPr>
                <w:rFonts w:ascii="Arial" w:cs="Arial" w:eastAsia="Arial" w:hAnsi="Arial"/>
                <w:b/>
                <w:bCs/>
                <w:color w:val="1A3C5E"/>
                <w:sz w:val="20"/>
                <w:szCs w:val="20"/>
              </w:rPr>
              <w:t xml:space="preserve">La variété des registres émotionnels</w:t>
            </w:r>
          </w:p>
          <w:p>
            <w:pPr>
              <w:spacing w:before="40"/>
              <w:jc w:val="center"/>
            </w:pPr>
            <w:r>
              <w:rPr>
                <w:rFonts w:ascii="Arial" w:cs="Arial" w:eastAsia="Arial" w:hAnsi="Arial"/>
                <w:b/>
                <w:bCs/>
                <w:color w:val="C8A96E"/>
                <w:sz w:val="24"/>
                <w:szCs w:val="24"/>
              </w:rPr>
              <w:t xml:space="preserve">↓</w:t>
            </w:r>
          </w:p>
          <w:p>
            <w:pPr>
              <w:jc w:val="center"/>
            </w:pPr>
            <w:r>
              <w:rPr>
                <w:rFonts w:ascii="Arial" w:cs="Arial" w:eastAsia="Arial" w:hAnsi="Arial"/>
                <w:i/>
                <w:iCs/>
                <w:color w:val="1A1A1A"/>
                <w:sz w:val="19"/>
                <w:szCs w:val="19"/>
              </w:rPr>
              <w:t xml:space="preserve">construit une relation complète, pas à une seule note</w:t>
            </w:r>
          </w:p>
          <w:p>
            <w:pPr>
              <w:spacing w:before="80"/>
              <w:jc w:val="center"/>
            </w:pPr>
            <w:r>
              <w:rPr>
                <w:rFonts w:ascii="Arial" w:cs="Arial" w:eastAsia="Arial" w:hAnsi="Arial"/>
                <w:b/>
                <w:bCs/>
                <w:color w:val="1A3C5E"/>
                <w:sz w:val="20"/>
                <w:szCs w:val="20"/>
              </w:rPr>
              <w:t xml:space="preserve">Les deux jambes (diaspora → données)</w:t>
            </w:r>
          </w:p>
          <w:p>
            <w:pPr>
              <w:spacing w:before="40"/>
              <w:jc w:val="center"/>
            </w:pPr>
            <w:r>
              <w:rPr>
                <w:rFonts w:ascii="Arial" w:cs="Arial" w:eastAsia="Arial" w:hAnsi="Arial"/>
                <w:b/>
                <w:bCs/>
                <w:color w:val="C8A96E"/>
                <w:sz w:val="24"/>
                <w:szCs w:val="24"/>
              </w:rPr>
              <w:t xml:space="preserve">↓</w:t>
            </w:r>
          </w:p>
          <w:p>
            <w:pPr>
              <w:jc w:val="center"/>
            </w:pPr>
            <w:r>
              <w:rPr>
                <w:rFonts w:ascii="Arial" w:cs="Arial" w:eastAsia="Arial" w:hAnsi="Arial"/>
                <w:i/>
                <w:iCs/>
                <w:color w:val="1A1A1A"/>
                <w:sz w:val="19"/>
                <w:szCs w:val="19"/>
              </w:rPr>
              <w:t xml:space="preserve">donnent à la relation sa légitimité maintenant et sa preuve ensuite</w:t>
            </w:r>
          </w:p>
          <w:p>
            <w:pPr>
              <w:spacing w:before="80"/>
              <w:jc w:val="center"/>
            </w:pPr>
            <w:r>
              <w:rPr>
                <w:rFonts w:ascii="Arial" w:cs="Arial" w:eastAsia="Arial" w:hAnsi="Arial"/>
                <w:b/>
                <w:bCs/>
                <w:color w:val="C8A96E"/>
                <w:sz w:val="20"/>
                <w:szCs w:val="20"/>
              </w:rPr>
              <w:t xml:space="preserve">→  La conversion arrive naturellement. Elle n'est pas forcée.</w:t>
            </w:r>
          </w:p>
        </w:tc>
      </w:tr>
    </w:tbl>
    <w:p>
      <w:r>
        <w:t xml:space="preserve"/>
      </w:r>
    </w:p>
    <w:p>
      <w:r>
        <w:t xml:space="preserve"/>
      </w:r>
    </w:p>
    <w:p>
      <w:pPr>
        <w:pStyle w:val="Heading1"/>
        <w:spacing w:before="380" w:after="120"/>
      </w:pPr>
      <w:r>
        <w:rPr>
          <w:rFonts w:ascii="Arial" w:cs="Arial" w:eastAsia="Arial" w:hAnsi="Arial"/>
          <w:b/>
          <w:bCs/>
          <w:color w:val="1A3C5E"/>
          <w:sz w:val="32"/>
          <w:szCs w:val="32"/>
        </w:rPr>
        <w:t xml:space="preserve">6. Ce que ça change dans l'évaluation des contenus</w:t>
      </w:r>
    </w:p>
    <w:p>
      <w:pPr>
        <w:spacing w:before="60" w:after="80"/>
        <w:jc w:val="left"/>
      </w:pPr>
      <w:r>
        <w:rPr>
          <w:rFonts w:ascii="Arial" w:cs="Arial" w:eastAsia="Arial" w:hAnsi="Arial"/>
          <w:b w:val="false"/>
          <w:bCs w:val="false"/>
          <w:i w:val="false"/>
          <w:iCs w:val="false"/>
          <w:color w:val="1A1A1A"/>
          <w:sz w:val="22"/>
          <w:szCs w:val="22"/>
        </w:rPr>
        <w:t xml:space="preserve">Ce document implique un changement dans la façon d'évaluer si un contenu est bon ou non. Les métriques de l'ancien modèle ne s'appliquent pas ici.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6CFC5" w:sz="1"/>
              <w:left w:val="single" w:color="D6CFC5" w:sz="1"/>
              <w:bottom w:val="single" w:color="D6CFC5" w:sz="1"/>
              <w:right w:val="single" w:color="D6CFC5" w:sz="1"/>
            </w:tcBorders>
            <w:shd w:fill="8B0000" w:val="clear"/>
            <w:tcMar>
              <w:top w:type="dxa" w:w="80"/>
              <w:left w:type="dxa" w:w="160"/>
              <w:bottom w:type="dxa" w:w="80"/>
              <w:right w:type="dxa" w:w="120"/>
            </w:tcMar>
          </w:tcPr>
          <w:p>
            <w:r>
              <w:rPr>
                <w:rFonts w:ascii="Arial" w:cs="Arial" w:eastAsia="Arial" w:hAnsi="Arial"/>
                <w:b/>
                <w:bCs/>
                <w:color w:val="FFFFFF"/>
                <w:sz w:val="20"/>
                <w:szCs w:val="20"/>
              </w:rPr>
              <w:t xml:space="preserve">Mauvaises questions à poser</w:t>
            </w:r>
          </w:p>
        </w:tc>
        <w:tc>
          <w:tcPr>
            <w:tcBorders>
              <w:top w:val="single" w:color="D6CFC5" w:sz="1"/>
              <w:left w:val="single" w:color="D6CFC5" w:sz="1"/>
              <w:bottom w:val="single" w:color="D6CFC5" w:sz="1"/>
              <w:right w:val="single" w:color="D6CFC5" w:sz="1"/>
            </w:tcBorders>
            <w:shd w:fill="2E5F2E" w:val="clear"/>
            <w:tcMar>
              <w:top w:type="dxa" w:w="80"/>
              <w:left w:type="dxa" w:w="160"/>
              <w:bottom w:type="dxa" w:w="80"/>
              <w:right w:type="dxa" w:w="120"/>
            </w:tcMar>
          </w:tcPr>
          <w:p>
            <w:r>
              <w:rPr>
                <w:rFonts w:ascii="Arial" w:cs="Arial" w:eastAsia="Arial" w:hAnsi="Arial"/>
                <w:b/>
                <w:bCs/>
                <w:color w:val="FFFFFF"/>
                <w:sz w:val="20"/>
                <w:szCs w:val="20"/>
              </w:rPr>
              <w:t xml:space="preserve">Bonnes questions à poser</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Ce contenu a-t-il généré des inscriptions ?</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Ce contenu a-t-il contribué à la relation ?</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Pourquoi ce contenu n'a pas eu plus de vues ?</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Quel registre émotionnel ce contenu a-t-il activé ?</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Ce contenu parle-t-il à assez de monde ?</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Ce contenu parle-t-il précisément à qui il doit parler ?</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Avons-nous publié quelque chose de viral ?</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Avons-nous maintenu notre présence cette semaine ?</w:t>
            </w:r>
          </w:p>
        </w:tc>
      </w:tr>
      <w:tr>
        <w:tc>
          <w:tcPr>
            <w:tcBorders>
              <w:top w:val="single" w:color="D6CFC5" w:sz="1"/>
              <w:left w:val="single" w:color="D6CFC5" w:sz="1"/>
              <w:bottom w:val="single" w:color="D6CFC5" w:sz="1"/>
              <w:right w:val="single" w:color="D6CFC5" w:sz="1"/>
            </w:tcBorders>
            <w:shd w:fill="F2EDE6" w:val="clear"/>
            <w:tcMar>
              <w:top w:type="dxa" w:w="80"/>
              <w:left w:type="dxa" w:w="160"/>
              <w:bottom w:type="dxa" w:w="80"/>
              <w:right w:type="dxa" w:w="120"/>
            </w:tcMar>
          </w:tcPr>
          <w:p>
            <w:r>
              <w:rPr>
                <w:rFonts w:ascii="Arial" w:cs="Arial" w:eastAsia="Arial" w:hAnsi="Arial"/>
                <w:color w:val="1A1A1A"/>
                <w:sz w:val="19"/>
                <w:szCs w:val="19"/>
              </w:rPr>
              <w:t xml:space="preserve">Ce contenu est-il assez différent des autres ?</w:t>
            </w:r>
          </w:p>
        </w:tc>
        <w:tc>
          <w:tcPr>
            <w:tcBorders>
              <w:top w:val="single" w:color="D6CFC5" w:sz="1"/>
              <w:left w:val="single" w:color="D6CFC5" w:sz="1"/>
              <w:bottom w:val="single" w:color="D6CFC5" w:sz="1"/>
              <w:right w:val="single" w:color="D6CFC5" w:sz="1"/>
            </w:tcBorders>
            <w:shd w:fill="FFFFFF" w:val="clear"/>
            <w:tcMar>
              <w:top w:type="dxa" w:w="80"/>
              <w:left w:type="dxa" w:w="160"/>
              <w:bottom w:type="dxa" w:w="80"/>
              <w:right w:type="dxa" w:w="120"/>
            </w:tcMar>
          </w:tcPr>
          <w:p>
            <w:r>
              <w:rPr>
                <w:rFonts w:ascii="Arial" w:cs="Arial" w:eastAsia="Arial" w:hAnsi="Arial"/>
                <w:b/>
                <w:bCs/>
                <w:color w:val="2E5F2E"/>
                <w:sz w:val="19"/>
                <w:szCs w:val="19"/>
              </w:rPr>
              <w:t xml:space="preserve">Ce contenu complète-t-il les registres déjà activés ?</w:t>
            </w:r>
          </w:p>
        </w:tc>
      </w:tr>
    </w:tbl>
    <w:p>
      <w:r>
        <w:t xml:space="preserve"/>
      </w:r>
    </w:p>
    <w:p>
      <w:r>
        <w:t xml:space="preserve"/>
      </w:r>
    </w:p>
    <w:p>
      <w:pPr>
        <w:pBdr>
          <w:top w:val="single" w:color="C8A96E" w:sz="4"/>
        </w:pBdr>
        <w:spacing w:before="480"/>
      </w:pPr>
      <w:r>
        <w:rPr>
          <w:rFonts w:ascii="Arial" w:cs="Arial" w:eastAsia="Arial" w:hAnsi="Arial"/>
          <w:color w:val="C8A96E"/>
          <w:sz w:val="18"/>
          <w:szCs w:val="18"/>
        </w:rPr>
        <w:t xml:space="preserve">AKELI-Communication — REF-10 — Document interne — Mars 2026 — Auteur : Curtis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2026-03-09T10:22:43.517Z</dcterms:created>
  <dcterms:modified xsi:type="dcterms:W3CDTF">2026-03-09T10:22:43.518Z</dcterms:modified>
</cp:coreProperties>
</file>

<file path=docProps/custom.xml><?xml version="1.0" encoding="utf-8"?>
<Properties xmlns="http://schemas.openxmlformats.org/officeDocument/2006/custom-properties" xmlns:vt="http://schemas.openxmlformats.org/officeDocument/2006/docPropsVTypes"/>
</file>