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Cambria" w:cs="Cambria" w:eastAsia="Cambria" w:hAnsi="Cambria"/>
          <w:b/>
          <w:bCs/>
          <w:color w:val="B85042"/>
          <w:sz w:val="56"/>
          <w:szCs w:val="56"/>
        </w:rPr>
        <w:t xml:space="preserve">AKELI</w:t>
      </w:r>
    </w:p>
    <w:p>
      <w:pPr>
        <w:spacing w:before="0" w:after="40"/>
      </w:pPr>
      <w:r>
        <w:rPr>
          <w:rFonts w:ascii="Calibri" w:cs="Calibri" w:eastAsia="Calibri" w:hAnsi="Calibri"/>
          <w:i/>
          <w:iCs/>
          <w:color w:val="7A7A6E"/>
          <w:sz w:val="20"/>
          <w:szCs w:val="20"/>
        </w:rPr>
        <w:t xml:space="preserve">AKELI_LIVE_PROTOCOLE.md</w:t>
      </w:r>
    </w:p>
    <w:p>
      <w:pPr>
        <w:spacing w:before="0" w:after="40"/>
      </w:pPr>
      <w:r>
        <w:rPr>
          <w:rFonts w:ascii="Calibri" w:cs="Calibri" w:eastAsia="Calibri" w:hAnsi="Calibri"/>
          <w:color w:val="7A7A6E"/>
          <w:sz w:val="20"/>
          <w:szCs w:val="20"/>
        </w:rPr>
        <w:t xml:space="preserve">Document de référence — Format Live</w:t>
      </w:r>
    </w:p>
    <w:p>
      <w:pPr>
        <w:spacing w:before="0" w:after="40"/>
      </w:pPr>
      <w:r>
        <w:rPr>
          <w:rFonts w:ascii="Calibri" w:cs="Calibri" w:eastAsia="Calibri" w:hAnsi="Calibri"/>
          <w:color w:val="7A7A6E"/>
          <w:sz w:val="20"/>
          <w:szCs w:val="20"/>
        </w:rPr>
        <w:t xml:space="preserve">Auteur : Curtis — Fondateur Akeli  ·  Mars 2026</w:t>
      </w:r>
    </w:p>
    <w:p>
      <w:pPr>
        <w:spacing w:before="0" w:after="200"/>
      </w:pPr>
      <w:r>
        <w:rPr>
          <w:rFonts w:ascii="Calibri" w:cs="Calibri" w:eastAsia="Calibri" w:hAnsi="Calibri"/>
          <w:i/>
          <w:iCs/>
          <w:color w:val="7A7A6E"/>
          <w:sz w:val="20"/>
          <w:szCs w:val="20"/>
        </w:rPr>
        <w:t xml:space="preserve">Statut : Document vivant — hors numérotation REF</w:t>
      </w:r>
    </w:p>
    <w:p>
      <w:pPr>
        <w:pBdr>
          <w:bottom w:val="single" w:color="B85042" w:sz="4" w:space="1"/>
        </w:pBdr>
        <w:spacing w:before="80" w:after="80"/>
      </w:pPr>
    </w:p>
    <w:p>
      <w:pPr>
        <w:spacing w:before="200" w:after="160"/>
        <w:jc w:val="left"/>
      </w:pPr>
      <w:r>
        <w:rPr>
          <w:rFonts w:ascii="Calibri" w:cs="Calibri" w:eastAsia="Calibri" w:hAnsi="Calibri"/>
          <w:b w:val="false"/>
          <w:bCs w:val="false"/>
          <w:i w:val="false"/>
          <w:iCs w:val="false"/>
          <w:color w:val="1A1A1A"/>
          <w:sz w:val="22"/>
          <w:szCs w:val="22"/>
        </w:rPr>
        <w:t xml:space="preserve">Ce document fixe les principes du format live Akeli. Il est né de la préparation des supports du Live Phase 1 et documente ce que la production terrain a révélé : le live n'est pas un format de présentation ou de formation. C'est un format de révélation.</w:t>
      </w:r>
    </w:p>
    <w:p>
      <w:pPr>
        <w:spacing w:before="0" w:after="200"/>
        <w:jc w:val="left"/>
      </w:pPr>
      <w:r>
        <w:rPr>
          <w:rFonts w:ascii="Calibri" w:cs="Calibri" w:eastAsia="Calibri" w:hAnsi="Calibri"/>
          <w:b w:val="false"/>
          <w:bCs w:val="false"/>
          <w:i w:val="false"/>
          <w:iCs w:val="false"/>
          <w:color w:val="1A1A1A"/>
          <w:sz w:val="22"/>
          <w:szCs w:val="22"/>
        </w:rPr>
        <w:t xml:space="preserve">Ces règles complètent la documentation existante. Elles ne remplacent pas REF-04 (Posture &amp; Protocole) mais s'y ajoutent pour couvrir les spécificités du format live.</w:t>
      </w:r>
    </w:p>
    <w:p>
      <w:pPr>
        <w:pBdr>
          <w:bottom w:val="single" w:color="B85042" w:sz="4" w:space="1"/>
        </w:pBdr>
        <w:spacing w:before="80" w:after="80"/>
      </w:pPr>
    </w:p>
    <w:p>
      <w:pPr>
        <w:pStyle w:val="Heading1"/>
        <w:spacing w:before="400" w:after="160"/>
      </w:pPr>
      <w:r>
        <w:rPr>
          <w:rFonts w:ascii="Cambria" w:cs="Cambria" w:eastAsia="Cambria" w:hAnsi="Cambria"/>
          <w:b/>
          <w:bCs/>
          <w:color w:val="1A1A1A"/>
          <w:sz w:val="36"/>
          <w:szCs w:val="36"/>
        </w:rPr>
        <w:t xml:space="preserve">1. Ce que le live fait vraiment</w:t>
      </w:r>
    </w:p>
    <w:p>
      <w:pPr>
        <w:spacing w:before="120" w:after="100"/>
        <w:jc w:val="left"/>
      </w:pPr>
      <w:r>
        <w:rPr>
          <w:rFonts w:ascii="Calibri" w:cs="Calibri" w:eastAsia="Calibri" w:hAnsi="Calibri"/>
          <w:b/>
          <w:bCs/>
          <w:i w:val="false"/>
          <w:iCs w:val="false"/>
          <w:color w:val="1A1A1A"/>
          <w:sz w:val="22"/>
          <w:szCs w:val="22"/>
        </w:rPr>
        <w:t xml:space="preserve">Un live Akeli n'est pas une conférence. Ce n'est pas une formation. Ce n'est pas une présentation de produit.</w:t>
      </w:r>
    </w:p>
    <w:p>
      <w:pPr>
        <w:spacing w:before="0" w:after="120"/>
        <w:jc w:val="left"/>
      </w:pPr>
      <w:r>
        <w:rPr>
          <w:rFonts w:ascii="Calibri" w:cs="Calibri" w:eastAsia="Calibri" w:hAnsi="Calibri"/>
          <w:b w:val="false"/>
          <w:bCs w:val="false"/>
          <w:i w:val="false"/>
          <w:iCs w:val="false"/>
          <w:color w:val="1A1A1A"/>
          <w:sz w:val="22"/>
          <w:szCs w:val="22"/>
        </w:rPr>
        <w:t xml:space="preserve">C'est un espace de révélation. L'hôte pose une réalité sur la table. La salle tranche. Si les participants se reconnaissent dans ce qui est posé — le live a rempli son rôle. Si personne ne réagit — le sujet était faux. C'est aussi une information utile.</w:t>
      </w:r>
    </w:p>
    <w:p>
      <w:pPr>
        <w:spacing w:before="0" w:after="160"/>
        <w:jc w:val="left"/>
      </w:pPr>
      <w:r>
        <w:rPr>
          <w:rFonts w:ascii="Calibri" w:cs="Calibri" w:eastAsia="Calibri" w:hAnsi="Calibri"/>
          <w:b w:val="false"/>
          <w:bCs w:val="false"/>
          <w:i w:val="false"/>
          <w:iCs w:val="false"/>
          <w:color w:val="1A1A1A"/>
          <w:sz w:val="22"/>
          <w:szCs w:val="22"/>
        </w:rPr>
        <w:t xml:space="preserve">C'est le même mécanisme que sur la plateforme : Akeli pose 20%, la communauté tranche avec 80%. Au live, ce ratio devient encore plus strict.</w:t>
      </w:r>
    </w:p>
    <w:p>
      <w:pPr>
        <w:pBdr>
          <w:left w:val="thick" w:color="B85042" w:sz="12" w:space="10"/>
        </w:pBdr>
        <w:spacing w:before="160" w:after="160"/>
        <w:ind w:left="720" w:right="720"/>
        <w:jc w:val="center"/>
      </w:pPr>
      <w:r>
        <w:rPr>
          <w:rFonts w:ascii="Cambria" w:cs="Cambria" w:eastAsia="Cambria" w:hAnsi="Cambria"/>
          <w:i/>
          <w:iCs/>
          <w:color w:val="B85042"/>
          <w:sz w:val="24"/>
          <w:szCs w:val="24"/>
        </w:rPr>
        <w:t xml:space="preserve">« Un live réussi n'est pas un live bien présenté. C'est un live où la salle a parlé. »</w:t>
      </w:r>
    </w:p>
    <w:p>
      <w:pPr>
        <w:pBdr>
          <w:bottom w:val="single" w:color="E0D8CC" w:sz="1" w:space="1"/>
        </w:pBdr>
        <w:spacing w:before="60" w:after="60"/>
      </w:pPr>
    </w:p>
    <w:p>
      <w:pPr>
        <w:pStyle w:val="Heading1"/>
        <w:spacing w:before="400" w:after="160"/>
      </w:pPr>
      <w:r>
        <w:rPr>
          <w:rFonts w:ascii="Cambria" w:cs="Cambria" w:eastAsia="Cambria" w:hAnsi="Cambria"/>
          <w:b/>
          <w:bCs/>
          <w:color w:val="1A1A1A"/>
          <w:sz w:val="36"/>
          <w:szCs w:val="36"/>
        </w:rPr>
        <w:t xml:space="preserve">2. La règle 10 / 90</w:t>
      </w:r>
    </w:p>
    <w:p>
      <w:pPr>
        <w:spacing w:before="120" w:after="100"/>
        <w:jc w:val="left"/>
      </w:pPr>
      <w:r>
        <w:rPr>
          <w:rFonts w:ascii="Calibri" w:cs="Calibri" w:eastAsia="Calibri" w:hAnsi="Calibri"/>
          <w:b w:val="false"/>
          <w:bCs w:val="false"/>
          <w:i w:val="false"/>
          <w:iCs w:val="false"/>
          <w:color w:val="1A1A1A"/>
          <w:sz w:val="22"/>
          <w:szCs w:val="22"/>
        </w:rPr>
        <w:t xml:space="preserve">Dans le contenu écrit, la règle est 20/80 — Akeli produit 20%, la communauté apporte 80%. Au live, cette règle devient 10/90.</w:t>
      </w:r>
    </w:p>
    <w:p>
      <w:pPr>
        <w:spacing w:before="200" w:after="60"/>
      </w:pPr>
      <w:r>
        <w:rPr>
          <w:rFonts w:ascii="Calibri" w:cs="Calibri" w:eastAsia="Calibri" w:hAnsi="Calibri"/>
          <w:b/>
          <w:bCs/>
          <w:color w:val="B85042"/>
          <w:spacing w:val="80"/>
          <w:sz w:val="18"/>
          <w:szCs w:val="18"/>
        </w:rPr>
        <w:t xml:space="preserve">L'HÔTE OCCUPE 10 %</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Une observation posée — simple, concrète, sans explication.</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Une ou deux questions d'amorce.</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L'invitation finale.</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Rien d'autre.</w:t>
      </w:r>
    </w:p>
    <w:p>
      <w:pPr>
        <w:spacing w:before="80" w:after="0"/>
        <w:jc w:val="left"/>
      </w:pPr>
      <w:r>
        <w:rPr>
          <w:rFonts w:ascii="Calibri" w:cs="Calibri" w:eastAsia="Calibri" w:hAnsi="Calibri"/>
          <w:b w:val="false"/>
          <w:bCs w:val="false"/>
          <w:i w:val="false"/>
          <w:iCs w:val="false"/>
          <w:color w:val="1A1A1A"/>
          <w:sz w:val="22"/>
          <w:szCs w:val="22"/>
        </w:rPr>
        <w:t xml:space="preserve"/>
      </w:r>
    </w:p>
    <w:p>
      <w:pPr>
        <w:spacing w:before="200" w:after="60"/>
      </w:pPr>
      <w:r>
        <w:rPr>
          <w:rFonts w:ascii="Calibri" w:cs="Calibri" w:eastAsia="Calibri" w:hAnsi="Calibri"/>
          <w:b/>
          <w:bCs/>
          <w:color w:val="B85042"/>
          <w:spacing w:val="80"/>
          <w:sz w:val="18"/>
          <w:szCs w:val="18"/>
        </w:rPr>
        <w:t xml:space="preserve">LA SALLE OCCUPE 90 %</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Ce que les participants disent devient la démonstration.</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Leurs réponses révèlent le besoin mieux que n'importe quel argumentaire.</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Leurs histoires valident ou invalident le sujet en temps réel.</w:t>
      </w:r>
    </w:p>
    <w:p>
      <w:pPr>
        <w:spacing w:before="120" w:after="0"/>
        <w:jc w:val="left"/>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0D8CC" w:sz="1"/>
              <w:left w:val="thick" w:color="A7BEAE" w:sz="12"/>
              <w:bottom w:val="single" w:color="E0D8CC" w:sz="1"/>
              <w:right w:val="single" w:color="E0D8CC" w:sz="1"/>
            </w:tcBorders>
            <w:shd w:fill="F0F5F2" w:val="clear"/>
            <w:tcMar>
              <w:top w:type="dxa" w:w="120"/>
              <w:left w:type="dxa" w:w="200"/>
              <w:bottom w:type="dxa" w:w="120"/>
              <w:right w:type="dxa" w:w="200"/>
            </w:tcMar>
          </w:tcPr>
          <w:p>
            <w:pPr>
              <w:spacing w:before="40" w:after="40"/>
            </w:pPr>
            <w:r>
              <w:rPr>
                <w:rFonts w:ascii="Calibri" w:cs="Calibri" w:eastAsia="Calibri" w:hAnsi="Calibri"/>
                <w:i/>
                <w:iCs/>
                <w:color w:val="1A1A1A"/>
                <w:sz w:val="20"/>
                <w:szCs w:val="20"/>
              </w:rPr>
              <w:t xml:space="preserve">Si la salle ne réagit pas — le sujet était faux, pas la salle.</w:t>
            </w:r>
          </w:p>
          <w:p>
            <w:pPr>
              <w:spacing w:before="40" w:after="40"/>
            </w:pPr>
            <w:r>
              <w:rPr>
                <w:rFonts w:ascii="Calibri" w:cs="Calibri" w:eastAsia="Calibri" w:hAnsi="Calibri"/>
                <w:i/>
                <w:iCs/>
                <w:color w:val="1A1A1A"/>
                <w:sz w:val="20"/>
                <w:szCs w:val="20"/>
              </w:rPr>
              <w:t xml:space="preserve">Un live silencieux est un feedback, pas un échec.</w:t>
            </w:r>
          </w:p>
          <w:p>
            <w:pPr>
              <w:spacing w:before="40" w:after="40"/>
            </w:pPr>
            <w:r>
              <w:rPr>
                <w:rFonts w:ascii="Calibri" w:cs="Calibri" w:eastAsia="Calibri" w:hAnsi="Calibri"/>
                <w:i/>
                <w:iCs/>
                <w:color w:val="1A1A1A"/>
                <w:sz w:val="20"/>
                <w:szCs w:val="20"/>
              </w:rPr>
              <w:t xml:space="preserve">On note. On ajuste pour le prochain.</w:t>
            </w:r>
          </w:p>
        </w:tc>
      </w:tr>
    </w:tbl>
    <w:p>
      <w:pPr>
        <w:pBdr>
          <w:bottom w:val="single" w:color="E0D8CC" w:sz="1" w:space="1"/>
        </w:pBdr>
        <w:spacing w:before="60" w:after="60"/>
      </w:pPr>
    </w:p>
    <w:p>
      <w:pPr>
        <w:pStyle w:val="Heading1"/>
        <w:spacing w:before="400" w:after="160"/>
      </w:pPr>
      <w:r>
        <w:rPr>
          <w:rFonts w:ascii="Cambria" w:cs="Cambria" w:eastAsia="Cambria" w:hAnsi="Cambria"/>
          <w:b/>
          <w:bCs/>
          <w:color w:val="1A1A1A"/>
          <w:sz w:val="36"/>
          <w:szCs w:val="36"/>
        </w:rPr>
        <w:t xml:space="preserve">3. La posture de l'hôte</w:t>
      </w:r>
    </w:p>
    <w:p>
      <w:pPr>
        <w:spacing w:before="120" w:after="100"/>
        <w:jc w:val="left"/>
      </w:pPr>
      <w:r>
        <w:rPr>
          <w:rFonts w:ascii="Calibri" w:cs="Calibri" w:eastAsia="Calibri" w:hAnsi="Calibri"/>
          <w:b/>
          <w:bCs/>
          <w:i w:val="false"/>
          <w:iCs w:val="false"/>
          <w:color w:val="1A1A1A"/>
          <w:sz w:val="22"/>
          <w:szCs w:val="22"/>
        </w:rPr>
        <w:t xml:space="preserve">L'hôte n'est pas un formateur. Il n'est pas un présentateur. Il n'est pas un modérateur.</w:t>
      </w:r>
    </w:p>
    <w:p>
      <w:pPr>
        <w:spacing w:before="0" w:after="140"/>
        <w:jc w:val="left"/>
      </w:pPr>
      <w:r>
        <w:rPr>
          <w:rFonts w:ascii="Calibri" w:cs="Calibri" w:eastAsia="Calibri" w:hAnsi="Calibri"/>
          <w:b/>
          <w:bCs/>
          <w:i/>
          <w:iCs/>
          <w:color w:val="1A1A1A"/>
          <w:sz w:val="22"/>
          <w:szCs w:val="22"/>
        </w:rPr>
        <w:t xml:space="preserve">Il est un déclencheur.</w:t>
      </w:r>
    </w:p>
    <w:p>
      <w:pPr>
        <w:spacing w:before="200" w:after="60"/>
      </w:pPr>
      <w:r>
        <w:rPr>
          <w:rFonts w:ascii="Calibri" w:cs="Calibri" w:eastAsia="Calibri" w:hAnsi="Calibri"/>
          <w:b/>
          <w:bCs/>
          <w:color w:val="B85042"/>
          <w:spacing w:val="80"/>
          <w:sz w:val="18"/>
          <w:szCs w:val="18"/>
        </w:rPr>
        <w:t xml:space="preserve">CE QUE L'HÔTE FAIT</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Il pose une observation. Une seule. Simple et concrète.</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Il se tait. Il laisse la salle répondre.</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Il écoute avec curiosité — pas avec validation.</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Il ne corrige jamais une réponse en direct.</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Il ne dit pas « excellente question » ou « c'est très intéressant ».</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Il relance avec une question simple si la salle est silencieuse.</w:t>
      </w:r>
    </w:p>
    <w:p>
      <w:pPr>
        <w:spacing w:before="80" w:after="0"/>
        <w:jc w:val="left"/>
      </w:pPr>
      <w:r>
        <w:rPr>
          <w:rFonts w:ascii="Calibri" w:cs="Calibri" w:eastAsia="Calibri" w:hAnsi="Calibri"/>
          <w:b w:val="false"/>
          <w:bCs w:val="false"/>
          <w:i w:val="false"/>
          <w:iCs w:val="false"/>
          <w:color w:val="1A1A1A"/>
          <w:sz w:val="22"/>
          <w:szCs w:val="22"/>
        </w:rPr>
        <w:t xml:space="preserve"/>
      </w:r>
    </w:p>
    <w:p>
      <w:pPr>
        <w:spacing w:before="200" w:after="60"/>
      </w:pPr>
      <w:r>
        <w:rPr>
          <w:rFonts w:ascii="Calibri" w:cs="Calibri" w:eastAsia="Calibri" w:hAnsi="Calibri"/>
          <w:b/>
          <w:bCs/>
          <w:color w:val="B85042"/>
          <w:spacing w:val="80"/>
          <w:sz w:val="18"/>
          <w:szCs w:val="18"/>
        </w:rPr>
        <w:t xml:space="preserve">CE QUE L'HÔTE NE FAIT PAS</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Il ne guide pas la discussion vers une conclusion préparée.</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Il n'argumente pas. Il n'explique pas.</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Il ne remplit pas les silences par réflexe.</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Il n'utilise pas le lexique interdit — même à l'oral.</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Il ne vend pas Akeli. Il révèle une réalité et laisse la salle décider.</w:t>
      </w:r>
    </w:p>
    <w:p>
      <w:pPr>
        <w:spacing w:before="120" w:after="0"/>
        <w:jc w:val="left"/>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0D8CC" w:sz="1"/>
              <w:left w:val="thick" w:color="A7BEAE" w:sz="12"/>
              <w:bottom w:val="single" w:color="E0D8CC" w:sz="1"/>
              <w:right w:val="single" w:color="E0D8CC" w:sz="1"/>
            </w:tcBorders>
            <w:shd w:fill="F0F5F2" w:val="clear"/>
            <w:tcMar>
              <w:top w:type="dxa" w:w="120"/>
              <w:left w:type="dxa" w:w="200"/>
              <w:bottom w:type="dxa" w:w="120"/>
              <w:right w:type="dxa" w:w="200"/>
            </w:tcMar>
          </w:tcPr>
          <w:p>
            <w:pPr>
              <w:spacing w:before="40" w:after="40"/>
            </w:pPr>
            <w:r>
              <w:rPr>
                <w:rFonts w:ascii="Calibri" w:cs="Calibri" w:eastAsia="Calibri" w:hAnsi="Calibri"/>
                <w:i/>
                <w:iCs/>
                <w:color w:val="1A1A1A"/>
                <w:sz w:val="20"/>
                <w:szCs w:val="20"/>
              </w:rPr>
              <w:t xml:space="preserve">Le silence n'est pas un problème à résoudre.</w:t>
            </w:r>
          </w:p>
          <w:p>
            <w:pPr>
              <w:spacing w:before="40" w:after="40"/>
            </w:pPr>
            <w:r>
              <w:rPr>
                <w:rFonts w:ascii="Calibri" w:cs="Calibri" w:eastAsia="Calibri" w:hAnsi="Calibri"/>
                <w:i/>
                <w:iCs/>
                <w:color w:val="1A1A1A"/>
                <w:sz w:val="20"/>
                <w:szCs w:val="20"/>
              </w:rPr>
              <w:t xml:space="preserve">Un participant qui réfléchit avant de parler vaut mieux que dix qui acquiescent.</w:t>
            </w:r>
          </w:p>
          <w:p>
            <w:pPr>
              <w:spacing w:before="40" w:after="40"/>
            </w:pPr>
            <w:r>
              <w:rPr>
                <w:rFonts w:ascii="Calibri" w:cs="Calibri" w:eastAsia="Calibri" w:hAnsi="Calibri"/>
                <w:i/>
                <w:iCs/>
                <w:color w:val="1A1A1A"/>
                <w:sz w:val="20"/>
                <w:szCs w:val="20"/>
              </w:rPr>
              <w:t xml:space="preserve">L'hôte qui remplit chaque silence détruit la dynamique du live.</w:t>
            </w:r>
          </w:p>
        </w:tc>
      </w:tr>
    </w:tbl>
    <w:p>
      <w:pPr>
        <w:pBdr>
          <w:bottom w:val="single" w:color="E0D8CC" w:sz="1" w:space="1"/>
        </w:pBdr>
        <w:spacing w:before="60" w:after="60"/>
      </w:pPr>
    </w:p>
    <w:p>
      <w:pPr>
        <w:pStyle w:val="Heading1"/>
        <w:spacing w:before="400" w:after="160"/>
      </w:pPr>
      <w:r>
        <w:rPr>
          <w:rFonts w:ascii="Cambria" w:cs="Cambria" w:eastAsia="Cambria" w:hAnsi="Cambria"/>
          <w:b/>
          <w:bCs/>
          <w:color w:val="1A1A1A"/>
          <w:sz w:val="36"/>
          <w:szCs w:val="36"/>
        </w:rPr>
        <w:t xml:space="preserve">4. Le principe de révélation</w:t>
      </w:r>
    </w:p>
    <w:p>
      <w:pPr>
        <w:spacing w:before="120" w:after="120"/>
        <w:jc w:val="left"/>
      </w:pPr>
      <w:r>
        <w:rPr>
          <w:rFonts w:ascii="Calibri" w:cs="Calibri" w:eastAsia="Calibri" w:hAnsi="Calibri"/>
          <w:b w:val="false"/>
          <w:bCs w:val="false"/>
          <w:i w:val="false"/>
          <w:iCs w:val="false"/>
          <w:color w:val="1A1A1A"/>
          <w:sz w:val="22"/>
          <w:szCs w:val="22"/>
        </w:rPr>
        <w:t xml:space="preserve">Le live Akeli révèle trois choses — dans cet ordre. Jamais dans un autre.</w:t>
      </w:r>
    </w:p>
    <w:p>
      <w:pPr>
        <w:spacing w:before="200" w:after="60"/>
      </w:pPr>
      <w:r>
        <w:rPr>
          <w:rFonts w:ascii="Calibri" w:cs="Calibri" w:eastAsia="Calibri" w:hAnsi="Calibri"/>
          <w:b/>
          <w:bCs/>
          <w:color w:val="B85042"/>
          <w:spacing w:val="80"/>
          <w:sz w:val="18"/>
          <w:szCs w:val="18"/>
        </w:rPr>
        <w:t xml:space="preserve">RÉVÉLATION 1 — LE BESOIN</w:t>
      </w:r>
    </w:p>
    <w:p>
      <w:pPr>
        <w:spacing w:before="40" w:after="120"/>
        <w:jc w:val="left"/>
      </w:pPr>
      <w:r>
        <w:rPr>
          <w:rFonts w:ascii="Calibri" w:cs="Calibri" w:eastAsia="Calibri" w:hAnsi="Calibri"/>
          <w:b w:val="false"/>
          <w:bCs w:val="false"/>
          <w:i w:val="false"/>
          <w:iCs w:val="false"/>
          <w:color w:val="1A1A1A"/>
          <w:sz w:val="22"/>
          <w:szCs w:val="22"/>
        </w:rPr>
        <w:t xml:space="preserve">Les gens cherchent des repas qui leur conviennent. Personne ne leur propose. Cette réalité existe avant Akeli — Akeli ne l'a pas créée. On la nomme. On la pose. On écoute.</w:t>
      </w:r>
    </w:p>
    <w:p>
      <w:pPr>
        <w:spacing w:before="200" w:after="60"/>
      </w:pPr>
      <w:r>
        <w:rPr>
          <w:rFonts w:ascii="Calibri" w:cs="Calibri" w:eastAsia="Calibri" w:hAnsi="Calibri"/>
          <w:b/>
          <w:bCs/>
          <w:color w:val="B85042"/>
          <w:spacing w:val="80"/>
          <w:sz w:val="18"/>
          <w:szCs w:val="18"/>
        </w:rPr>
        <w:t xml:space="preserve">RÉVÉLATION 2 — LE SAVOIR</w:t>
      </w:r>
    </w:p>
    <w:p>
      <w:pPr>
        <w:spacing w:before="40" w:after="120"/>
        <w:jc w:val="left"/>
      </w:pPr>
      <w:r>
        <w:rPr>
          <w:rFonts w:ascii="Calibri" w:cs="Calibri" w:eastAsia="Calibri" w:hAnsi="Calibri"/>
          <w:b w:val="false"/>
          <w:bCs w:val="false"/>
          <w:i w:val="false"/>
          <w:iCs w:val="false"/>
          <w:color w:val="1A1A1A"/>
          <w:sz w:val="22"/>
          <w:szCs w:val="22"/>
        </w:rPr>
        <w:t xml:space="preserve">Ce que le créateur sait faire répond à ce besoin mieux que n'importe quel outil existant. Ce savoir est irremplaçable parce qu'il vient du vécu. On le nomme. On le reconnaît. On l'honore.</w:t>
      </w:r>
    </w:p>
    <w:p>
      <w:pPr>
        <w:spacing w:before="200" w:after="60"/>
      </w:pPr>
      <w:r>
        <w:rPr>
          <w:rFonts w:ascii="Calibri" w:cs="Calibri" w:eastAsia="Calibri" w:hAnsi="Calibri"/>
          <w:b/>
          <w:bCs/>
          <w:color w:val="B85042"/>
          <w:spacing w:val="80"/>
          <w:sz w:val="18"/>
          <w:szCs w:val="18"/>
        </w:rPr>
        <w:t xml:space="preserve">RÉVÉLATION 3 — LA VALEUR</w:t>
      </w:r>
    </w:p>
    <w:p>
      <w:pPr>
        <w:spacing w:before="40" w:after="160"/>
        <w:jc w:val="left"/>
      </w:pPr>
      <w:r>
        <w:rPr>
          <w:rFonts w:ascii="Calibri" w:cs="Calibri" w:eastAsia="Calibri" w:hAnsi="Calibri"/>
          <w:b w:val="false"/>
          <w:bCs w:val="false"/>
          <w:i w:val="false"/>
          <w:iCs w:val="false"/>
          <w:color w:val="1A1A1A"/>
          <w:sz w:val="22"/>
          <w:szCs w:val="22"/>
        </w:rPr>
        <w:t xml:space="preserve">Pour la première fois, ce savoir peut nourrir celui qui le porte. On pose l'idée — pas le mécanisme. Le mécanisme est le sujet du live suivant.</w:t>
      </w:r>
    </w:p>
    <w:p>
      <w:pPr>
        <w:spacing w:before="0" w:after="160"/>
        <w:jc w:val="left"/>
      </w:pPr>
      <w:r>
        <w:rPr>
          <w:rFonts w:ascii="Calibri" w:cs="Calibri" w:eastAsia="Calibri" w:hAnsi="Calibri"/>
          <w:b w:val="false"/>
          <w:bCs w:val="false"/>
          <w:i/>
          <w:iCs/>
          <w:color w:val="1A1A1A"/>
          <w:sz w:val="22"/>
          <w:szCs w:val="22"/>
        </w:rPr>
        <w:t xml:space="preserve">Ces trois révélations n'ont pas besoin d'être expliquées. Elles ont besoin d'être reconnues. C'est la salle qui confirme qu'elles sont vraies — pas l'hôte.</w:t>
      </w:r>
    </w:p>
    <w:p>
      <w:pPr>
        <w:spacing w:before="200" w:after="80"/>
      </w:pPr>
      <w:r>
        <w:rPr>
          <w:rFonts w:ascii="Calibri" w:cs="Calibri" w:hAnsi="Calibri"/>
          <w:b/>
          <w:bCs/>
          <w:color w:val="B85042"/>
          <w:sz w:val="18"/>
          <w:szCs w:val="18"/>
          <w:spacing w:val="80"/>
        </w:rPr>
        <w:t>4 . 1   C R É A T E U R ,   P A S   N U T R I T I O N N I S T E</w:t>
      </w:r>
    </w:p>
    <w:p>
      <w:pPr>
        <w:spacing w:before="80" w:after="80"/>
      </w:pPr>
      <w:r>
        <w:rPr>
          <w:rFonts w:ascii="Calibri" w:cs="Calibri" w:hAnsi="Calibri"/>
          <w:color w:val="1A1A1A"/>
          <w:sz w:val="22"/>
          <w:szCs w:val="22"/>
        </w:rPr>
        <w:t xml:space="preserve">Ce que le créateur Akeli fait n’a pas de nom dans le monde de la nutrition. Ce n’est pas de la diététique. Ce n’est pas de la prescription. C’est de la traduction — et parfois de l’invention.</w:t>
      </w:r>
    </w:p>
    <w:p>
      <w:pPr>
        <w:spacing w:before="80" w:after="80"/>
      </w:pPr>
      <w:r>
        <w:rPr>
          <w:rFonts w:ascii="Calibri" w:cs="Calibri" w:hAnsi="Calibri"/>
          <w:color w:val="1A1A1A"/>
          <w:sz w:val="22"/>
          <w:szCs w:val="22"/>
        </w:rPr>
        <w:t xml:space="preserve">Certaines recettes existent déjà — il les adapte à la réalité de vie de sa niche. D’autres n’existent pas encore — il les crée à partir de ce qu’il connaît de l’intérieur. Dans les deux cas, le point de départ est le même : une réalité vécue, pas un savoir théorique.</w:t>
      </w:r>
    </w:p>
    <w:p>
      <w:pPr>
        <w:spacing w:before="80" w:after="80"/>
      </w:pPr>
      <w:r>
        <w:rPr>
          <w:rFonts w:ascii="Calibri" w:cs="Calibri" w:hAnsi="Calibri"/>
          <w:color w:val="1A1A1A"/>
          <w:sz w:val="22"/>
          <w:szCs w:val="22"/>
        </w:rPr>
        <w:t xml:space="preserve">Un nutritionniste diagnostique et prescrit. Un créateur Akeli observe sa niche, comprend ce qu’elle vit au quotidien, et construit quelque chose qui y répond — en cuisine, dans son propre langage.</w:t>
      </w:r>
    </w:p>
    <w:p>
      <w:pPr>
        <w:spacing w:before="80" w:after="120"/>
      </w:pPr>
      <w:r>
        <w:rPr>
          <w:rFonts w:ascii="Calibri" w:cs="Calibri" w:hAnsi="Calibri"/>
          <w:color w:val="1A1A1A"/>
          <w:sz w:val="22"/>
          <w:szCs w:val="22"/>
        </w:rPr>
        <w:t xml:space="preserve">C’est pour ça qu’on dit créateur — pas expert, pas spécialiste, pas coach. La création est le geste fondamental. Adapter ce qui existe ou inventer ce qui manque — c’est le même geste, ancré dans la même connaissance du vécu.</w:t>
      </w:r>
    </w:p>
    <w:tbl>
      <w:tblPr>
        <w:tblW w:w="9026" w:type="dxa"/>
        <w:tblCellMar>
          <w:top w:w="120" w:type="dxa"/>
          <w:bottom w:w="120" w:type="dxa"/>
        </w:tblCellMar>
      </w:tblPr>
      <w:tblGrid>
        <w:gridCol w:w="9026"/>
      </w:tblGrid>
      <w:tr>
        <w:tc>
          <w:tcPr>
            <w:tcW w:w="9026" w:type="dxa"/>
            <w:tcBorders>
              <w:top w:val="single" w:sz="1" w:color="E0D8CC"/>
              <w:bottom w:val="single" w:sz="1" w:color="E0D8CC"/>
              <w:left w:val="thick" w:sz="12" w:color="A7BEAE"/>
              <w:right w:val="single" w:sz="1" w:color="E0D8CC"/>
            </w:tcBorders>
            <w:shd w:fill="F0F5F2" w:val="clear"/>
          </w:tcPr>
          <w:p>
            <w:pPr>
              <w:spacing w:before="40" w:after="40"/>
            </w:pPr>
            <w:r>
              <w:rPr>
                <w:rFonts w:ascii="Calibri" w:cs="Calibri" w:hAnsi="Calibri"/>
                <w:i/>
                <w:iCs/>
                <w:color w:val="1A1A1A"/>
                <w:sz w:val="20"/>
                <w:szCs w:val="20"/>
              </w:rPr>
              <w:t xml:space="preserve">La qualité de la démarche Akeli est qu’elle adapte des concepts complexes à des réalités vécues quotidiennes.</w:t>
            </w:r>
          </w:p>
          <w:p>
            <w:pPr>
              <w:spacing w:before="40" w:after="40"/>
            </w:pPr>
            <w:r>
              <w:rPr>
                <w:rFonts w:ascii="Calibri" w:cs="Calibri" w:hAnsi="Calibri"/>
                <w:i/>
                <w:iCs/>
                <w:color w:val="1A1A1A"/>
                <w:sz w:val="20"/>
                <w:szCs w:val="20"/>
              </w:rPr>
              <w:t xml:space="preserve">Ce que le créateur fait sur la plateforme, c’est le même geste que ce que la documentation fait pour la vision — traduire ce qui est complexe en ce qui est vécu.</w:t>
            </w:r>
          </w:p>
        </w:tc>
      </w:tr>
    </w:tbl>
    <w:p>
      <w:pPr>
        <w:pBdr>
          <w:bottom w:val="single" w:color="E0D8CC" w:sz="1" w:space="1"/>
        </w:pBdr>
        <w:spacing w:before="160" w:after="60"/>
      </w:pPr>
    </w:p>
    <w:p>
      <w:pPr>
        <w:pStyle w:val="Heading1"/>
        <w:spacing w:before="400" w:after="160"/>
      </w:pPr>
      <w:r>
        <w:rPr>
          <w:rFonts w:ascii="Cambria" w:cs="Cambria" w:eastAsia="Cambria" w:hAnsi="Cambria"/>
          <w:b/>
          <w:bCs/>
          <w:color w:val="1A1A1A"/>
          <w:sz w:val="36"/>
          <w:szCs w:val="36"/>
        </w:rPr>
        <w:t xml:space="preserve">5. L'architecture de la vision par rôle</w:t>
      </w:r>
    </w:p>
    <w:p>
      <w:pPr>
        <w:spacing w:before="120" w:after="120"/>
        <w:jc w:val="left"/>
      </w:pPr>
      <w:r>
        <w:rPr>
          <w:rFonts w:ascii="Calibri" w:cs="Calibri" w:eastAsia="Calibri" w:hAnsi="Calibri"/>
          <w:b w:val="false"/>
          <w:bCs w:val="false"/>
          <w:i w:val="false"/>
          <w:iCs w:val="false"/>
          <w:color w:val="1A1A1A"/>
          <w:sz w:val="22"/>
          <w:szCs w:val="22"/>
        </w:rPr>
        <w:t xml:space="preserve">La vision Akeli n'est pas un message à transmettre intégralement. C'est un socle qui installe une logique et un sentiment. Elle opère en arrière-plan.</w:t>
      </w:r>
    </w:p>
    <w:p>
      <w:pPr>
        <w:spacing w:before="0" w:after="160"/>
        <w:jc w:val="left"/>
      </w:pPr>
      <w:r>
        <w:rPr>
          <w:rFonts w:ascii="Calibri" w:cs="Calibri" w:eastAsia="Calibri" w:hAnsi="Calibri"/>
          <w:b w:val="false"/>
          <w:bCs w:val="false"/>
          <w:i w:val="false"/>
          <w:iCs w:val="false"/>
          <w:color w:val="1A1A1A"/>
          <w:sz w:val="22"/>
          <w:szCs w:val="22"/>
        </w:rPr>
        <w:t xml:space="preserve">Chaque membre de l'être collectif Akeli — fondateur, développeur, créateur, consommateur, sympathisant — n'en porte qu'une partie. Celle qui est utile à son rôle.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200"/>
        <w:gridCol w:w="6826"/>
      </w:tblGrid>
      <w:tr>
        <w:tc>
          <w:tcPr>
            <w:tcW w:type="dxa" w:w="2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Calibri" w:cs="Calibri" w:eastAsia="Calibri" w:hAnsi="Calibri"/>
                <w:b/>
                <w:bCs/>
                <w:color w:val="FFFFFF"/>
                <w:sz w:val="20"/>
                <w:szCs w:val="20"/>
              </w:rPr>
              <w:t xml:space="preserve">Rôle</w:t>
            </w:r>
          </w:p>
        </w:tc>
        <w:tc>
          <w:tcPr>
            <w:tcW w:type="dxa" w:w="6826"/>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r>
              <w:rPr>
                <w:rFonts w:ascii="Calibri" w:cs="Calibri" w:eastAsia="Calibri" w:hAnsi="Calibri"/>
                <w:b/>
                <w:bCs/>
                <w:color w:val="FFFFFF"/>
                <w:sz w:val="20"/>
                <w:szCs w:val="20"/>
              </w:rPr>
              <w:t xml:space="preserve">Ce qu'il retient de la vision</w:t>
            </w:r>
          </w:p>
        </w:tc>
      </w:tr>
      <w:tr>
        <w:tc>
          <w:tcPr>
            <w:tcW w:type="dxa" w:w="2200"/>
            <w:tcBorders>
              <w:top w:val="single" w:color="E0D8CC" w:sz="1"/>
              <w:left w:val="single" w:color="E0D8CC" w:sz="1"/>
              <w:bottom w:val="single" w:color="E0D8CC" w:sz="1"/>
              <w:right w:val="single" w:color="E0D8CC" w:sz="1"/>
            </w:tcBorders>
            <w:shd w:fill="FAF6F0" w:val="clear"/>
            <w:tcMar>
              <w:top w:type="dxa" w:w="100"/>
              <w:left w:type="dxa" w:w="140"/>
              <w:bottom w:type="dxa" w:w="100"/>
              <w:right w:type="dxa" w:w="140"/>
            </w:tcMar>
          </w:tcPr>
          <w:p>
            <w:r>
              <w:rPr>
                <w:rFonts w:ascii="Calibri" w:cs="Calibri" w:eastAsia="Calibri" w:hAnsi="Calibri"/>
                <w:b/>
                <w:bCs/>
                <w:color w:val="B85042"/>
                <w:sz w:val="20"/>
                <w:szCs w:val="20"/>
              </w:rPr>
              <w:t xml:space="preserve">Fondateur
Développeur</w:t>
            </w:r>
          </w:p>
        </w:tc>
        <w:tc>
          <w:tcPr>
            <w:tcW w:type="dxa" w:w="6826"/>
            <w:tcBorders>
              <w:top w:val="single" w:color="E0D8CC" w:sz="1"/>
              <w:left w:val="single" w:color="E0D8CC" w:sz="1"/>
              <w:bottom w:val="single" w:color="E0D8CC" w:sz="1"/>
              <w:right w:val="single" w:color="E0D8CC" w:sz="1"/>
            </w:tcBorders>
            <w:shd w:fill="FAF6F0" w:val="clear"/>
            <w:tcMar>
              <w:top w:type="dxa" w:w="100"/>
              <w:left w:type="dxa" w:w="140"/>
              <w:bottom w:type="dxa" w:w="100"/>
              <w:right w:type="dxa" w:w="140"/>
            </w:tcMar>
          </w:tcPr>
          <w:p>
            <w:r>
              <w:rPr>
                <w:rFonts w:ascii="Calibri" w:cs="Calibri" w:eastAsia="Calibri" w:hAnsi="Calibri"/>
                <w:color w:val="1A1A1A"/>
                <w:sz w:val="20"/>
                <w:szCs w:val="20"/>
              </w:rPr>
              <w:t xml:space="preserve">La vision dans sa globalité — philosophie, architecture, positionnement universel, être collectif.</w:t>
            </w:r>
          </w:p>
        </w:tc>
      </w:tr>
      <w:tr>
        <w:tc>
          <w:tcPr>
            <w:tcW w:type="dxa" w:w="220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Calibri" w:cs="Calibri" w:eastAsia="Calibri" w:hAnsi="Calibri"/>
                <w:b/>
                <w:bCs/>
                <w:color w:val="B85042"/>
                <w:sz w:val="20"/>
                <w:szCs w:val="20"/>
              </w:rPr>
              <w:t xml:space="preserve">Créateur</w:t>
            </w:r>
          </w:p>
        </w:tc>
        <w:tc>
          <w:tcPr>
            <w:tcW w:type="dxa" w:w="6826"/>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Une conviction : les gens ont besoin de repas qui leur conviennent. Mon savoir y répond. Ce savoir vaut quelque chose.
Il n'a pas besoin de comprendre le réalignment pour créer.</w:t>
            </w:r>
          </w:p>
        </w:tc>
      </w:tr>
      <w:tr>
        <w:tc>
          <w:tcPr>
            <w:tcW w:type="dxa" w:w="2200"/>
            <w:tcBorders>
              <w:top w:val="single" w:color="E0D8CC" w:sz="1"/>
              <w:left w:val="single" w:color="E0D8CC" w:sz="1"/>
              <w:bottom w:val="single" w:color="E0D8CC" w:sz="1"/>
              <w:right w:val="single" w:color="E0D8CC" w:sz="1"/>
            </w:tcBorders>
            <w:shd w:fill="FAF6F0" w:val="clear"/>
            <w:tcMar>
              <w:top w:type="dxa" w:w="100"/>
              <w:left w:type="dxa" w:w="140"/>
              <w:bottom w:type="dxa" w:w="100"/>
              <w:right w:type="dxa" w:w="140"/>
            </w:tcMar>
          </w:tcPr>
          <w:p>
            <w:r>
              <w:rPr>
                <w:rFonts w:ascii="Calibri" w:cs="Calibri" w:eastAsia="Calibri" w:hAnsi="Calibri"/>
                <w:b/>
                <w:bCs/>
                <w:color w:val="B85042"/>
                <w:sz w:val="20"/>
                <w:szCs w:val="20"/>
              </w:rPr>
              <w:t xml:space="preserve">Consommateur</w:t>
            </w:r>
          </w:p>
        </w:tc>
        <w:tc>
          <w:tcPr>
            <w:tcW w:type="dxa" w:w="6826"/>
            <w:tcBorders>
              <w:top w:val="single" w:color="E0D8CC" w:sz="1"/>
              <w:left w:val="single" w:color="E0D8CC" w:sz="1"/>
              <w:bottom w:val="single" w:color="E0D8CC" w:sz="1"/>
              <w:right w:val="single" w:color="E0D8CC" w:sz="1"/>
            </w:tcBorders>
            <w:shd w:fill="FAF6F0" w:val="clear"/>
            <w:tcMar>
              <w:top w:type="dxa" w:w="100"/>
              <w:left w:type="dxa" w:w="140"/>
              <w:bottom w:type="dxa" w:w="100"/>
              <w:right w:type="dxa" w:w="140"/>
            </w:tcMar>
          </w:tcPr>
          <w:p>
            <w:r>
              <w:rPr>
                <w:rFonts w:ascii="Calibri" w:cs="Calibri" w:eastAsia="Calibri" w:hAnsi="Calibri"/>
                <w:color w:val="1A1A1A"/>
                <w:sz w:val="20"/>
                <w:szCs w:val="20"/>
              </w:rPr>
              <w:t xml:space="preserve">Un sentiment : quelqu'un comprend ma réalité sans me juger.
Émotion cible : soulagement.</w:t>
            </w:r>
          </w:p>
        </w:tc>
      </w:tr>
      <w:tr>
        <w:tc>
          <w:tcPr>
            <w:tcW w:type="dxa" w:w="2200"/>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Calibri" w:cs="Calibri" w:eastAsia="Calibri" w:hAnsi="Calibri"/>
                <w:b/>
                <w:bCs/>
                <w:color w:val="B85042"/>
                <w:sz w:val="20"/>
                <w:szCs w:val="20"/>
              </w:rPr>
              <w:t xml:space="preserve">Sympathisant</w:t>
            </w:r>
          </w:p>
        </w:tc>
        <w:tc>
          <w:tcPr>
            <w:tcW w:type="dxa" w:w="6826"/>
            <w:tcBorders>
              <w:top w:val="single" w:color="E0D8CC" w:sz="1"/>
              <w:left w:val="single" w:color="E0D8CC" w:sz="1"/>
              <w:bottom w:val="single" w:color="E0D8CC" w:sz="1"/>
              <w:right w:val="single" w:color="E0D8CC" w:sz="1"/>
            </w:tcBorders>
            <w:shd w:fill="FFFFFF" w:val="clear"/>
            <w:tcMar>
              <w:top w:type="dxa" w:w="100"/>
              <w:left w:type="dxa" w:w="140"/>
              <w:bottom w:type="dxa" w:w="100"/>
              <w:right w:type="dxa" w:w="140"/>
            </w:tcMar>
          </w:tcPr>
          <w:p>
            <w:r>
              <w:rPr>
                <w:rFonts w:ascii="Calibri" w:cs="Calibri" w:eastAsia="Calibri" w:hAnsi="Calibri"/>
                <w:color w:val="1A1A1A"/>
                <w:sz w:val="20"/>
                <w:szCs w:val="20"/>
              </w:rPr>
              <w:t xml:space="preserve">Une posture : un mouvement de bon sens. Tranquille. Honnête.
Émotion cible : respect.</w:t>
            </w:r>
          </w:p>
        </w:tc>
      </w:tr>
    </w:tbl>
    <w:p>
      <w:pPr>
        <w:spacing w:before="160" w:after="0"/>
        <w:jc w:val="left"/>
      </w:pPr>
      <w:r>
        <w:rPr>
          <w:rFonts w:ascii="Calibri" w:cs="Calibri" w:eastAsia="Calibri" w:hAnsi="Calibri"/>
          <w:b w:val="false"/>
          <w:bCs w:val="false"/>
          <w:i w:val="false"/>
          <w:iCs w:val="false"/>
          <w:color w:val="1A1A1A"/>
          <w:sz w:val="22"/>
          <w:szCs w:val="22"/>
        </w:rPr>
        <w:t xml:space="preserve"/>
      </w:r>
    </w:p>
    <w:p>
      <w:pPr>
        <w:spacing w:before="200" w:after="60"/>
      </w:pPr>
      <w:r>
        <w:rPr>
          <w:rFonts w:ascii="Calibri" w:cs="Calibri" w:eastAsia="Calibri" w:hAnsi="Calibri"/>
          <w:b/>
          <w:bCs/>
          <w:color w:val="B85042"/>
          <w:spacing w:val="80"/>
          <w:sz w:val="18"/>
          <w:szCs w:val="18"/>
        </w:rPr>
        <w:t xml:space="preserve">RÈGLE DE PRODUCTION POUR LE CONTENU CRÉATEUR</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Ne pas mentionner : réalignment, désynchronisation, trois profils de la diaspora, philosophie Akeli.</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Ces concepts opèrent dans le ton — ils ne se montrent pas.</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Le modèle économique détaillé appartient à la Phase 2, pas à la Phase 1.</w:t>
      </w:r>
    </w:p>
    <w:p>
      <w:pPr>
        <w:pBdr>
          <w:bottom w:val="single" w:color="E0D8CC" w:sz="1" w:space="1"/>
        </w:pBdr>
        <w:spacing w:before="60" w:after="60"/>
      </w:pPr>
    </w:p>
    <w:p>
      <w:pPr>
        <w:pStyle w:val="Heading1"/>
        <w:spacing w:before="400" w:after="160"/>
      </w:pPr>
      <w:r>
        <w:rPr>
          <w:rFonts w:ascii="Cambria" w:cs="Cambria" w:eastAsia="Cambria" w:hAnsi="Cambria"/>
          <w:b/>
          <w:bCs/>
          <w:color w:val="1A1A1A"/>
          <w:sz w:val="36"/>
          <w:szCs w:val="36"/>
        </w:rPr>
        <w:t xml:space="preserve">6. Le critère de succès d'un live</w:t>
      </w:r>
    </w:p>
    <w:p>
      <w:pPr>
        <w:spacing w:before="120" w:after="120"/>
        <w:jc w:val="left"/>
      </w:pPr>
      <w:r>
        <w:rPr>
          <w:rFonts w:ascii="Calibri" w:cs="Calibri" w:eastAsia="Calibri" w:hAnsi="Calibri"/>
          <w:b w:val="false"/>
          <w:bCs w:val="false"/>
          <w:i w:val="false"/>
          <w:iCs w:val="false"/>
          <w:color w:val="1A1A1A"/>
          <w:sz w:val="22"/>
          <w:szCs w:val="22"/>
        </w:rPr>
        <w:t xml:space="preserve">Un live Akeli ne se mesure pas au nombre de participants. Il ne se mesure pas au nombre d'inscrits au Zoom suivant.</w:t>
      </w:r>
    </w:p>
    <w:p>
      <w:pPr>
        <w:spacing w:before="200" w:after="60"/>
      </w:pPr>
      <w:r>
        <w:rPr>
          <w:rFonts w:ascii="Calibri" w:cs="Calibri" w:eastAsia="Calibri" w:hAnsi="Calibri"/>
          <w:b/>
          <w:bCs/>
          <w:color w:val="B85042"/>
          <w:spacing w:val="80"/>
          <w:sz w:val="18"/>
          <w:szCs w:val="18"/>
        </w:rPr>
        <w:t xml:space="preserve">UN LIVE A RÉUSSI SI</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Des participants ont parlé sans qu'on leur demande deux fois.</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Au moins une personne a nommé une niche ou une réalité non préparée par l'hôte.</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La discussion a duré après les questions d'amorce — sans que l'hôte relance.</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Quelqu'un a dit quelque chose que l'hôte n'avait pas anticipé.</w:t>
      </w:r>
    </w:p>
    <w:p>
      <w:pPr>
        <w:spacing w:before="80" w:after="0"/>
        <w:jc w:val="left"/>
      </w:pPr>
      <w:r>
        <w:rPr>
          <w:rFonts w:ascii="Calibri" w:cs="Calibri" w:eastAsia="Calibri" w:hAnsi="Calibri"/>
          <w:b w:val="false"/>
          <w:bCs w:val="false"/>
          <w:i w:val="false"/>
          <w:iCs w:val="false"/>
          <w:color w:val="1A1A1A"/>
          <w:sz w:val="22"/>
          <w:szCs w:val="22"/>
        </w:rPr>
        <w:t xml:space="preserve"/>
      </w:r>
    </w:p>
    <w:p>
      <w:pPr>
        <w:spacing w:before="200" w:after="60"/>
      </w:pPr>
      <w:r>
        <w:rPr>
          <w:rFonts w:ascii="Calibri" w:cs="Calibri" w:eastAsia="Calibri" w:hAnsi="Calibri"/>
          <w:b/>
          <w:bCs/>
          <w:color w:val="B85042"/>
          <w:spacing w:val="80"/>
          <w:sz w:val="18"/>
          <w:szCs w:val="18"/>
        </w:rPr>
        <w:t xml:space="preserve">UN LIVE A ÉCHOUÉ SI</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L'hôte a parlé plus de 15 minutes sur 40.</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Personne n'a réagi à l'observation d'amorce.</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La discussion a dû être alimentée en permanence par l'hôte.</w:t>
      </w:r>
    </w:p>
    <w:p>
      <w:pPr>
        <w:pStyle w:val="ListParagraph"/>
        <w:numPr>
          <w:ilvl w:val="0"/>
          <w:numId w:val="2"/>
        </w:numPr>
        <w:spacing w:before="40" w:after="40"/>
      </w:pPr>
      <w:r>
        <w:rPr>
          <w:rFonts w:ascii="Calibri" w:cs="Calibri" w:eastAsia="Calibri" w:hAnsi="Calibri"/>
          <w:b w:val="false"/>
          <w:bCs w:val="false"/>
          <w:i w:val="false"/>
          <w:iCs w:val="false"/>
          <w:color w:val="1A1A1A"/>
          <w:sz w:val="22"/>
          <w:szCs w:val="22"/>
        </w:rPr>
        <w:t xml:space="preserve">Le live s'est terminé sans qu'un seul participant ait nommé sa propre réalité.</w:t>
      </w:r>
    </w:p>
    <w:p>
      <w:pPr>
        <w:spacing w:before="120" w:after="0"/>
        <w:jc w:val="left"/>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E0D8CC" w:sz="1"/>
              <w:left w:val="thick" w:color="A7BEAE" w:sz="12"/>
              <w:bottom w:val="single" w:color="E0D8CC" w:sz="1"/>
              <w:right w:val="single" w:color="E0D8CC" w:sz="1"/>
            </w:tcBorders>
            <w:shd w:fill="F0F5F2" w:val="clear"/>
            <w:tcMar>
              <w:top w:type="dxa" w:w="120"/>
              <w:left w:type="dxa" w:w="200"/>
              <w:bottom w:type="dxa" w:w="120"/>
              <w:right w:type="dxa" w:w="200"/>
            </w:tcMar>
          </w:tcPr>
          <w:p>
            <w:pPr>
              <w:spacing w:before="40" w:after="40"/>
            </w:pPr>
            <w:r>
              <w:rPr>
                <w:rFonts w:ascii="Calibri" w:cs="Calibri" w:eastAsia="Calibri" w:hAnsi="Calibri"/>
                <w:i/>
                <w:iCs/>
                <w:color w:val="1A1A1A"/>
                <w:sz w:val="20"/>
                <w:szCs w:val="20"/>
              </w:rPr>
              <w:t xml:space="preserve">Un live silencieux n'est pas un problème de format — c'est un signal sur le sujet.</w:t>
            </w:r>
          </w:p>
          <w:p>
            <w:pPr>
              <w:spacing w:before="40" w:after="40"/>
            </w:pPr>
            <w:r>
              <w:rPr>
                <w:rFonts w:ascii="Calibri" w:cs="Calibri" w:eastAsia="Calibri" w:hAnsi="Calibri"/>
                <w:i/>
                <w:iCs/>
                <w:color w:val="1A1A1A"/>
                <w:sz w:val="20"/>
                <w:szCs w:val="20"/>
              </w:rPr>
              <w:t xml:space="preserve">Si personne ne se reconnaît dans l'observation posée,</w:t>
            </w:r>
          </w:p>
          <w:p>
            <w:pPr>
              <w:spacing w:before="40" w:after="40"/>
            </w:pPr>
            <w:r>
              <w:rPr>
                <w:rFonts w:ascii="Calibri" w:cs="Calibri" w:eastAsia="Calibri" w:hAnsi="Calibri"/>
                <w:i/>
                <w:iCs/>
                <w:color w:val="1A1A1A"/>
                <w:sz w:val="20"/>
                <w:szCs w:val="20"/>
              </w:rPr>
              <w:t xml:space="preserve">c'est que l'observation était fausse ou adressée aux mauvaises personnes.</w:t>
            </w:r>
          </w:p>
          <w:p>
            <w:pPr>
              <w:spacing w:before="40" w:after="40"/>
            </w:pPr>
            <w:r>
              <w:rPr>
                <w:rFonts w:ascii="Calibri" w:cs="Calibri" w:eastAsia="Calibri" w:hAnsi="Calibri"/>
                <w:i/>
                <w:iCs/>
                <w:color w:val="1A1A1A"/>
                <w:sz w:val="20"/>
                <w:szCs w:val="20"/>
              </w:rPr>
              <w:t xml:space="preserve">On ajuste. On reteste.</w:t>
            </w:r>
          </w:p>
        </w:tc>
      </w:tr>
    </w:tbl>
    <w:p>
      <w:pPr>
        <w:pBdr>
          <w:bottom w:val="single" w:color="E0D8CC" w:sz="1" w:space="1"/>
        </w:pBdr>
        <w:spacing w:before="60" w:after="60"/>
      </w:pPr>
    </w:p>
    <w:p>
      <w:pPr>
        <w:pStyle w:val="Heading1"/>
        <w:spacing w:before="400" w:after="160"/>
      </w:pPr>
      <w:r>
        <w:rPr>
          <w:rFonts w:ascii="Cambria" w:cs="Cambria" w:eastAsia="Cambria" w:hAnsi="Cambria"/>
          <w:b/>
          <w:bCs/>
          <w:color w:val="1A1A1A"/>
          <w:sz w:val="36"/>
          <w:szCs w:val="36"/>
        </w:rPr>
        <w:t xml:space="preserve">7. Les phrases d'amorce — FR / EN</w:t>
      </w:r>
    </w:p>
    <w:p>
      <w:pPr>
        <w:spacing w:before="120" w:after="160"/>
        <w:jc w:val="left"/>
      </w:pPr>
      <w:r>
        <w:rPr>
          <w:rFonts w:ascii="Calibri" w:cs="Calibri" w:eastAsia="Calibri" w:hAnsi="Calibri"/>
          <w:b w:val="false"/>
          <w:bCs w:val="false"/>
          <w:i w:val="false"/>
          <w:iCs w:val="false"/>
          <w:color w:val="1A1A1A"/>
          <w:sz w:val="22"/>
          <w:szCs w:val="22"/>
        </w:rPr>
        <w:t xml:space="preserve">Ces phrases sont des déclencheurs — pas des scripts. Elles peuvent être adaptées librement à condition de respecter la structure : observation + silence + écoute.</w:t>
      </w:r>
    </w:p>
    <w:p>
      <w:pPr>
        <w:pStyle w:val="Heading2"/>
        <w:spacing w:before="280" w:after="120"/>
      </w:pPr>
      <w:r>
        <w:rPr>
          <w:rFonts w:ascii="Cambria" w:cs="Cambria" w:eastAsia="Cambria" w:hAnsi="Cambria"/>
          <w:b/>
          <w:bCs/>
          <w:color w:val="B85042"/>
          <w:sz w:val="28"/>
          <w:szCs w:val="28"/>
        </w:rPr>
        <w:t xml:space="preserve">7.1 Version française</w:t>
      </w:r>
    </w:p>
    <w:p>
      <w:pPr>
        <w:spacing w:before="200" w:after="60"/>
      </w:pPr>
      <w:r>
        <w:rPr>
          <w:rFonts w:ascii="Calibri" w:cs="Calibri" w:eastAsia="Calibri" w:hAnsi="Calibri"/>
          <w:b/>
          <w:bCs/>
          <w:color w:val="B85042"/>
          <w:spacing w:val="80"/>
          <w:sz w:val="18"/>
          <w:szCs w:val="18"/>
        </w:rPr>
        <w:t xml:space="preserve">AMORCE 1 — LE BESOIN</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333333" w:sz="1"/>
              <w:left w:val="thick" w:color="B85042" w:sz="16"/>
              <w:bottom w:val="single" w:color="333333" w:sz="1"/>
              <w:right w:val="single" w:color="333333" w:sz="1"/>
            </w:tcBorders>
            <w:shd w:fill="F9F5EF" w:val="clear"/>
            <w:tcMar>
              <w:top w:type="dxa" w:w="140"/>
              <w:left w:type="dxa" w:w="220"/>
              <w:bottom w:type="dxa" w:w="140"/>
              <w:right w:type="dxa" w:w="220"/>
            </w:tcMar>
          </w:tcPr>
          <w:p>
            <w:pPr>
              <w:spacing w:before="60" w:after="60"/>
            </w:pPr>
            <w:r>
              <w:rPr>
                <w:rFonts w:ascii="Cambria" w:cs="Cambria" w:eastAsia="Cambria" w:hAnsi="Cambria"/>
                <w:b/>
                <w:bCs/>
                <w:i/>
                <w:iCs/>
                <w:color w:val="B85042"/>
                <w:sz w:val="22"/>
                <w:szCs w:val="22"/>
              </w:rPr>
              <w:t xml:space="preserve">"Il y a des millions de personnes qui mangent une cuisine que personne n'a encore pensé à adapter</w:t>
            </w:r>
          </w:p>
          <w:p>
            <w:pPr>
              <w:spacing w:before="60" w:after="60"/>
            </w:pPr>
            <w:r>
              <w:rPr>
                <w:rFonts w:ascii="Cambria" w:cs="Cambria" w:eastAsia="Cambria" w:hAnsi="Cambria"/>
                <w:b w:val="false"/>
                <w:bCs w:val="false"/>
                <w:i/>
                <w:iCs/>
                <w:color w:val="B85042"/>
                <w:sz w:val="22"/>
                <w:szCs w:val="22"/>
              </w:rPr>
              <w:t xml:space="preserve">à leur vie ici. La soignante qui rentre à 21h. L'étudiant avec 50 euros par mois.</w:t>
            </w:r>
          </w:p>
          <w:p>
            <w:pPr>
              <w:spacing w:before="60" w:after="60"/>
            </w:pPr>
            <w:r>
              <w:rPr>
                <w:rFonts w:ascii="Cambria" w:cs="Cambria" w:eastAsia="Cambria" w:hAnsi="Cambria"/>
                <w:b w:val="false"/>
                <w:bCs w:val="false"/>
                <w:i/>
                <w:iCs/>
                <w:color w:val="B85042"/>
                <w:sz w:val="22"/>
                <w:szCs w:val="22"/>
              </w:rPr>
              <w:t xml:space="preserve">L'athlète qui veut manger africain sans perdre sa forme.</w:t>
            </w:r>
          </w:p>
          <w:p>
            <w:pPr>
              <w:spacing w:before="60" w:after="60"/>
            </w:pPr>
            <w:r>
              <w:rPr>
                <w:rFonts w:ascii="Cambria" w:cs="Cambria" w:eastAsia="Cambria" w:hAnsi="Cambria"/>
                <w:b w:val="false"/>
                <w:bCs w:val="false"/>
                <w:i/>
                <w:iCs/>
                <w:color w:val="B85042"/>
                <w:sz w:val="22"/>
                <w:szCs w:val="22"/>
              </w:rPr>
              <w:t xml:space="preserve">Est-ce que quelqu'un ici se reconnaît dans ça ?"</w:t>
            </w:r>
          </w:p>
        </w:tc>
      </w:tr>
    </w:tbl>
    <w:p>
      <w:pPr>
        <w:spacing w:before="60" w:after="140"/>
        <w:jc w:val="left"/>
      </w:pPr>
      <w:r>
        <w:rPr>
          <w:rFonts w:ascii="Calibri" w:cs="Calibri" w:eastAsia="Calibri" w:hAnsi="Calibri"/>
          <w:b w:val="false"/>
          <w:bCs w:val="false"/>
          <w:i/>
          <w:iCs/>
          <w:color w:val="1A1A1A"/>
          <w:sz w:val="22"/>
          <w:szCs w:val="22"/>
        </w:rPr>
        <w:t xml:space="preserve">→ Se taire. Écouter. Ne pas relancer avant 10 secondes.</w:t>
      </w:r>
    </w:p>
    <w:p>
      <w:pPr>
        <w:spacing w:before="200" w:after="60"/>
      </w:pPr>
      <w:r>
        <w:rPr>
          <w:rFonts w:ascii="Calibri" w:cs="Calibri" w:eastAsia="Calibri" w:hAnsi="Calibri"/>
          <w:b/>
          <w:bCs/>
          <w:color w:val="B85042"/>
          <w:spacing w:val="80"/>
          <w:sz w:val="18"/>
          <w:szCs w:val="18"/>
        </w:rPr>
        <w:t xml:space="preserve">AMORCE 2 — LE SAVOIR  (SI LA SALLE A RÉPONDU)</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333333" w:sz="1"/>
              <w:left w:val="thick" w:color="B85042" w:sz="16"/>
              <w:bottom w:val="single" w:color="333333" w:sz="1"/>
              <w:right w:val="single" w:color="333333" w:sz="1"/>
            </w:tcBorders>
            <w:shd w:fill="F9F5EF" w:val="clear"/>
            <w:tcMar>
              <w:top w:type="dxa" w:w="140"/>
              <w:left w:type="dxa" w:w="220"/>
              <w:bottom w:type="dxa" w:w="140"/>
              <w:right w:type="dxa" w:w="220"/>
            </w:tcMar>
          </w:tcPr>
          <w:p>
            <w:pPr>
              <w:spacing w:before="60" w:after="60"/>
            </w:pPr>
            <w:r>
              <w:rPr>
                <w:rFonts w:ascii="Cambria" w:cs="Cambria" w:eastAsia="Cambria" w:hAnsi="Cambria"/>
                <w:b/>
                <w:bCs/>
                <w:i/>
                <w:iCs/>
                <w:color w:val="B85042"/>
                <w:sz w:val="22"/>
                <w:szCs w:val="22"/>
              </w:rPr>
              <w:t xml:space="preserve">"Ce que vous venez de décrire — cette connaissance de votre niche de l'intérieur —</w:t>
            </w:r>
          </w:p>
          <w:p>
            <w:pPr>
              <w:spacing w:before="60" w:after="60"/>
            </w:pPr>
            <w:r>
              <w:rPr>
                <w:rFonts w:ascii="Cambria" w:cs="Cambria" w:eastAsia="Cambria" w:hAnsi="Cambria"/>
                <w:b w:val="false"/>
                <w:bCs w:val="false"/>
                <w:i/>
                <w:iCs/>
                <w:color w:val="B85042"/>
                <w:sz w:val="22"/>
                <w:szCs w:val="22"/>
              </w:rPr>
              <w:t xml:space="preserve">personne d'autre ne peut la produire à votre place.</w:t>
            </w:r>
          </w:p>
          <w:p>
            <w:pPr>
              <w:spacing w:before="60" w:after="60"/>
            </w:pPr>
            <w:r>
              <w:rPr>
                <w:rFonts w:ascii="Cambria" w:cs="Cambria" w:eastAsia="Cambria" w:hAnsi="Cambria"/>
                <w:b w:val="false"/>
                <w:bCs w:val="false"/>
                <w:i/>
                <w:iCs/>
                <w:color w:val="B85042"/>
                <w:sz w:val="22"/>
                <w:szCs w:val="22"/>
              </w:rPr>
              <w:t xml:space="preserve">Et pour la première fois, ce savoir peut vous nourrir en retour."</w:t>
            </w:r>
          </w:p>
        </w:tc>
      </w:tr>
    </w:tbl>
    <w:p>
      <w:pPr>
        <w:spacing w:before="60" w:after="140"/>
        <w:jc w:val="left"/>
      </w:pPr>
      <w:r>
        <w:rPr>
          <w:rFonts w:ascii="Calibri" w:cs="Calibri" w:eastAsia="Calibri" w:hAnsi="Calibri"/>
          <w:b w:val="false"/>
          <w:bCs w:val="false"/>
          <w:i/>
          <w:iCs/>
          <w:color w:val="1A1A1A"/>
          <w:sz w:val="22"/>
          <w:szCs w:val="22"/>
        </w:rPr>
        <w:t xml:space="preserve">→ Se taire. Écouter.</w:t>
      </w:r>
    </w:p>
    <w:p>
      <w:pPr>
        <w:spacing w:before="200" w:after="60"/>
      </w:pPr>
      <w:r>
        <w:rPr>
          <w:rFonts w:ascii="Calibri" w:cs="Calibri" w:eastAsia="Calibri" w:hAnsi="Calibri"/>
          <w:b/>
          <w:bCs/>
          <w:color w:val="B85042"/>
          <w:spacing w:val="80"/>
          <w:sz w:val="18"/>
          <w:szCs w:val="18"/>
        </w:rPr>
        <w:t xml:space="preserve">INVITATION FINALE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333333" w:sz="1"/>
              <w:left w:val="thick" w:color="B85042" w:sz="16"/>
              <w:bottom w:val="single" w:color="333333" w:sz="1"/>
              <w:right w:val="single" w:color="333333" w:sz="1"/>
            </w:tcBorders>
            <w:shd w:fill="F9F5EF" w:val="clear"/>
            <w:tcMar>
              <w:top w:type="dxa" w:w="140"/>
              <w:left w:type="dxa" w:w="220"/>
              <w:bottom w:type="dxa" w:w="140"/>
              <w:right w:type="dxa" w:w="220"/>
            </w:tcMar>
          </w:tcPr>
          <w:p>
            <w:pPr>
              <w:spacing w:before="60" w:after="60"/>
            </w:pPr>
            <w:r>
              <w:rPr>
                <w:rFonts w:ascii="Cambria" w:cs="Cambria" w:eastAsia="Cambria" w:hAnsi="Cambria"/>
                <w:b/>
                <w:bCs/>
                <w:i/>
                <w:iCs/>
                <w:color w:val="B85042"/>
                <w:sz w:val="22"/>
                <w:szCs w:val="22"/>
              </w:rPr>
              <w:t xml:space="preserve">"Ce qu'on construit, c'est un espace où votre savoir a de la place et de la valeur.</w:t>
            </w:r>
          </w:p>
          <w:p>
            <w:pPr>
              <w:spacing w:before="60" w:after="60"/>
            </w:pPr>
            <w:r>
              <w:rPr>
                <w:rFonts w:ascii="Cambria" w:cs="Cambria" w:eastAsia="Cambria" w:hAnsi="Cambria"/>
                <w:b w:val="false"/>
                <w:bCs w:val="false"/>
                <w:i/>
                <w:iCs/>
                <w:color w:val="B85042"/>
                <w:sz w:val="22"/>
                <w:szCs w:val="22"/>
              </w:rPr>
              <w:t xml:space="preserve">Si ce soir vous vous êtes reconnu dans ce qu'on a dit — on se retrouve."</w:t>
            </w:r>
          </w:p>
        </w:tc>
      </w:tr>
    </w:tbl>
    <w:p>
      <w:pPr>
        <w:spacing w:before="60" w:after="200"/>
        <w:jc w:val="left"/>
      </w:pPr>
      <w:r>
        <w:rPr>
          <w:rFonts w:ascii="Calibri" w:cs="Calibri" w:eastAsia="Calibri" w:hAnsi="Calibri"/>
          <w:b w:val="false"/>
          <w:bCs w:val="false"/>
          <w:i/>
          <w:iCs/>
          <w:color w:val="1A1A1A"/>
          <w:sz w:val="22"/>
          <w:szCs w:val="22"/>
        </w:rPr>
        <w:t xml:space="preserve">→ Donner le lien. Calme. Pas d'urgence.</w:t>
      </w:r>
    </w:p>
    <w:p>
      <w:pPr>
        <w:pStyle w:val="Heading2"/>
        <w:spacing w:before="280" w:after="120"/>
      </w:pPr>
      <w:r>
        <w:rPr>
          <w:rFonts w:ascii="Cambria" w:cs="Cambria" w:eastAsia="Cambria" w:hAnsi="Cambria"/>
          <w:b/>
          <w:bCs/>
          <w:color w:val="B85042"/>
          <w:sz w:val="28"/>
          <w:szCs w:val="28"/>
        </w:rPr>
        <w:t xml:space="preserve">7.2 English version</w:t>
      </w:r>
    </w:p>
    <w:p>
      <w:pPr>
        <w:spacing w:before="200" w:after="60"/>
      </w:pPr>
      <w:r>
        <w:rPr>
          <w:rFonts w:ascii="Calibri" w:cs="Calibri" w:eastAsia="Calibri" w:hAnsi="Calibri"/>
          <w:b/>
          <w:bCs/>
          <w:color w:val="B85042"/>
          <w:spacing w:val="80"/>
          <w:sz w:val="18"/>
          <w:szCs w:val="18"/>
        </w:rPr>
        <w:t xml:space="preserve">OPENING — THE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333333" w:sz="1"/>
              <w:left w:val="thick" w:color="B85042" w:sz="16"/>
              <w:bottom w:val="single" w:color="333333" w:sz="1"/>
              <w:right w:val="single" w:color="333333" w:sz="1"/>
            </w:tcBorders>
            <w:shd w:fill="F9F5EF" w:val="clear"/>
            <w:tcMar>
              <w:top w:type="dxa" w:w="140"/>
              <w:left w:type="dxa" w:w="220"/>
              <w:bottom w:type="dxa" w:w="140"/>
              <w:right w:type="dxa" w:w="220"/>
            </w:tcMar>
          </w:tcPr>
          <w:p>
            <w:pPr>
              <w:spacing w:before="60" w:after="60"/>
            </w:pPr>
            <w:r>
              <w:rPr>
                <w:rFonts w:ascii="Cambria" w:cs="Cambria" w:eastAsia="Cambria" w:hAnsi="Cambria"/>
                <w:b/>
                <w:bCs/>
                <w:i/>
                <w:iCs/>
                <w:color w:val="B85042"/>
                <w:sz w:val="22"/>
                <w:szCs w:val="22"/>
              </w:rPr>
              <w:t xml:space="preserve">"There are millions of people eating a cuisine nobody has thought to adapt to their life here.</w:t>
            </w:r>
          </w:p>
          <w:p>
            <w:pPr>
              <w:spacing w:before="60" w:after="60"/>
            </w:pPr>
            <w:r>
              <w:rPr>
                <w:rFonts w:ascii="Cambria" w:cs="Cambria" w:eastAsia="Cambria" w:hAnsi="Cambria"/>
                <w:b w:val="false"/>
                <w:bCs w:val="false"/>
                <w:i/>
                <w:iCs/>
                <w:color w:val="B85042"/>
                <w:sz w:val="22"/>
                <w:szCs w:val="22"/>
              </w:rPr>
              <w:t xml:space="preserve">The nurse who gets home at 9pm. The student on forty pounds a month.</w:t>
            </w:r>
          </w:p>
          <w:p>
            <w:pPr>
              <w:spacing w:before="60" w:after="60"/>
            </w:pPr>
            <w:r>
              <w:rPr>
                <w:rFonts w:ascii="Cambria" w:cs="Cambria" w:eastAsia="Cambria" w:hAnsi="Cambria"/>
                <w:b w:val="false"/>
                <w:bCs w:val="false"/>
                <w:i/>
                <w:iCs/>
                <w:color w:val="B85042"/>
                <w:sz w:val="22"/>
                <w:szCs w:val="22"/>
              </w:rPr>
              <w:t xml:space="preserve">The athlete who wants to eat African food without losing performance.</w:t>
            </w:r>
          </w:p>
          <w:p>
            <w:pPr>
              <w:spacing w:before="60" w:after="60"/>
            </w:pPr>
            <w:r>
              <w:rPr>
                <w:rFonts w:ascii="Cambria" w:cs="Cambria" w:eastAsia="Cambria" w:hAnsi="Cambria"/>
                <w:b w:val="false"/>
                <w:bCs w:val="false"/>
                <w:i/>
                <w:iCs/>
                <w:color w:val="B85042"/>
                <w:sz w:val="22"/>
                <w:szCs w:val="22"/>
              </w:rPr>
              <w:t xml:space="preserve">Does anyone here recognise that?"</w:t>
            </w:r>
          </w:p>
        </w:tc>
      </w:tr>
    </w:tbl>
    <w:p>
      <w:pPr>
        <w:spacing w:before="60" w:after="140"/>
        <w:jc w:val="left"/>
      </w:pPr>
      <w:r>
        <w:rPr>
          <w:rFonts w:ascii="Calibri" w:cs="Calibri" w:eastAsia="Calibri" w:hAnsi="Calibri"/>
          <w:b w:val="false"/>
          <w:bCs w:val="false"/>
          <w:i/>
          <w:iCs/>
          <w:color w:val="1A1A1A"/>
          <w:sz w:val="22"/>
          <w:szCs w:val="22"/>
        </w:rPr>
        <w:t xml:space="preserve">→ Silence. Listen. Don't prompt again for at least 10 seconds.</w:t>
      </w:r>
    </w:p>
    <w:p>
      <w:pPr>
        <w:spacing w:before="200" w:after="60"/>
      </w:pPr>
      <w:r>
        <w:rPr>
          <w:rFonts w:ascii="Calibri" w:cs="Calibri" w:eastAsia="Calibri" w:hAnsi="Calibri"/>
          <w:b/>
          <w:bCs/>
          <w:color w:val="B85042"/>
          <w:spacing w:val="80"/>
          <w:sz w:val="18"/>
          <w:szCs w:val="18"/>
        </w:rPr>
        <w:t xml:space="preserve">SECOND — THE KNOWLEDGE  (IF THE ROOM RESPONDED)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333333" w:sz="1"/>
              <w:left w:val="thick" w:color="B85042" w:sz="16"/>
              <w:bottom w:val="single" w:color="333333" w:sz="1"/>
              <w:right w:val="single" w:color="333333" w:sz="1"/>
            </w:tcBorders>
            <w:shd w:fill="F9F5EF" w:val="clear"/>
            <w:tcMar>
              <w:top w:type="dxa" w:w="140"/>
              <w:left w:type="dxa" w:w="220"/>
              <w:bottom w:type="dxa" w:w="140"/>
              <w:right w:type="dxa" w:w="220"/>
            </w:tcMar>
          </w:tcPr>
          <w:p>
            <w:pPr>
              <w:spacing w:before="60" w:after="60"/>
            </w:pPr>
            <w:r>
              <w:rPr>
                <w:rFonts w:ascii="Cambria" w:cs="Cambria" w:eastAsia="Cambria" w:hAnsi="Cambria"/>
                <w:b/>
                <w:bCs/>
                <w:i/>
                <w:iCs/>
                <w:color w:val="B85042"/>
                <w:sz w:val="22"/>
                <w:szCs w:val="22"/>
              </w:rPr>
              <w:t xml:space="preserve">"What you just described — that knowledge of your niche from the inside —</w:t>
            </w:r>
          </w:p>
          <w:p>
            <w:pPr>
              <w:spacing w:before="60" w:after="60"/>
            </w:pPr>
            <w:r>
              <w:rPr>
                <w:rFonts w:ascii="Cambria" w:cs="Cambria" w:eastAsia="Cambria" w:hAnsi="Cambria"/>
                <w:b w:val="false"/>
                <w:bCs w:val="false"/>
                <w:i/>
                <w:iCs/>
                <w:color w:val="B85042"/>
                <w:sz w:val="22"/>
                <w:szCs w:val="22"/>
              </w:rPr>
              <w:t xml:space="preserve">nobody else can produce it in your place.</w:t>
            </w:r>
          </w:p>
          <w:p>
            <w:pPr>
              <w:spacing w:before="60" w:after="60"/>
            </w:pPr>
            <w:r>
              <w:rPr>
                <w:rFonts w:ascii="Cambria" w:cs="Cambria" w:eastAsia="Cambria" w:hAnsi="Cambria"/>
                <w:b w:val="false"/>
                <w:bCs w:val="false"/>
                <w:i/>
                <w:iCs/>
                <w:color w:val="B85042"/>
                <w:sz w:val="22"/>
                <w:szCs w:val="22"/>
              </w:rPr>
              <w:t xml:space="preserve">And for the first time, that knowledge can feed you back."</w:t>
            </w:r>
          </w:p>
        </w:tc>
      </w:tr>
    </w:tbl>
    <w:p>
      <w:pPr>
        <w:spacing w:before="60" w:after="140"/>
        <w:jc w:val="left"/>
      </w:pPr>
      <w:r>
        <w:rPr>
          <w:rFonts w:ascii="Calibri" w:cs="Calibri" w:eastAsia="Calibri" w:hAnsi="Calibri"/>
          <w:b w:val="false"/>
          <w:bCs w:val="false"/>
          <w:i/>
          <w:iCs/>
          <w:color w:val="1A1A1A"/>
          <w:sz w:val="22"/>
          <w:szCs w:val="22"/>
        </w:rPr>
        <w:t xml:space="preserve">→ Silence. Listen.</w:t>
      </w:r>
    </w:p>
    <w:p>
      <w:pPr>
        <w:spacing w:before="200" w:after="60"/>
      </w:pPr>
      <w:r>
        <w:rPr>
          <w:rFonts w:ascii="Calibri" w:cs="Calibri" w:eastAsia="Calibri" w:hAnsi="Calibri"/>
          <w:b/>
          <w:bCs/>
          <w:color w:val="B85042"/>
          <w:spacing w:val="80"/>
          <w:sz w:val="18"/>
          <w:szCs w:val="18"/>
        </w:rPr>
        <w:t xml:space="preserve">INVITATION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W w:type="dxa" w:w="9026"/>
            <w:tcBorders>
              <w:top w:val="single" w:color="333333" w:sz="1"/>
              <w:left w:val="thick" w:color="B85042" w:sz="16"/>
              <w:bottom w:val="single" w:color="333333" w:sz="1"/>
              <w:right w:val="single" w:color="333333" w:sz="1"/>
            </w:tcBorders>
            <w:shd w:fill="F9F5EF" w:val="clear"/>
            <w:tcMar>
              <w:top w:type="dxa" w:w="140"/>
              <w:left w:type="dxa" w:w="220"/>
              <w:bottom w:type="dxa" w:w="140"/>
              <w:right w:type="dxa" w:w="220"/>
            </w:tcMar>
          </w:tcPr>
          <w:p>
            <w:pPr>
              <w:spacing w:before="60" w:after="60"/>
            </w:pPr>
            <w:r>
              <w:rPr>
                <w:rFonts w:ascii="Cambria" w:cs="Cambria" w:eastAsia="Cambria" w:hAnsi="Cambria"/>
                <w:b/>
                <w:bCs/>
                <w:i/>
                <w:iCs/>
                <w:color w:val="B85042"/>
                <w:sz w:val="22"/>
                <w:szCs w:val="22"/>
              </w:rPr>
              <w:t xml:space="preserve">"What we're building is a space where your knowledge has room and value.</w:t>
            </w:r>
          </w:p>
          <w:p>
            <w:pPr>
              <w:spacing w:before="60" w:after="60"/>
            </w:pPr>
            <w:r>
              <w:rPr>
                <w:rFonts w:ascii="Cambria" w:cs="Cambria" w:eastAsia="Cambria" w:hAnsi="Cambria"/>
                <w:b w:val="false"/>
                <w:bCs w:val="false"/>
                <w:i/>
                <w:iCs/>
                <w:color w:val="B85042"/>
                <w:sz w:val="22"/>
                <w:szCs w:val="22"/>
              </w:rPr>
              <w:t xml:space="preserve">If tonight you recognised yourself in what we said — we'll meet again."</w:t>
            </w:r>
          </w:p>
        </w:tc>
      </w:tr>
    </w:tbl>
    <w:p>
      <w:pPr>
        <w:spacing w:before="60" w:after="200"/>
        <w:jc w:val="left"/>
      </w:pPr>
      <w:r>
        <w:rPr>
          <w:rFonts w:ascii="Calibri" w:cs="Calibri" w:eastAsia="Calibri" w:hAnsi="Calibri"/>
          <w:b w:val="false"/>
          <w:bCs w:val="false"/>
          <w:i/>
          <w:iCs/>
          <w:color w:val="1A1A1A"/>
          <w:sz w:val="22"/>
          <w:szCs w:val="22"/>
        </w:rPr>
        <w:t xml:space="preserve">→ Share the link. Calm. No urgency.</w:t>
      </w:r>
    </w:p>
    <w:p>
      <w:pPr>
        <w:pBdr>
          <w:bottom w:val="single" w:color="B85042" w:sz="4" w:space="1"/>
        </w:pBdr>
        <w:spacing w:before="80" w:after="80"/>
      </w:pPr>
    </w:p>
    <w:p>
      <w:pPr>
        <w:spacing w:before="200" w:after="60"/>
        <w:jc w:val="center"/>
      </w:pPr>
      <w:r>
        <w:rPr>
          <w:rFonts w:ascii="Calibri" w:cs="Calibri" w:eastAsia="Calibri" w:hAnsi="Calibri"/>
          <w:b w:val="false"/>
          <w:bCs w:val="false"/>
          <w:i/>
          <w:iCs/>
          <w:color w:val="1A1A1A"/>
          <w:sz w:val="22"/>
          <w:szCs w:val="22"/>
        </w:rPr>
        <w:t xml:space="preserve">Ce document est vivant. Toute règle validée en production terrain s'y ajoute.</w:t>
      </w:r>
    </w:p>
    <w:p>
      <w:pPr>
        <w:spacing w:before="0" w:after="0"/>
        <w:jc w:val="center"/>
      </w:pPr>
      <w:r>
        <w:rPr>
          <w:rFonts w:ascii="Calibri" w:cs="Calibri" w:eastAsia="Calibri" w:hAnsi="Calibri"/>
          <w:b w:val="false"/>
          <w:bCs w:val="false"/>
          <w:i w:val="false"/>
          <w:iCs w:val="false"/>
          <w:color w:val="1A1A1A"/>
          <w:sz w:val="22"/>
          <w:szCs w:val="22"/>
        </w:rPr>
        <w:t xml:space="preserve">AKELI-Communication · Curtis — Fondateur Akeli · Mars 2026</w:t>
      </w:r>
    </w:p>
    <w:p>
      <w:pPr>
        <w:spacing w:before="40" w:after="0"/>
        <w:jc w:val="center"/>
      </w:pPr>
      <w:r>
        <w:rPr>
          <w:rFonts w:ascii="Calibri" w:cs="Calibri" w:eastAsia="Calibri" w:hAnsi="Calibri"/>
          <w:i/>
          <w:iCs/>
          <w:color w:val="7A7A6E"/>
          <w:sz w:val="18"/>
          <w:szCs w:val="18"/>
        </w:rPr>
        <w:t xml:space="preserve">AKELI_LIVE_PROTOCOLE.md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Cambria" w:cs="Cambria" w:eastAsia="Cambria" w:hAnsi="Cambria"/>
      <w:b/>
      <w:bCs/>
      <w:color w:val="1A1A1A"/>
      <w:sz w:val="36"/>
      <w:szCs w:val="36"/>
    </w:rPr>
  </w:style>
  <w:style w:type="paragraph" w:styleId="Heading2">
    <w:name w:val="Heading 2"/>
    <w:basedOn w:val="Normal"/>
    <w:next w:val="Normal"/>
    <w:qFormat/>
    <w:pPr>
      <w:spacing w:before="280" w:after="120"/>
      <w:outlineLvl w:val="1"/>
    </w:pPr>
    <w:rPr>
      <w:rFonts w:ascii="Cambria" w:cs="Cambria" w:eastAsia="Cambria" w:hAnsi="Cambria"/>
      <w:b/>
      <w:bCs/>
      <w:color w:val="B8504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2026-03-08T06:03:15.519Z</dcterms:created>
  <dcterms:modified xsi:type="dcterms:W3CDTF">2026-03-08T06:03:15.520Z</dcterms:modified>
</cp:coreProperties>
</file>

<file path=docProps/custom.xml><?xml version="1.0" encoding="utf-8"?>
<Properties xmlns="http://schemas.openxmlformats.org/officeDocument/2006/custom-properties" xmlns:vt="http://schemas.openxmlformats.org/officeDocument/2006/docPropsVTypes"/>
</file>