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3D05B7">
      <w:pPr>
        <w:spacing w:before="0" w:after="0" w:line="360" w:lineRule="auto"/>
        <w:jc w:val="center"/>
        <w:rPr>
          <w:rFonts w:hint="eastAsia" w:ascii="黑体" w:hAnsi="黑体" w:eastAsia="黑体"/>
          <w:color w:val="000000" w:themeColor="text1"/>
          <w:sz w:val="28"/>
          <w:szCs w:val="24"/>
          <w14:textFill>
            <w14:solidFill>
              <w14:schemeClr w14:val="tx1"/>
            </w14:solidFill>
          </w14:textFill>
        </w:rPr>
      </w:pPr>
      <w:r>
        <w:rPr>
          <w:rFonts w:hint="eastAsia" w:ascii="黑体" w:hAnsi="黑体" w:eastAsia="黑体"/>
          <w:color w:val="000000" w:themeColor="text1"/>
          <w:sz w:val="28"/>
          <w:szCs w:val="24"/>
          <w14:textFill>
            <w14:solidFill>
              <w14:schemeClr w14:val="tx1"/>
            </w14:solidFill>
          </w14:textFill>
        </w:rPr>
        <w:t>关于蓝成应急项目投资合规性的说明</w:t>
      </w:r>
    </w:p>
    <w:p w14:paraId="7EF4919A">
      <w:pPr>
        <w:pStyle w:val="12"/>
        <w:numPr>
          <w:ilvl w:val="0"/>
          <w:numId w:val="1"/>
        </w:numPr>
        <w:spacing w:before="240" w:after="0" w:line="360" w:lineRule="auto"/>
        <w:ind w:firstLineChars="0"/>
        <w:rPr>
          <w:rFonts w:hint="eastAsia" w:ascii="宋体" w:hAnsi="宋体" w:eastAsia="宋体"/>
          <w:b/>
          <w:color w:val="000000" w:themeColor="text1"/>
          <w:sz w:val="24"/>
          <w:szCs w:val="24"/>
          <w14:textFill>
            <w14:solidFill>
              <w14:schemeClr w14:val="tx1"/>
            </w14:solidFill>
          </w14:textFill>
        </w:rPr>
      </w:pPr>
      <w:r>
        <w:rPr>
          <w:rFonts w:hint="eastAsia" w:ascii="宋体" w:hAnsi="宋体" w:eastAsia="宋体"/>
          <w:b/>
          <w:color w:val="000000" w:themeColor="text1"/>
          <w:sz w:val="24"/>
          <w:szCs w:val="24"/>
          <w14:textFill>
            <w14:solidFill>
              <w14:schemeClr w14:val="tx1"/>
            </w14:solidFill>
          </w14:textFill>
        </w:rPr>
        <w:t>公司情况介绍</w:t>
      </w:r>
    </w:p>
    <w:p w14:paraId="69C76887">
      <w:pPr>
        <w:pStyle w:val="12"/>
        <w:numPr>
          <w:ilvl w:val="0"/>
          <w:numId w:val="2"/>
        </w:numPr>
        <w:spacing w:before="0" w:after="0" w:line="360" w:lineRule="auto"/>
        <w:ind w:left="0" w:firstLine="480"/>
        <w:rPr>
          <w:rFonts w:hint="eastAsia" w:ascii="宋体" w:hAnsi="宋体" w:eastAsia="宋体"/>
          <w:bCs/>
          <w:color w:val="000000" w:themeColor="text1"/>
          <w:sz w:val="24"/>
          <w:szCs w:val="24"/>
          <w14:textFill>
            <w14:solidFill>
              <w14:schemeClr w14:val="tx1"/>
            </w14:solidFill>
          </w14:textFill>
        </w:rPr>
      </w:pPr>
      <w:r>
        <w:rPr>
          <w:rFonts w:hint="eastAsia" w:ascii="宋体" w:hAnsi="宋体" w:eastAsia="宋体"/>
          <w:bCs/>
          <w:color w:val="000000" w:themeColor="text1"/>
          <w:sz w:val="24"/>
          <w:szCs w:val="24"/>
          <w14:textFill>
            <w14:solidFill>
              <w14:schemeClr w14:val="tx1"/>
            </w14:solidFill>
          </w14:textFill>
        </w:rPr>
        <w:t>公司简介</w:t>
      </w:r>
    </w:p>
    <w:p w14:paraId="3FF6B13C">
      <w:pPr>
        <w:pStyle w:val="12"/>
        <w:spacing w:before="0" w:after="0" w:line="360" w:lineRule="auto"/>
        <w:ind w:firstLine="480"/>
        <w:rPr>
          <w:rFonts w:hint="eastAsia" w:ascii="宋体" w:hAnsi="宋体" w:eastAsia="宋体"/>
          <w:bCs/>
          <w:color w:val="000000" w:themeColor="text1"/>
          <w:sz w:val="24"/>
          <w:szCs w:val="24"/>
          <w14:textFill>
            <w14:solidFill>
              <w14:schemeClr w14:val="tx1"/>
            </w14:solidFill>
          </w14:textFill>
        </w:rPr>
      </w:pPr>
      <w:r>
        <w:rPr>
          <w:rFonts w:hint="eastAsia" w:ascii="宋体" w:hAnsi="宋体" w:eastAsia="宋体"/>
          <w:bCs/>
          <w:color w:val="000000" w:themeColor="text1"/>
          <w:sz w:val="24"/>
          <w:szCs w:val="24"/>
          <w14:textFill>
            <w14:solidFill>
              <w14:schemeClr w14:val="tx1"/>
            </w14:solidFill>
          </w14:textFill>
        </w:rPr>
        <w:t>浙江蓝成应急信息科技有限公司成立于2024年</w:t>
      </w:r>
      <w:r>
        <w:rPr>
          <w:rFonts w:hint="eastAsia" w:ascii="宋体" w:hAnsi="宋体" w:eastAsia="宋体"/>
          <w:bCs/>
          <w:color w:val="000000" w:themeColor="text1"/>
          <w:sz w:val="24"/>
          <w:szCs w:val="24"/>
          <w:lang w:eastAsia="zh-CN"/>
          <w14:textFill>
            <w14:solidFill>
              <w14:schemeClr w14:val="tx1"/>
            </w14:solidFill>
          </w14:textFill>
        </w:rPr>
        <w:t>。</w:t>
      </w:r>
      <w:r>
        <w:rPr>
          <w:rFonts w:hint="eastAsia" w:ascii="宋体" w:hAnsi="宋体" w:eastAsia="宋体"/>
          <w:bCs/>
          <w:color w:val="000000" w:themeColor="text1"/>
          <w:sz w:val="24"/>
          <w:szCs w:val="24"/>
          <w14:textFill>
            <w14:solidFill>
              <w14:schemeClr w14:val="tx1"/>
            </w14:solidFill>
          </w14:textFill>
        </w:rPr>
        <w:t>公司定位为具身智能机器人场景解决方案平台，为成熟机器人本体提供行业化“岗前培训”，面向港口查验、能源巡检、应急消防、危化、农业、养老等复杂作业场景提供机器人本体适配、算法二次开发、上装集成、流程适配、测试部署和运维服务。公司目前不以机器人本体制造为主，而是通过与宇树等硬件厂商协同，在行业客户与机器人硬件之间形成场景理解、算法适配和工程交付价值。</w:t>
      </w:r>
    </w:p>
    <w:p w14:paraId="7A172E7B">
      <w:pPr>
        <w:pStyle w:val="12"/>
        <w:numPr>
          <w:ilvl w:val="0"/>
          <w:numId w:val="2"/>
        </w:numPr>
        <w:spacing w:before="0" w:after="0" w:line="360" w:lineRule="auto"/>
        <w:ind w:left="0" w:firstLine="480"/>
        <w:rPr>
          <w:rFonts w:hint="eastAsia" w:ascii="宋体" w:hAnsi="宋体" w:eastAsia="宋体"/>
          <w:bCs/>
          <w:color w:val="000000" w:themeColor="text1"/>
          <w:sz w:val="24"/>
          <w:szCs w:val="24"/>
          <w14:textFill>
            <w14:solidFill>
              <w14:schemeClr w14:val="tx1"/>
            </w14:solidFill>
          </w14:textFill>
        </w:rPr>
      </w:pPr>
      <w:r>
        <w:rPr>
          <w:rFonts w:hint="eastAsia" w:ascii="宋体" w:hAnsi="宋体" w:eastAsia="宋体"/>
          <w:bCs/>
          <w:color w:val="000000" w:themeColor="text1"/>
          <w:sz w:val="24"/>
          <w:szCs w:val="24"/>
          <w14:textFill>
            <w14:solidFill>
              <w14:schemeClr w14:val="tx1"/>
            </w14:solidFill>
          </w14:textFill>
        </w:rPr>
        <w:t>核心团队</w:t>
      </w:r>
    </w:p>
    <w:p w14:paraId="2AAF7C82">
      <w:pPr>
        <w:spacing w:before="0" w:after="0" w:line="360" w:lineRule="auto"/>
        <w:ind w:firstLine="480" w:firstLineChars="200"/>
        <w:rPr>
          <w:rFonts w:hint="eastAsia" w:ascii="宋体" w:hAnsi="宋体" w:eastAsia="宋体"/>
          <w:bCs/>
          <w:color w:val="000000" w:themeColor="text1"/>
          <w:sz w:val="24"/>
          <w:szCs w:val="24"/>
          <w14:textFill>
            <w14:solidFill>
              <w14:schemeClr w14:val="tx1"/>
            </w14:solidFill>
          </w14:textFill>
        </w:rPr>
      </w:pPr>
      <w:r>
        <w:rPr>
          <w:rFonts w:hint="eastAsia" w:ascii="宋体" w:hAnsi="宋体" w:eastAsia="宋体"/>
          <w:bCs/>
          <w:color w:val="000000" w:themeColor="text1"/>
          <w:sz w:val="24"/>
          <w:szCs w:val="24"/>
          <w14:textFill>
            <w14:solidFill>
              <w14:schemeClr w14:val="tx1"/>
            </w14:solidFill>
          </w14:textFill>
        </w:rPr>
        <w:t>公司创始人、董事长张勤洲为浙江大学工商管理硕士，曾任百度智能云消防物联网中心主任，系《基层应急管理指引》编委、可持续发展大数据国际研究中心特约研究员。其长期从事智慧消防物联网、应急消防智能化及具身智能机器人相关业务，曾主导智慧消防物联网平台研发及应急数字化场景落地，在应急行业理解、政府及产业资源、客户场景拓展和项目组织方面具有较强优势。</w:t>
      </w:r>
    </w:p>
    <w:p w14:paraId="6A4BE472">
      <w:pPr>
        <w:spacing w:before="0" w:after="0" w:line="360" w:lineRule="auto"/>
        <w:ind w:firstLine="480" w:firstLineChars="200"/>
        <w:rPr>
          <w:rFonts w:hint="eastAsia" w:ascii="宋体" w:hAnsi="宋体" w:eastAsia="宋体"/>
          <w:bCs/>
          <w:color w:val="000000" w:themeColor="text1"/>
          <w:sz w:val="24"/>
          <w:szCs w:val="24"/>
          <w14:textFill>
            <w14:solidFill>
              <w14:schemeClr w14:val="tx1"/>
            </w14:solidFill>
          </w14:textFill>
        </w:rPr>
      </w:pPr>
      <w:r>
        <w:rPr>
          <w:rFonts w:hint="eastAsia" w:ascii="宋体" w:hAnsi="宋体" w:eastAsia="宋体"/>
          <w:bCs/>
          <w:color w:val="000000" w:themeColor="text1"/>
          <w:sz w:val="24"/>
          <w:szCs w:val="24"/>
          <w14:textFill>
            <w14:solidFill>
              <w14:schemeClr w14:val="tx1"/>
            </w14:solidFill>
          </w14:textFill>
        </w:rPr>
        <w:t>公司CEO李晓峰为国家高层次人才，AI与智能能源系统专家，具有12年海外科研及产业经验，曾任澳大利亚NABERS国家项目技术开发主任，并在中国三峡集团体系内负责“双碳+AI”、能源数字化及相关产品化工作。其过往经历覆盖低碳运营、能源管理、AI平台、标准制定和政府/企业客户服务。</w:t>
      </w:r>
    </w:p>
    <w:p w14:paraId="076BC828">
      <w:pPr>
        <w:spacing w:before="0" w:after="0" w:line="360" w:lineRule="auto"/>
        <w:ind w:firstLine="480" w:firstLineChars="200"/>
        <w:rPr>
          <w:rFonts w:hint="eastAsia" w:ascii="宋体" w:hAnsi="宋体" w:eastAsia="宋体"/>
          <w:bCs/>
          <w:color w:val="000000" w:themeColor="text1"/>
          <w:sz w:val="24"/>
          <w:szCs w:val="24"/>
          <w14:textFill>
            <w14:solidFill>
              <w14:schemeClr w14:val="tx1"/>
            </w14:solidFill>
          </w14:textFill>
        </w:rPr>
      </w:pPr>
      <w:r>
        <w:rPr>
          <w:rFonts w:hint="eastAsia" w:ascii="宋体" w:hAnsi="宋体" w:eastAsia="宋体"/>
          <w:bCs/>
          <w:color w:val="000000" w:themeColor="text1"/>
          <w:sz w:val="24"/>
          <w:szCs w:val="24"/>
          <w14:textFill>
            <w14:solidFill>
              <w14:schemeClr w14:val="tx1"/>
            </w14:solidFill>
          </w14:textFill>
        </w:rPr>
        <w:t>公司CTO徐涛为国家高层次人才，英国萨里大学人工智能博士，曾任三峡集团上海院AI团队负责人、清华大学长三角研究院AI中心主任，并曾在依图科技负责海外业务和AI解决方案落地。其研究及产业经历覆盖计算机视觉、多模态大模型、垂类大模型、能源场站智能巡检和具身智能工业机器人等方向。</w:t>
      </w:r>
    </w:p>
    <w:p w14:paraId="2CA564F9">
      <w:pPr>
        <w:pStyle w:val="12"/>
        <w:numPr>
          <w:ilvl w:val="0"/>
          <w:numId w:val="2"/>
        </w:numPr>
        <w:spacing w:before="0" w:after="0" w:line="360" w:lineRule="auto"/>
        <w:ind w:left="0" w:firstLine="480"/>
        <w:rPr>
          <w:rFonts w:hint="eastAsia" w:ascii="宋体" w:hAnsi="宋体" w:eastAsia="宋体"/>
          <w:bCs/>
          <w:color w:val="000000" w:themeColor="text1"/>
          <w:sz w:val="24"/>
          <w:szCs w:val="24"/>
          <w14:textFill>
            <w14:solidFill>
              <w14:schemeClr w14:val="tx1"/>
            </w14:solidFill>
          </w14:textFill>
        </w:rPr>
      </w:pPr>
      <w:r>
        <w:rPr>
          <w:rFonts w:hint="eastAsia" w:ascii="宋体" w:hAnsi="宋体" w:eastAsia="宋体"/>
          <w:bCs/>
          <w:color w:val="000000" w:themeColor="text1"/>
          <w:sz w:val="24"/>
          <w:szCs w:val="24"/>
          <w14:textFill>
            <w14:solidFill>
              <w14:schemeClr w14:val="tx1"/>
            </w14:solidFill>
          </w14:textFill>
        </w:rPr>
        <w:t>产品及技术</w:t>
      </w:r>
    </w:p>
    <w:p w14:paraId="4647CEAE">
      <w:pPr>
        <w:spacing w:before="0" w:after="0" w:line="360" w:lineRule="auto"/>
        <w:ind w:firstLine="480" w:firstLineChars="200"/>
        <w:rPr>
          <w:rFonts w:hint="eastAsia" w:ascii="宋体" w:hAnsi="宋体" w:eastAsia="宋体"/>
          <w:bCs/>
          <w:color w:val="000000" w:themeColor="text1"/>
          <w:sz w:val="24"/>
          <w:szCs w:val="24"/>
          <w14:textFill>
            <w14:solidFill>
              <w14:schemeClr w14:val="tx1"/>
            </w14:solidFill>
          </w14:textFill>
        </w:rPr>
      </w:pPr>
      <w:r>
        <w:rPr>
          <w:rFonts w:hint="eastAsia" w:ascii="宋体" w:hAnsi="宋体" w:eastAsia="宋体"/>
          <w:bCs/>
          <w:color w:val="000000" w:themeColor="text1"/>
          <w:sz w:val="24"/>
          <w:szCs w:val="24"/>
          <w14:textFill>
            <w14:solidFill>
              <w14:schemeClr w14:val="tx1"/>
            </w14:solidFill>
          </w14:textFill>
        </w:rPr>
        <w:t>公司核心产品为“具身智能通用作业平台（LanchengAIOT）+行业机器人/技能包+项目交付运维服务”。平台上层承载港口、能源、应急消防等行业应用，下层适配四足机器人及多类传感器，中间层提供视觉识别、自主导航、多模态感知、数据回传和低代码配置能力。</w:t>
      </w:r>
    </w:p>
    <w:p w14:paraId="60A796B3">
      <w:pPr>
        <w:spacing w:before="0" w:after="0" w:line="360" w:lineRule="auto"/>
        <w:ind w:firstLine="480" w:firstLineChars="200"/>
        <w:rPr>
          <w:rFonts w:hint="eastAsia" w:ascii="宋体" w:hAnsi="宋体" w:eastAsia="宋体"/>
          <w:bCs/>
          <w:color w:val="000000" w:themeColor="text1"/>
          <w:sz w:val="24"/>
          <w:szCs w:val="24"/>
          <w14:textFill>
            <w14:solidFill>
              <w14:schemeClr w14:val="tx1"/>
            </w14:solidFill>
          </w14:textFill>
        </w:rPr>
      </w:pPr>
      <w:r>
        <w:rPr>
          <w:rFonts w:hint="eastAsia" w:ascii="宋体" w:hAnsi="宋体" w:eastAsia="宋体"/>
          <w:bCs/>
          <w:color w:val="000000" w:themeColor="text1"/>
          <w:sz w:val="24"/>
          <w:szCs w:val="24"/>
          <w14:textFill>
            <w14:solidFill>
              <w14:schemeClr w14:val="tx1"/>
            </w14:solidFill>
          </w14:textFill>
        </w:rPr>
        <w:t>技术路线可概括为“硬件抽象层+AI能力平台+行业应用层”的三层架构：硬件抽象层负责接入四足机器人、传感器、边缘计算设备及外部业务系统接口；AI能力平台包括多模态感知融合、视觉识别与目标检测、自主导航、路径规划、大模型辅助决策、云边端协同等能力；行业应用层将底层算法和机器人能力封装为港口查验、能源检测、消防侦察等行业任务模板或技能包，从而降低项目二次开发难度并提高跨客户、跨场景复制效率。</w:t>
      </w:r>
    </w:p>
    <w:p w14:paraId="4139B382">
      <w:pPr>
        <w:spacing w:before="0" w:after="0" w:line="360" w:lineRule="auto"/>
        <w:ind w:firstLine="480" w:firstLineChars="200"/>
        <w:rPr>
          <w:rFonts w:hint="eastAsia" w:ascii="宋体" w:hAnsi="宋体" w:eastAsia="宋体"/>
          <w:bCs/>
          <w:color w:val="000000" w:themeColor="text1"/>
          <w:sz w:val="24"/>
          <w:szCs w:val="24"/>
          <w14:textFill>
            <w14:solidFill>
              <w14:schemeClr w14:val="tx1"/>
            </w14:solidFill>
          </w14:textFill>
        </w:rPr>
      </w:pPr>
      <w:r>
        <w:rPr>
          <w:rFonts w:hint="eastAsia" w:ascii="宋体" w:hAnsi="宋体" w:eastAsia="宋体"/>
          <w:bCs/>
          <w:color w:val="000000" w:themeColor="text1"/>
          <w:sz w:val="24"/>
          <w:szCs w:val="24"/>
          <w14:textFill>
            <w14:solidFill>
              <w14:schemeClr w14:val="tx1"/>
            </w14:solidFill>
          </w14:textFill>
        </w:rPr>
        <w:t>现阶段验证程度较高的方向包括港口空箱查验和能源取样检测。港口场景以AI大模型为核心大脑、四足机器人为移动载体，融合激光雷达、高清视觉、热成像等传感器，对进境空箱开展主动监测与检疫；能源场景中，生物质燃料抽样检测机器人可完成精准取样、实时检测和结果上传。上述产品路径契合港口、能源、应急等高危、重复、需留痕监管场景的智能化升级需求。</w:t>
      </w:r>
    </w:p>
    <w:p w14:paraId="12E93408">
      <w:pPr>
        <w:pStyle w:val="12"/>
        <w:numPr>
          <w:ilvl w:val="0"/>
          <w:numId w:val="1"/>
        </w:numPr>
        <w:spacing w:before="240" w:after="0" w:line="360" w:lineRule="auto"/>
        <w:ind w:firstLineChars="0"/>
        <w:rPr>
          <w:rFonts w:hint="eastAsia" w:ascii="宋体" w:hAnsi="宋体" w:eastAsia="宋体"/>
          <w:b/>
          <w:color w:val="000000" w:themeColor="text1"/>
          <w:sz w:val="24"/>
          <w:szCs w:val="24"/>
          <w14:textFill>
            <w14:solidFill>
              <w14:schemeClr w14:val="tx1"/>
            </w14:solidFill>
          </w14:textFill>
        </w:rPr>
      </w:pPr>
      <w:r>
        <w:rPr>
          <w:rFonts w:hint="eastAsia" w:ascii="宋体" w:hAnsi="宋体" w:eastAsia="宋体"/>
          <w:b/>
          <w:color w:val="000000" w:themeColor="text1"/>
          <w:sz w:val="24"/>
          <w:szCs w:val="24"/>
          <w14:textFill>
            <w14:solidFill>
              <w14:schemeClr w14:val="tx1"/>
            </w14:solidFill>
          </w14:textFill>
        </w:rPr>
        <w:t>投资理由</w:t>
      </w:r>
    </w:p>
    <w:p w14:paraId="160B1EF9">
      <w:pPr>
        <w:pStyle w:val="12"/>
        <w:spacing w:before="240" w:after="0" w:line="360" w:lineRule="auto"/>
        <w:ind w:firstLine="0" w:firstLineChars="0"/>
        <w:rPr>
          <w:rFonts w:hint="eastAsia" w:ascii="宋体" w:hAnsi="宋体" w:eastAsia="宋体"/>
          <w:b w:val="0"/>
          <w:bCs/>
          <w:color w:val="000000" w:themeColor="text1"/>
          <w:sz w:val="24"/>
          <w:szCs w:val="24"/>
          <w14:textFill>
            <w14:solidFill>
              <w14:schemeClr w14:val="tx1"/>
            </w14:solidFill>
          </w14:textFill>
        </w:rPr>
      </w:pPr>
      <w:r>
        <w:rPr>
          <w:rFonts w:hint="eastAsia" w:ascii="宋体" w:hAnsi="宋体" w:eastAsia="宋体"/>
          <w:b/>
          <w:bCs w:val="0"/>
          <w:color w:val="000000" w:themeColor="text1"/>
          <w:sz w:val="24"/>
          <w:szCs w:val="24"/>
          <w14:textFill>
            <w14:solidFill>
              <w14:schemeClr w14:val="tx1"/>
            </w14:solidFill>
          </w14:textFill>
        </w:rPr>
        <w:t>1、行业方向符合政策和产业趋势</w:t>
      </w:r>
      <w:r>
        <w:rPr>
          <w:rFonts w:hint="eastAsia" w:ascii="宋体" w:hAnsi="宋体" w:eastAsia="宋体"/>
          <w:b w:val="0"/>
          <w:bCs/>
          <w:color w:val="000000" w:themeColor="text1"/>
          <w:sz w:val="24"/>
          <w:szCs w:val="24"/>
          <w14:textFill>
            <w14:solidFill>
              <w14:schemeClr w14:val="tx1"/>
            </w14:solidFill>
          </w14:textFill>
        </w:rPr>
        <w:t>。具身智能机器人行业正处于从“硬件样机展示”向真实场景落地验证过渡的早期阶段，国家政策鼓励人形机器人、四足机器人等产品在工业、服务、特种、应急救援、防灾减灾等真实场景完成应用验证和常态部署。公司切入港口查验、能源巡检、消防应急等场景，与政策导向和产业发展方向较为匹配。</w:t>
      </w:r>
    </w:p>
    <w:p w14:paraId="35F54CA3">
      <w:pPr>
        <w:pStyle w:val="12"/>
        <w:spacing w:before="240" w:after="0" w:line="360" w:lineRule="auto"/>
        <w:ind w:firstLine="0" w:firstLineChars="0"/>
        <w:rPr>
          <w:rFonts w:hint="eastAsia" w:ascii="宋体" w:hAnsi="宋体" w:eastAsia="宋体"/>
          <w:b w:val="0"/>
          <w:bCs/>
          <w:color w:val="000000" w:themeColor="text1"/>
          <w:sz w:val="24"/>
          <w:szCs w:val="24"/>
          <w14:textFill>
            <w14:solidFill>
              <w14:schemeClr w14:val="tx1"/>
            </w14:solidFill>
          </w14:textFill>
        </w:rPr>
      </w:pPr>
      <w:r>
        <w:rPr>
          <w:rFonts w:hint="eastAsia" w:ascii="宋体" w:hAnsi="宋体" w:eastAsia="宋体"/>
          <w:b/>
          <w:bCs w:val="0"/>
          <w:color w:val="000000" w:themeColor="text1"/>
          <w:sz w:val="24"/>
          <w:szCs w:val="24"/>
          <w14:textFill>
            <w14:solidFill>
              <w14:schemeClr w14:val="tx1"/>
            </w14:solidFill>
          </w14:textFill>
        </w:rPr>
        <w:t>2、已形成早期头部客户验证。</w:t>
      </w:r>
      <w:r>
        <w:rPr>
          <w:rFonts w:hint="eastAsia" w:ascii="宋体" w:hAnsi="宋体" w:eastAsia="宋体"/>
          <w:b w:val="0"/>
          <w:bCs/>
          <w:color w:val="000000" w:themeColor="text1"/>
          <w:sz w:val="24"/>
          <w:szCs w:val="24"/>
          <w14:textFill>
            <w14:solidFill>
              <w14:schemeClr w14:val="tx1"/>
            </w14:solidFill>
          </w14:textFill>
        </w:rPr>
        <w:t>公司已进入宁波舟山港、宁波能源等头部客户场景，形成港口查验、能源巡检/取样等项目，具备一定早期商业化基础。客户访谈显示，机器狗在港口空箱查验中可提升查验效率、降低人员暴露风险，并已获得海关认可；能源场景则验证了生物质材料取样、汽机房读表和厂房环境检查等真实需求。</w:t>
      </w:r>
    </w:p>
    <w:p w14:paraId="256445C9">
      <w:pPr>
        <w:pStyle w:val="12"/>
        <w:spacing w:before="240" w:after="0" w:line="360" w:lineRule="auto"/>
        <w:ind w:firstLine="0" w:firstLineChars="0"/>
        <w:rPr>
          <w:rFonts w:hint="eastAsia" w:ascii="宋体" w:hAnsi="宋体" w:eastAsia="宋体"/>
          <w:b w:val="0"/>
          <w:bCs/>
          <w:color w:val="000000" w:themeColor="text1"/>
          <w:sz w:val="24"/>
          <w:szCs w:val="24"/>
          <w14:textFill>
            <w14:solidFill>
              <w14:schemeClr w14:val="tx1"/>
            </w14:solidFill>
          </w14:textFill>
        </w:rPr>
      </w:pPr>
      <w:r>
        <w:rPr>
          <w:rFonts w:hint="eastAsia" w:ascii="宋体" w:hAnsi="宋体" w:eastAsia="宋体"/>
          <w:b/>
          <w:bCs w:val="0"/>
          <w:color w:val="000000" w:themeColor="text1"/>
          <w:sz w:val="24"/>
          <w:szCs w:val="24"/>
          <w14:textFill>
            <w14:solidFill>
              <w14:schemeClr w14:val="tx1"/>
            </w14:solidFill>
          </w14:textFill>
        </w:rPr>
        <w:t>3、团队资源与场景匹配度较高。</w:t>
      </w:r>
      <w:r>
        <w:rPr>
          <w:rFonts w:hint="eastAsia" w:ascii="宋体" w:hAnsi="宋体" w:eastAsia="宋体"/>
          <w:b w:val="0"/>
          <w:bCs/>
          <w:color w:val="000000" w:themeColor="text1"/>
          <w:sz w:val="24"/>
          <w:szCs w:val="24"/>
          <w14:textFill>
            <w14:solidFill>
              <w14:schemeClr w14:val="tx1"/>
            </w14:solidFill>
          </w14:textFill>
        </w:rPr>
        <w:t>张勤洲覆盖应急行业理解、政府资源和客户拓展；李晓峰覆盖AI、能源数字化和商业化运营；徐涛覆盖人工智能、多模态大模型和具身智能工业机器人技术方向。团队组合与公司当前“政企资源+场景交付+AI技术应用”的发展阶段较为匹配。</w:t>
      </w:r>
    </w:p>
    <w:p w14:paraId="4A266F1E">
      <w:pPr>
        <w:pStyle w:val="12"/>
        <w:spacing w:before="240" w:after="0" w:line="360" w:lineRule="auto"/>
        <w:ind w:firstLine="0" w:firstLineChars="0"/>
        <w:rPr>
          <w:rFonts w:hint="eastAsia" w:ascii="宋体" w:hAnsi="宋体" w:eastAsia="宋体"/>
          <w:b w:val="0"/>
          <w:bCs/>
          <w:color w:val="000000" w:themeColor="text1"/>
          <w:sz w:val="24"/>
          <w:szCs w:val="24"/>
          <w14:textFill>
            <w14:solidFill>
              <w14:schemeClr w14:val="tx1"/>
            </w14:solidFill>
          </w14:textFill>
        </w:rPr>
      </w:pPr>
      <w:r>
        <w:rPr>
          <w:rFonts w:hint="eastAsia" w:ascii="宋体" w:hAnsi="宋体" w:eastAsia="宋体"/>
          <w:b/>
          <w:bCs w:val="0"/>
          <w:color w:val="000000" w:themeColor="text1"/>
          <w:sz w:val="24"/>
          <w:szCs w:val="24"/>
          <w14:textFill>
            <w14:solidFill>
              <w14:schemeClr w14:val="tx1"/>
            </w14:solidFill>
          </w14:textFill>
        </w:rPr>
        <w:t>4、轻资产商业路径具备毛利改善可能。</w:t>
      </w:r>
      <w:r>
        <w:rPr>
          <w:rFonts w:hint="eastAsia" w:ascii="宋体" w:hAnsi="宋体" w:eastAsia="宋体"/>
          <w:b w:val="0"/>
          <w:bCs/>
          <w:color w:val="000000" w:themeColor="text1"/>
          <w:sz w:val="24"/>
          <w:szCs w:val="24"/>
          <w14:textFill>
            <w14:solidFill>
              <w14:schemeClr w14:val="tx1"/>
            </w14:solidFill>
          </w14:textFill>
        </w:rPr>
        <w:t>公司不自建机器人本体制造重资产产线，主要做软件、算法、场景适配和交付。若未来能够将港口、能源等标杆项目沉淀为标准化行业模板，并提高软件算法、平台授权、运维服务和行业技能包收入占比，则有望由项目制集成向行业应用平台演进。</w:t>
      </w:r>
    </w:p>
    <w:p w14:paraId="211AFDC0">
      <w:pPr>
        <w:pStyle w:val="12"/>
        <w:spacing w:before="240" w:after="0" w:line="360" w:lineRule="auto"/>
        <w:ind w:firstLine="0" w:firstLineChars="0"/>
        <w:rPr>
          <w:rFonts w:hint="eastAsia" w:ascii="宋体" w:hAnsi="宋体" w:eastAsia="宋体"/>
          <w:b w:val="0"/>
          <w:bCs/>
          <w:color w:val="000000" w:themeColor="text1"/>
          <w:sz w:val="24"/>
          <w:szCs w:val="24"/>
          <w14:textFill>
            <w14:solidFill>
              <w14:schemeClr w14:val="tx1"/>
            </w14:solidFill>
          </w14:textFill>
        </w:rPr>
      </w:pPr>
      <w:r>
        <w:rPr>
          <w:rFonts w:hint="eastAsia" w:ascii="宋体" w:hAnsi="宋体" w:eastAsia="宋体"/>
          <w:b/>
          <w:bCs w:val="0"/>
          <w:color w:val="000000" w:themeColor="text1"/>
          <w:sz w:val="24"/>
          <w:szCs w:val="24"/>
          <w14:textFill>
            <w14:solidFill>
              <w14:schemeClr w14:val="tx1"/>
            </w14:solidFill>
          </w14:textFill>
        </w:rPr>
        <w:t>5、潜在大额订单提升订单能见度。</w:t>
      </w:r>
      <w:r>
        <w:rPr>
          <w:rFonts w:hint="eastAsia" w:ascii="宋体" w:hAnsi="宋体" w:eastAsia="宋体"/>
          <w:b w:val="0"/>
          <w:bCs/>
          <w:color w:val="000000" w:themeColor="text1"/>
          <w:sz w:val="24"/>
          <w:szCs w:val="24"/>
          <w14:textFill>
            <w14:solidFill>
              <w14:schemeClr w14:val="tx1"/>
            </w14:solidFill>
          </w14:textFill>
        </w:rPr>
        <w:t>公司披露宁波市</w:t>
      </w:r>
      <w:r>
        <w:rPr>
          <w:rFonts w:hint="eastAsia" w:ascii="宋体" w:hAnsi="宋体" w:eastAsia="宋体"/>
          <w:b w:val="0"/>
          <w:bCs/>
          <w:color w:val="000000" w:themeColor="text1"/>
          <w:sz w:val="24"/>
          <w:szCs w:val="24"/>
          <w:lang w:val="en-US" w:eastAsia="zh-CN"/>
          <w14:textFill>
            <w14:solidFill>
              <w14:schemeClr w14:val="tx1"/>
            </w14:solidFill>
          </w14:textFill>
        </w:rPr>
        <w:t>有</w:t>
      </w:r>
      <w:r>
        <w:rPr>
          <w:rFonts w:hint="eastAsia" w:ascii="宋体" w:hAnsi="宋体" w:eastAsia="宋体"/>
          <w:b w:val="0"/>
          <w:bCs/>
          <w:color w:val="000000" w:themeColor="text1"/>
          <w:sz w:val="24"/>
          <w:szCs w:val="24"/>
          <w14:textFill>
            <w14:solidFill>
              <w14:schemeClr w14:val="tx1"/>
            </w14:solidFill>
          </w14:textFill>
        </w:rPr>
        <w:t>500台采购协议及国网1500台巡检机器狗合作线索。按100万元/台测算，两项合计潜在设备收入约20亿元。上述事项若完成正式合同、预算、交付和回款核验，将显著提升公司未来三年收入弹性和估值支撑。</w:t>
      </w:r>
    </w:p>
    <w:p w14:paraId="43237836">
      <w:pPr>
        <w:pStyle w:val="12"/>
        <w:numPr>
          <w:ilvl w:val="0"/>
          <w:numId w:val="1"/>
        </w:numPr>
        <w:spacing w:before="240" w:after="0" w:line="360" w:lineRule="auto"/>
        <w:ind w:firstLineChars="0"/>
        <w:rPr>
          <w:rFonts w:hint="eastAsia" w:ascii="宋体" w:hAnsi="宋体" w:eastAsia="宋体"/>
          <w:b/>
          <w:color w:val="000000" w:themeColor="text1"/>
          <w:sz w:val="24"/>
          <w:szCs w:val="24"/>
          <w14:textFill>
            <w14:solidFill>
              <w14:schemeClr w14:val="tx1"/>
            </w14:solidFill>
          </w14:textFill>
        </w:rPr>
      </w:pPr>
      <w:r>
        <w:rPr>
          <w:rFonts w:hint="eastAsia" w:ascii="宋体" w:hAnsi="宋体" w:eastAsia="宋体"/>
          <w:b/>
          <w:color w:val="000000" w:themeColor="text1"/>
          <w:sz w:val="24"/>
          <w:szCs w:val="24"/>
          <w14:textFill>
            <w14:solidFill>
              <w14:schemeClr w14:val="tx1"/>
            </w14:solidFill>
          </w14:textFill>
        </w:rPr>
        <w:t>投资计划</w:t>
      </w:r>
    </w:p>
    <w:p w14:paraId="57EDAC3A">
      <w:pPr>
        <w:spacing w:before="0" w:after="0" w:line="360" w:lineRule="auto"/>
        <w:ind w:firstLine="480" w:firstLineChars="200"/>
        <w:rPr>
          <w:rFonts w:hint="eastAsia" w:ascii="宋体" w:hAnsi="宋体" w:eastAsia="宋体"/>
          <w:bCs/>
          <w:color w:val="000000" w:themeColor="text1"/>
          <w:sz w:val="24"/>
          <w:szCs w:val="24"/>
          <w14:textFill>
            <w14:solidFill>
              <w14:schemeClr w14:val="tx1"/>
            </w14:solidFill>
          </w14:textFill>
        </w:rPr>
      </w:pPr>
      <w:r>
        <w:rPr>
          <w:rFonts w:hint="eastAsia" w:ascii="宋体" w:hAnsi="宋体" w:eastAsia="宋体"/>
          <w:bCs/>
          <w:color w:val="000000" w:themeColor="text1"/>
          <w:sz w:val="24"/>
          <w:szCs w:val="24"/>
          <w14:textFill>
            <w14:solidFill>
              <w14:schemeClr w14:val="tx1"/>
            </w14:solidFill>
          </w14:textFill>
        </w:rPr>
        <w:t>本轮增资投</w:t>
      </w:r>
      <w:r>
        <w:rPr>
          <w:rFonts w:hint="eastAsia" w:ascii="宋体" w:hAnsi="宋体" w:eastAsia="宋体"/>
          <w:bCs/>
          <w:color w:val="000000" w:themeColor="text1"/>
          <w:sz w:val="24"/>
          <w:szCs w:val="24"/>
          <w:lang w:val="en-US" w:eastAsia="zh-CN"/>
          <w14:textFill>
            <w14:solidFill>
              <w14:schemeClr w14:val="tx1"/>
            </w14:solidFill>
          </w14:textFill>
        </w:rPr>
        <w:t>后</w:t>
      </w:r>
      <w:r>
        <w:rPr>
          <w:rFonts w:hint="eastAsia" w:ascii="宋体" w:hAnsi="宋体" w:eastAsia="宋体"/>
          <w:bCs/>
          <w:color w:val="000000" w:themeColor="text1"/>
          <w:sz w:val="24"/>
          <w:szCs w:val="24"/>
          <w14:textFill>
            <w14:solidFill>
              <w14:schemeClr w14:val="tx1"/>
            </w14:solidFill>
          </w14:textFill>
        </w:rPr>
        <w:t>估值6亿元，融资总金额3,600万元；我方计划以增资的方式投资本项目，总投资金额3,600万元，对应取得浙江蓝成应急</w:t>
      </w:r>
      <w:bookmarkStart w:id="0" w:name="_GoBack"/>
      <w:bookmarkEnd w:id="0"/>
      <w:r>
        <w:rPr>
          <w:rFonts w:hint="eastAsia" w:ascii="宋体" w:hAnsi="宋体" w:eastAsia="宋体"/>
          <w:bCs/>
          <w:color w:val="000000" w:themeColor="text1"/>
          <w:sz w:val="24"/>
          <w:szCs w:val="24"/>
          <w14:textFill>
            <w14:solidFill>
              <w14:schemeClr w14:val="tx1"/>
            </w14:solidFill>
          </w14:textFill>
        </w:rPr>
        <w:t>信息科技有限公司6%股权。</w:t>
      </w:r>
    </w:p>
    <w:p w14:paraId="680C428B">
      <w:pPr>
        <w:spacing w:before="0" w:after="0" w:line="360" w:lineRule="auto"/>
        <w:ind w:firstLine="480" w:firstLineChars="200"/>
        <w:rPr>
          <w:rFonts w:hint="eastAsia" w:ascii="宋体" w:hAnsi="宋体" w:eastAsia="宋体"/>
          <w:bCs/>
          <w:color w:val="000000" w:themeColor="text1"/>
          <w:sz w:val="24"/>
          <w:szCs w:val="24"/>
          <w14:textFill>
            <w14:solidFill>
              <w14:schemeClr w14:val="tx1"/>
            </w14:solidFill>
          </w14:textFill>
        </w:rPr>
      </w:pPr>
      <w:r>
        <w:rPr>
          <w:rFonts w:hint="eastAsia" w:ascii="宋体" w:hAnsi="宋体" w:eastAsia="宋体"/>
          <w:bCs/>
          <w:color w:val="000000" w:themeColor="text1"/>
          <w:sz w:val="24"/>
          <w:szCs w:val="24"/>
          <w14:textFill>
            <w14:solidFill>
              <w14:schemeClr w14:val="tx1"/>
            </w14:solidFill>
          </w14:textFill>
        </w:rPr>
        <w:t>本轮融资资金主要用于公司机器人新业务研发投入、核心技术团队扩建、港口及能源等标杆场景产品化、宇蓝研究院研发协同、市场拓展及日常经营补充。公司后续将重点围绕港口查验、能源巡检/取样、应急消防、电力巡检等封闭场景，推动现有标杆项目复制及潜在订单转化。</w:t>
      </w:r>
    </w:p>
    <w:p w14:paraId="05A3C39A">
      <w:pPr>
        <w:spacing w:before="0" w:after="0" w:line="360" w:lineRule="auto"/>
        <w:ind w:firstLine="480" w:firstLineChars="200"/>
        <w:rPr>
          <w:rFonts w:hint="eastAsia" w:ascii="宋体" w:hAnsi="宋体" w:eastAsia="宋体"/>
          <w:bCs/>
          <w:color w:val="000000" w:themeColor="text1"/>
          <w:sz w:val="24"/>
          <w:szCs w:val="24"/>
          <w14:textFill>
            <w14:solidFill>
              <w14:schemeClr w14:val="tx1"/>
            </w14:solidFill>
          </w14:textFill>
        </w:rPr>
      </w:pPr>
      <w:r>
        <w:rPr>
          <w:rFonts w:hint="eastAsia" w:ascii="宋体" w:hAnsi="宋体" w:eastAsia="宋体"/>
          <w:bCs/>
          <w:color w:val="000000" w:themeColor="text1"/>
          <w:sz w:val="24"/>
          <w:szCs w:val="24"/>
          <w14:textFill>
            <w14:solidFill>
              <w14:schemeClr w14:val="tx1"/>
            </w14:solidFill>
          </w14:textFill>
        </w:rPr>
        <w:t>本轮交易拟设置投资人保护及退出安排：如浙江蓝成应急在本轮交割后6个月内完成估值12亿元以上的新一轮融资，创始人张勤洲可按本轮投资成本上浮5%的价格受让赛智伯乐持有的3%股权；同时，本轮投资设置6年回购期限，赛智伯乐有权在约定期限届满时要求回购其届时持有的标的公司股权，回购价格按照投资本金及约定收益计算。回购责任以创始人届时持有的标的公司股权价值为限，不设置超出该等股权价值范围的个人无限连带责任；具体触发条件、回购价格、支付安排、违约责任及工商变更事项以最终交易文件约定为准。</w:t>
      </w:r>
    </w:p>
    <w:p w14:paraId="1886FFF9">
      <w:pPr>
        <w:pStyle w:val="12"/>
        <w:numPr>
          <w:ilvl w:val="0"/>
          <w:numId w:val="1"/>
        </w:numPr>
        <w:spacing w:before="240" w:after="0" w:line="360" w:lineRule="auto"/>
        <w:ind w:firstLineChars="0"/>
        <w:rPr>
          <w:rFonts w:hint="eastAsia" w:ascii="宋体" w:hAnsi="宋体" w:eastAsia="宋体"/>
          <w:b/>
          <w:color w:val="000000" w:themeColor="text1"/>
          <w:sz w:val="24"/>
          <w:szCs w:val="24"/>
          <w14:textFill>
            <w14:solidFill>
              <w14:schemeClr w14:val="tx1"/>
            </w14:solidFill>
          </w14:textFill>
        </w:rPr>
      </w:pPr>
      <w:r>
        <w:rPr>
          <w:rFonts w:hint="eastAsia" w:ascii="宋体" w:hAnsi="宋体" w:eastAsia="宋体"/>
          <w:b/>
          <w:color w:val="000000" w:themeColor="text1"/>
          <w:sz w:val="24"/>
          <w:szCs w:val="24"/>
          <w14:textFill>
            <w14:solidFill>
              <w14:schemeClr w14:val="tx1"/>
            </w14:solidFill>
          </w14:textFill>
        </w:rPr>
        <w:t>投资情形分析</w:t>
      </w:r>
    </w:p>
    <w:p w14:paraId="55E66FC6">
      <w:pPr>
        <w:spacing w:before="240" w:line="360" w:lineRule="auto"/>
        <w:rPr>
          <w:rFonts w:hint="eastAsia" w:ascii="宋体" w:hAnsi="宋体" w:eastAsia="宋体"/>
          <w:color w:val="000000" w:themeColor="text1"/>
          <w:sz w:val="24"/>
          <w:szCs w:val="24"/>
          <w14:textFill>
            <w14:solidFill>
              <w14:schemeClr w14:val="tx1"/>
            </w14:solidFill>
          </w14:textFill>
        </w:rPr>
      </w:pPr>
      <w:r>
        <w:rPr>
          <w:rFonts w:hint="eastAsia" w:ascii="宋体" w:hAnsi="宋体" w:eastAsia="宋体"/>
          <w:b/>
          <w:color w:val="000000" w:themeColor="text1"/>
          <w:sz w:val="24"/>
          <w:szCs w:val="24"/>
          <w14:textFill>
            <w14:solidFill>
              <w14:schemeClr w14:val="tx1"/>
            </w14:solidFill>
          </w14:textFill>
        </w:rPr>
        <w:t>1、投资情形分析：未从事本基金合伙协议约定的投资限制事项，</w:t>
      </w:r>
      <w:r>
        <w:rPr>
          <w:rFonts w:hint="eastAsia" w:ascii="宋体" w:hAnsi="宋体" w:eastAsia="宋体"/>
          <w:color w:val="000000" w:themeColor="text1"/>
          <w:sz w:val="24"/>
          <w:szCs w:val="24"/>
          <w14:textFill>
            <w14:solidFill>
              <w14:schemeClr w14:val="tx1"/>
            </w14:solidFill>
          </w14:textFill>
        </w:rPr>
        <w:t>本项目为</w:t>
      </w:r>
      <w:r>
        <w:rPr>
          <w:rFonts w:hint="eastAsia" w:ascii="宋体" w:hAnsi="宋体" w:eastAsia="宋体"/>
          <w:color w:val="000000" w:themeColor="text1"/>
          <w:sz w:val="24"/>
          <w:szCs w:val="24"/>
          <w:lang w:val="en-US" w:eastAsia="zh-CN"/>
          <w14:textFill>
            <w14:solidFill>
              <w14:schemeClr w14:val="tx1"/>
            </w14:solidFill>
          </w14:textFill>
        </w:rPr>
        <w:t>股权直投</w:t>
      </w:r>
      <w:r>
        <w:rPr>
          <w:rFonts w:hint="eastAsia" w:ascii="宋体" w:hAnsi="宋体" w:eastAsia="宋体"/>
          <w:color w:val="000000" w:themeColor="text1"/>
          <w:sz w:val="24"/>
          <w:szCs w:val="24"/>
          <w14:textFill>
            <w14:solidFill>
              <w14:schemeClr w14:val="tx1"/>
            </w14:solidFill>
          </w14:textFill>
        </w:rPr>
        <w:t>项目，符合合伙协议约定的投资限制要求。</w:t>
      </w:r>
    </w:p>
    <w:p w14:paraId="2FB9FE5E">
      <w:pPr>
        <w:spacing w:before="240" w:after="0" w:line="360" w:lineRule="auto"/>
        <w:rPr>
          <w:rFonts w:hint="eastAsia" w:ascii="宋体" w:hAnsi="宋体" w:eastAsia="宋体"/>
          <w:color w:val="000000" w:themeColor="text1"/>
          <w:sz w:val="24"/>
          <w:szCs w:val="24"/>
          <w:lang w:val="en-US" w:eastAsia="zh-CN"/>
          <w14:textFill>
            <w14:solidFill>
              <w14:schemeClr w14:val="tx1"/>
            </w14:solidFill>
          </w14:textFill>
        </w:rPr>
      </w:pPr>
      <w:r>
        <w:rPr>
          <w:rFonts w:hint="eastAsia" w:ascii="宋体" w:hAnsi="宋体" w:eastAsia="宋体"/>
          <w:b/>
          <w:bCs/>
          <w:color w:val="000000" w:themeColor="text1"/>
          <w:sz w:val="24"/>
          <w:szCs w:val="24"/>
          <w14:textFill>
            <w14:solidFill>
              <w14:schemeClr w14:val="tx1"/>
            </w14:solidFill>
          </w14:textFill>
        </w:rPr>
        <w:t>2、不会导致本基金合伙协议约定的返投要求难以完成:</w:t>
      </w:r>
      <w:r>
        <w:rPr>
          <w:rFonts w:hint="eastAsia" w:ascii="宋体" w:hAnsi="宋体" w:eastAsia="宋体"/>
          <w:bCs/>
          <w:color w:val="auto"/>
          <w:sz w:val="24"/>
          <w:szCs w:val="24"/>
        </w:rPr>
        <w:t>宁波赛智具身股权投资合伙企业（有限合伙）截至目前已实缴规模 4.15 亿元，其中宁波地区返投金额 2.4 亿元。截至</w:t>
      </w:r>
      <w:r>
        <w:rPr>
          <w:rFonts w:hint="eastAsia" w:ascii="宋体" w:hAnsi="宋体" w:eastAsia="宋体"/>
          <w:bCs/>
          <w:color w:val="auto"/>
          <w:sz w:val="24"/>
          <w:szCs w:val="24"/>
          <w:lang w:val="en-US" w:eastAsia="zh-CN"/>
        </w:rPr>
        <w:t>2026年5月31日</w:t>
      </w:r>
      <w:r>
        <w:rPr>
          <w:rFonts w:hint="eastAsia" w:ascii="宋体" w:hAnsi="宋体" w:eastAsia="宋体"/>
          <w:bCs/>
          <w:color w:val="auto"/>
          <w:sz w:val="24"/>
          <w:szCs w:val="24"/>
        </w:rPr>
        <w:t>已交割总金额为</w:t>
      </w:r>
      <w:r>
        <w:rPr>
          <w:rFonts w:hint="eastAsia" w:ascii="宋体" w:hAnsi="宋体" w:eastAsia="宋体"/>
          <w:bCs/>
          <w:color w:val="auto"/>
          <w:sz w:val="24"/>
          <w:szCs w:val="24"/>
          <w:lang w:val="en-US" w:eastAsia="zh-CN"/>
        </w:rPr>
        <w:t>0.1</w:t>
      </w:r>
      <w:r>
        <w:rPr>
          <w:rFonts w:hint="eastAsia" w:ascii="宋体" w:hAnsi="宋体" w:eastAsia="宋体"/>
          <w:bCs/>
          <w:color w:val="auto"/>
          <w:sz w:val="24"/>
          <w:szCs w:val="24"/>
        </w:rPr>
        <w:t>亿元，剩余可投资金额为 4.1</w:t>
      </w:r>
      <w:r>
        <w:rPr>
          <w:rFonts w:hint="eastAsia" w:ascii="宋体" w:hAnsi="宋体" w:eastAsia="宋体"/>
          <w:bCs/>
          <w:color w:val="auto"/>
          <w:sz w:val="24"/>
          <w:szCs w:val="24"/>
          <w:lang w:val="en-US" w:eastAsia="zh-CN"/>
        </w:rPr>
        <w:t>4</w:t>
      </w:r>
      <w:r>
        <w:rPr>
          <w:rFonts w:hint="eastAsia" w:ascii="宋体" w:hAnsi="宋体" w:eastAsia="宋体"/>
          <w:bCs/>
          <w:color w:val="auto"/>
          <w:sz w:val="24"/>
          <w:szCs w:val="24"/>
        </w:rPr>
        <w:t xml:space="preserve"> 亿元；已完成返投项目0个，对应返投金额0万元，另有3个返投储备项目正在推进决策。</w:t>
      </w:r>
      <w:r>
        <w:rPr>
          <w:rFonts w:hint="eastAsia" w:ascii="宋体" w:hAnsi="宋体" w:eastAsia="宋体"/>
          <w:b w:val="0"/>
          <w:bCs w:val="0"/>
          <w:color w:val="000000" w:themeColor="text1"/>
          <w:sz w:val="24"/>
          <w:szCs w:val="24"/>
          <w14:textFill>
            <w14:solidFill>
              <w14:schemeClr w14:val="tx1"/>
            </w14:solidFill>
          </w14:textFill>
        </w:rPr>
        <w:t>本项目</w:t>
      </w:r>
      <w:r>
        <w:rPr>
          <w:rFonts w:hint="eastAsia" w:ascii="宋体" w:hAnsi="宋体" w:eastAsia="宋体"/>
          <w:b w:val="0"/>
          <w:bCs w:val="0"/>
          <w:color w:val="000000" w:themeColor="text1"/>
          <w:sz w:val="24"/>
          <w:szCs w:val="24"/>
          <w:lang w:val="en-US" w:eastAsia="zh-CN"/>
          <w14:textFill>
            <w14:solidFill>
              <w14:schemeClr w14:val="tx1"/>
            </w14:solidFill>
          </w14:textFill>
        </w:rPr>
        <w:t>为返投宁波项目，</w:t>
      </w:r>
      <w:r>
        <w:rPr>
          <w:rFonts w:hint="eastAsia" w:ascii="宋体" w:hAnsi="宋体" w:eastAsia="宋体"/>
          <w:b w:val="0"/>
          <w:bCs w:val="0"/>
          <w:color w:val="000000" w:themeColor="text1"/>
          <w:sz w:val="24"/>
          <w:szCs w:val="24"/>
          <w14:textFill>
            <w14:solidFill>
              <w14:schemeClr w14:val="tx1"/>
            </w14:solidFill>
          </w14:textFill>
        </w:rPr>
        <w:t>符合</w:t>
      </w:r>
      <w:r>
        <w:rPr>
          <w:rFonts w:hint="eastAsia" w:ascii="宋体" w:hAnsi="宋体" w:eastAsia="宋体"/>
          <w:b w:val="0"/>
          <w:bCs w:val="0"/>
          <w:color w:val="000000" w:themeColor="text1"/>
          <w:sz w:val="24"/>
          <w:szCs w:val="24"/>
          <w:lang w:val="en-US" w:eastAsia="zh-CN"/>
          <w14:textFill>
            <w14:solidFill>
              <w14:schemeClr w14:val="tx1"/>
            </w14:solidFill>
          </w14:textFill>
        </w:rPr>
        <w:t>本基金合伙协议约定的</w:t>
      </w:r>
      <w:r>
        <w:rPr>
          <w:rFonts w:hint="eastAsia" w:ascii="宋体" w:hAnsi="宋体" w:eastAsia="宋体"/>
          <w:b w:val="0"/>
          <w:bCs w:val="0"/>
          <w:color w:val="000000" w:themeColor="text1"/>
          <w:sz w:val="24"/>
          <w:szCs w:val="24"/>
          <w14:textFill>
            <w14:solidFill>
              <w14:schemeClr w14:val="tx1"/>
            </w14:solidFill>
          </w14:textFill>
        </w:rPr>
        <w:t>返投</w:t>
      </w:r>
      <w:r>
        <w:rPr>
          <w:rFonts w:hint="eastAsia" w:ascii="宋体" w:hAnsi="宋体" w:eastAsia="宋体"/>
          <w:b w:val="0"/>
          <w:bCs w:val="0"/>
          <w:color w:val="000000" w:themeColor="text1"/>
          <w:sz w:val="24"/>
          <w:szCs w:val="24"/>
          <w:lang w:val="en-US" w:eastAsia="zh-CN"/>
          <w14:textFill>
            <w14:solidFill>
              <w14:schemeClr w14:val="tx1"/>
            </w14:solidFill>
          </w14:textFill>
        </w:rPr>
        <w:t>要求</w:t>
      </w:r>
      <w:r>
        <w:rPr>
          <w:rFonts w:hint="eastAsia" w:ascii="宋体" w:hAnsi="宋体" w:eastAsia="宋体"/>
          <w:b w:val="0"/>
          <w:bCs w:val="0"/>
          <w:color w:val="000000" w:themeColor="text1"/>
          <w:sz w:val="24"/>
          <w:szCs w:val="24"/>
          <w14:textFill>
            <w14:solidFill>
              <w14:schemeClr w14:val="tx1"/>
            </w14:solidFill>
          </w14:textFill>
        </w:rPr>
        <w:t>。</w:t>
      </w:r>
    </w:p>
    <w:p w14:paraId="6CE666D1">
      <w:pPr>
        <w:spacing w:before="240" w:line="360" w:lineRule="auto"/>
        <w:rPr>
          <w:rFonts w:hint="eastAsia" w:ascii="宋体" w:hAnsi="宋体" w:eastAsia="宋体"/>
          <w:color w:val="000000" w:themeColor="text1"/>
          <w:sz w:val="24"/>
          <w:szCs w:val="24"/>
          <w14:textFill>
            <w14:solidFill>
              <w14:schemeClr w14:val="tx1"/>
            </w14:solidFill>
          </w14:textFill>
        </w:rPr>
      </w:pPr>
      <w:r>
        <w:rPr>
          <w:rFonts w:hint="eastAsia" w:ascii="宋体" w:hAnsi="宋体" w:eastAsia="宋体"/>
          <w:b/>
          <w:color w:val="000000" w:themeColor="text1"/>
          <w:sz w:val="24"/>
          <w:szCs w:val="24"/>
          <w14:textFill>
            <w14:solidFill>
              <w14:schemeClr w14:val="tx1"/>
            </w14:solidFill>
          </w14:textFill>
        </w:rPr>
        <w:t>3、不涉及关联交易事项从而可能对甬元投资造成损失：</w:t>
      </w:r>
      <w:r>
        <w:rPr>
          <w:rFonts w:hint="eastAsia" w:ascii="宋体" w:hAnsi="宋体" w:eastAsia="宋体"/>
          <w:color w:val="000000" w:themeColor="text1"/>
          <w:sz w:val="24"/>
          <w:szCs w:val="24"/>
          <w14:textFill>
            <w14:solidFill>
              <w14:schemeClr w14:val="tx1"/>
            </w14:solidFill>
          </w14:textFill>
        </w:rPr>
        <w:t>根据</w:t>
      </w:r>
      <w:r>
        <w:rPr>
          <w:rFonts w:hint="eastAsia" w:ascii="宋体" w:hAnsi="宋体" w:eastAsia="宋体"/>
          <w:color w:val="000000" w:themeColor="text1"/>
          <w:sz w:val="24"/>
          <w:szCs w:val="24"/>
          <w:lang w:val="en-US" w:eastAsia="zh-CN"/>
          <w14:textFill>
            <w14:solidFill>
              <w14:schemeClr w14:val="tx1"/>
            </w14:solidFill>
          </w14:textFill>
        </w:rPr>
        <w:t>本基金</w:t>
      </w:r>
      <w:r>
        <w:rPr>
          <w:rFonts w:hint="eastAsia" w:ascii="宋体" w:hAnsi="宋体" w:eastAsia="宋体"/>
          <w:color w:val="000000" w:themeColor="text1"/>
          <w:sz w:val="24"/>
          <w:szCs w:val="24"/>
          <w14:textFill>
            <w14:solidFill>
              <w14:schemeClr w14:val="tx1"/>
            </w14:solidFill>
          </w14:textFill>
        </w:rPr>
        <w:t>合伙协议相关约定，本项目不属于关联交易。</w:t>
      </w:r>
    </w:p>
    <w:p w14:paraId="4427F5F9">
      <w:pPr>
        <w:spacing w:before="240" w:after="0" w:line="360" w:lineRule="auto"/>
        <w:rPr>
          <w:rFonts w:hint="eastAsia" w:ascii="宋体" w:hAnsi="宋体" w:eastAsia="宋体"/>
          <w:color w:val="000000" w:themeColor="text1"/>
          <w:sz w:val="24"/>
          <w:szCs w:val="24"/>
          <w14:textFill>
            <w14:solidFill>
              <w14:schemeClr w14:val="tx1"/>
            </w14:solidFill>
          </w14:textFill>
        </w:rPr>
      </w:pPr>
      <w:r>
        <w:rPr>
          <w:rFonts w:hint="eastAsia" w:ascii="宋体" w:hAnsi="宋体" w:eastAsia="宋体"/>
          <w:b/>
          <w:bCs/>
          <w:color w:val="000000" w:themeColor="text1"/>
          <w:sz w:val="24"/>
          <w:szCs w:val="24"/>
          <w14:textFill>
            <w14:solidFill>
              <w14:schemeClr w14:val="tx1"/>
            </w14:solidFill>
          </w14:textFill>
        </w:rPr>
        <w:t>4、投资方向分析：</w:t>
      </w:r>
      <w:r>
        <w:rPr>
          <w:rFonts w:hint="eastAsia" w:ascii="宋体" w:hAnsi="宋体" w:eastAsia="宋体"/>
          <w:color w:val="000000" w:themeColor="text1"/>
          <w:sz w:val="24"/>
          <w:szCs w:val="24"/>
          <w14:textFill>
            <w14:solidFill>
              <w14:schemeClr w14:val="tx1"/>
            </w14:solidFill>
          </w14:textFill>
        </w:rPr>
        <w:t>本项目属于具身智能、人工智能、机器人行业应用及应急数字化方向项目。公司通过LanchengAIOT平台、行业算法、传感器融合和场景交付，为港口、能源、应急消防等行业提供机器人应用解决方案，符合基金关于人工智能、</w:t>
      </w:r>
      <w:r>
        <w:rPr>
          <w:rFonts w:hint="eastAsia" w:ascii="宋体" w:hAnsi="宋体" w:eastAsia="宋体"/>
          <w:color w:val="000000" w:themeColor="text1"/>
          <w:sz w:val="24"/>
          <w:szCs w:val="24"/>
          <w:lang w:val="en-US" w:eastAsia="zh-CN"/>
          <w14:textFill>
            <w14:solidFill>
              <w14:schemeClr w14:val="tx1"/>
            </w14:solidFill>
          </w14:textFill>
        </w:rPr>
        <w:t>具身智能及上下游产业链</w:t>
      </w:r>
      <w:r>
        <w:rPr>
          <w:rFonts w:hint="eastAsia" w:ascii="宋体" w:hAnsi="宋体" w:eastAsia="宋体"/>
          <w:color w:val="000000" w:themeColor="text1"/>
          <w:sz w:val="24"/>
          <w:szCs w:val="24"/>
          <w14:textFill>
            <w14:solidFill>
              <w14:schemeClr w14:val="tx1"/>
            </w14:solidFill>
          </w14:textFill>
        </w:rPr>
        <w:t>投资方向的约定。</w:t>
      </w:r>
    </w:p>
    <w:p w14:paraId="1EBD4625">
      <w:pPr>
        <w:spacing w:before="240" w:line="360" w:lineRule="auto"/>
        <w:rPr>
          <w:rFonts w:hint="eastAsia" w:ascii="宋体" w:hAnsi="宋体" w:eastAsia="宋体"/>
          <w:color w:val="000000" w:themeColor="text1"/>
          <w:sz w:val="24"/>
          <w:szCs w:val="24"/>
          <w14:textFill>
            <w14:solidFill>
              <w14:schemeClr w14:val="tx1"/>
            </w14:solidFill>
          </w14:textFill>
        </w:rPr>
      </w:pPr>
      <w:r>
        <w:rPr>
          <w:rFonts w:hint="eastAsia" w:ascii="宋体" w:hAnsi="宋体" w:eastAsia="宋体"/>
          <w:b/>
          <w:color w:val="000000" w:themeColor="text1"/>
          <w:sz w:val="24"/>
          <w:szCs w:val="24"/>
          <w14:textFill>
            <w14:solidFill>
              <w14:schemeClr w14:val="tx1"/>
            </w14:solidFill>
          </w14:textFill>
        </w:rPr>
        <w:t>5、符合合伙协议约定的投资配置要求：</w:t>
      </w:r>
      <w:r>
        <w:rPr>
          <w:rFonts w:hint="eastAsia" w:ascii="宋体" w:hAnsi="宋体" w:eastAsia="宋体"/>
          <w:color w:val="000000" w:themeColor="text1"/>
          <w:sz w:val="24"/>
          <w:szCs w:val="24"/>
          <w14:textFill>
            <w14:solidFill>
              <w14:schemeClr w14:val="tx1"/>
            </w14:solidFill>
          </w14:textFill>
        </w:rPr>
        <w:t>本项目为股权直投项目，符合合伙协议约定的投资配置要求。</w:t>
      </w:r>
    </w:p>
    <w:p w14:paraId="3E2636E4">
      <w:pPr>
        <w:spacing w:before="240" w:after="0" w:line="360" w:lineRule="auto"/>
        <w:rPr>
          <w:rFonts w:hint="eastAsia" w:ascii="宋体" w:hAnsi="宋体" w:eastAsia="宋体"/>
          <w:color w:val="000000" w:themeColor="text1"/>
          <w:sz w:val="24"/>
          <w:szCs w:val="24"/>
          <w14:textFill>
            <w14:solidFill>
              <w14:schemeClr w14:val="tx1"/>
            </w14:solidFill>
          </w14:textFill>
        </w:rPr>
      </w:pPr>
      <w:r>
        <w:rPr>
          <w:rFonts w:hint="eastAsia" w:ascii="宋体" w:hAnsi="宋体" w:eastAsia="宋体"/>
          <w:b/>
          <w:bCs/>
          <w:color w:val="000000" w:themeColor="text1"/>
          <w:sz w:val="24"/>
          <w:szCs w:val="24"/>
          <w14:textFill>
            <w14:solidFill>
              <w14:schemeClr w14:val="tx1"/>
            </w14:solidFill>
          </w14:textFill>
        </w:rPr>
        <w:t>6、</w:t>
      </w:r>
      <w:r>
        <w:rPr>
          <w:rFonts w:hint="eastAsia" w:ascii="宋体" w:hAnsi="宋体" w:eastAsia="宋体"/>
          <w:b/>
          <w:bCs/>
          <w:color w:val="000000" w:themeColor="text1"/>
          <w:sz w:val="24"/>
          <w:szCs w:val="24"/>
          <w:lang w:val="en-US" w:eastAsia="zh-CN"/>
          <w14:textFill>
            <w14:solidFill>
              <w14:schemeClr w14:val="tx1"/>
            </w14:solidFill>
          </w14:textFill>
        </w:rPr>
        <w:t>符合合伙协议约定的</w:t>
      </w:r>
      <w:r>
        <w:rPr>
          <w:rFonts w:hint="eastAsia" w:ascii="宋体" w:hAnsi="宋体" w:eastAsia="宋体"/>
          <w:b/>
          <w:bCs/>
          <w:color w:val="000000" w:themeColor="text1"/>
          <w:sz w:val="24"/>
          <w:szCs w:val="24"/>
          <w14:textFill>
            <w14:solidFill>
              <w14:schemeClr w14:val="tx1"/>
            </w14:solidFill>
          </w14:textFill>
        </w:rPr>
        <w:t>投资集中度要求：</w:t>
      </w:r>
      <w:r>
        <w:rPr>
          <w:rFonts w:hint="eastAsia" w:ascii="宋体" w:hAnsi="宋体" w:eastAsia="宋体"/>
          <w:color w:val="000000" w:themeColor="text1"/>
          <w:sz w:val="24"/>
          <w:szCs w:val="24"/>
          <w14:textFill>
            <w14:solidFill>
              <w14:schemeClr w14:val="tx1"/>
            </w14:solidFill>
          </w14:textFill>
        </w:rPr>
        <w:t>本项目拟投资金额约</w:t>
      </w:r>
      <w:r>
        <w:rPr>
          <w:rFonts w:hint="eastAsia" w:ascii="宋体" w:hAnsi="宋体" w:eastAsia="宋体"/>
          <w:color w:val="000000" w:themeColor="text1"/>
          <w:sz w:val="24"/>
          <w:szCs w:val="24"/>
          <w:lang w:val="en-US" w:eastAsia="zh-CN"/>
          <w14:textFill>
            <w14:solidFill>
              <w14:schemeClr w14:val="tx1"/>
            </w14:solidFill>
          </w14:textFill>
        </w:rPr>
        <w:t>36</w:t>
      </w:r>
      <w:r>
        <w:rPr>
          <w:rFonts w:hint="eastAsia" w:ascii="宋体" w:hAnsi="宋体" w:eastAsia="宋体"/>
          <w:color w:val="000000" w:themeColor="text1"/>
          <w:sz w:val="24"/>
          <w:szCs w:val="24"/>
          <w14:textFill>
            <w14:solidFill>
              <w14:schemeClr w14:val="tx1"/>
            </w14:solidFill>
          </w14:textFill>
        </w:rPr>
        <w:t>00万元</w:t>
      </w:r>
      <w:r>
        <w:rPr>
          <w:rFonts w:hint="eastAsia" w:ascii="宋体" w:hAnsi="宋体" w:eastAsia="宋体"/>
          <w:color w:val="000000" w:themeColor="text1"/>
          <w:sz w:val="24"/>
          <w:szCs w:val="24"/>
          <w:lang w:eastAsia="zh-CN"/>
          <w14:textFill>
            <w14:solidFill>
              <w14:schemeClr w14:val="tx1"/>
            </w14:solidFill>
          </w14:textFill>
        </w:rPr>
        <w:t>，</w:t>
      </w:r>
      <w:r>
        <w:rPr>
          <w:rFonts w:hint="eastAsia" w:ascii="宋体" w:hAnsi="宋体" w:eastAsia="宋体"/>
          <w:color w:val="000000" w:themeColor="text1"/>
          <w:sz w:val="24"/>
          <w:szCs w:val="24"/>
          <w14:textFill>
            <w14:solidFill>
              <w14:schemeClr w14:val="tx1"/>
            </w14:solidFill>
          </w14:textFill>
        </w:rPr>
        <w:t>按本轮6亿元估值取得</w:t>
      </w:r>
      <w:r>
        <w:rPr>
          <w:rFonts w:hint="eastAsia" w:ascii="宋体" w:hAnsi="宋体" w:eastAsia="宋体"/>
          <w:color w:val="000000" w:themeColor="text1"/>
          <w:sz w:val="24"/>
          <w:szCs w:val="24"/>
          <w:lang w:val="en-US" w:eastAsia="zh-CN"/>
          <w14:textFill>
            <w14:solidFill>
              <w14:schemeClr w14:val="tx1"/>
            </w14:solidFill>
          </w14:textFill>
        </w:rPr>
        <w:t>6</w:t>
      </w:r>
      <w:r>
        <w:rPr>
          <w:rFonts w:hint="eastAsia" w:ascii="宋体" w:hAnsi="宋体" w:eastAsia="宋体"/>
          <w:color w:val="000000" w:themeColor="text1"/>
          <w:sz w:val="24"/>
          <w:szCs w:val="24"/>
          <w14:textFill>
            <w14:solidFill>
              <w14:schemeClr w14:val="tx1"/>
            </w14:solidFill>
          </w14:textFill>
        </w:rPr>
        <w:t>%股权测</w:t>
      </w:r>
      <w:r>
        <w:rPr>
          <w:rFonts w:hint="eastAsia" w:ascii="宋体" w:hAnsi="宋体" w:eastAsia="宋体"/>
          <w:color w:val="000000" w:themeColor="text1"/>
          <w:sz w:val="24"/>
          <w:szCs w:val="24"/>
          <w:lang w:eastAsia="zh-CN"/>
          <w14:textFill>
            <w14:solidFill>
              <w14:schemeClr w14:val="tx1"/>
            </w14:solidFill>
          </w14:textFill>
        </w:rPr>
        <w:t>，</w:t>
      </w:r>
      <w:r>
        <w:rPr>
          <w:rFonts w:hint="eastAsia" w:ascii="宋体" w:hAnsi="宋体" w:eastAsia="宋体"/>
          <w:color w:val="auto"/>
          <w:sz w:val="24"/>
          <w:szCs w:val="24"/>
        </w:rPr>
        <w:t>未超过20%的集中度参考上限</w:t>
      </w:r>
      <w:r>
        <w:rPr>
          <w:rFonts w:hint="eastAsia" w:ascii="宋体" w:hAnsi="宋体" w:eastAsia="宋体"/>
          <w:color w:val="000000" w:themeColor="text1"/>
          <w:sz w:val="24"/>
          <w:szCs w:val="24"/>
          <w14:textFill>
            <w14:solidFill>
              <w14:schemeClr w14:val="tx1"/>
            </w14:solidFill>
          </w14:textFill>
        </w:rPr>
        <w:t>，符合合伙协议约定的投资集中度要求</w:t>
      </w:r>
      <w:r>
        <w:rPr>
          <w:rFonts w:hint="eastAsia" w:ascii="宋体" w:hAnsi="宋体" w:eastAsia="宋体"/>
          <w:color w:val="auto"/>
          <w:sz w:val="24"/>
          <w:szCs w:val="24"/>
        </w:rPr>
        <w:t>。</w:t>
      </w:r>
    </w:p>
    <w:p w14:paraId="35A1205B">
      <w:pPr>
        <w:spacing w:before="240" w:after="0" w:line="360" w:lineRule="auto"/>
        <w:rPr>
          <w:rFonts w:hint="eastAsia" w:ascii="宋体" w:hAnsi="宋体" w:eastAsia="宋体"/>
          <w:color w:val="000000" w:themeColor="text1"/>
          <w:sz w:val="24"/>
          <w:szCs w:val="24"/>
          <w14:textFill>
            <w14:solidFill>
              <w14:schemeClr w14:val="tx1"/>
            </w14:solidFill>
          </w14:textFill>
        </w:rPr>
      </w:pPr>
      <w:r>
        <w:rPr>
          <w:rFonts w:hint="eastAsia" w:ascii="宋体" w:hAnsi="宋体" w:eastAsia="宋体"/>
          <w:b/>
          <w:bCs/>
          <w:color w:val="000000" w:themeColor="text1"/>
          <w:sz w:val="24"/>
          <w:szCs w:val="24"/>
          <w14:textFill>
            <w14:solidFill>
              <w14:schemeClr w14:val="tx1"/>
            </w14:solidFill>
          </w14:textFill>
        </w:rPr>
        <w:t>7、</w:t>
      </w:r>
      <w:r>
        <w:rPr>
          <w:rFonts w:hint="eastAsia" w:ascii="宋体" w:hAnsi="宋体" w:eastAsia="宋体"/>
          <w:b/>
          <w:bCs/>
          <w:color w:val="000000" w:themeColor="text1"/>
          <w:sz w:val="24"/>
          <w:szCs w:val="24"/>
          <w:lang w:val="en-US" w:eastAsia="zh-CN"/>
          <w14:textFill>
            <w14:solidFill>
              <w14:schemeClr w14:val="tx1"/>
            </w14:solidFill>
          </w14:textFill>
        </w:rPr>
        <w:t>无</w:t>
      </w:r>
      <w:r>
        <w:rPr>
          <w:rFonts w:hint="eastAsia" w:ascii="宋体" w:hAnsi="宋体" w:eastAsia="宋体"/>
          <w:b/>
          <w:bCs/>
          <w:color w:val="000000" w:themeColor="text1"/>
          <w:sz w:val="24"/>
          <w:szCs w:val="24"/>
          <w14:textFill>
            <w14:solidFill>
              <w14:schemeClr w14:val="tx1"/>
            </w14:solidFill>
          </w14:textFill>
        </w:rPr>
        <w:t>其他</w:t>
      </w:r>
      <w:r>
        <w:rPr>
          <w:rFonts w:hint="eastAsia" w:ascii="宋体" w:hAnsi="宋体" w:eastAsia="宋体"/>
          <w:b/>
          <w:bCs/>
          <w:color w:val="000000" w:themeColor="text1"/>
          <w:sz w:val="24"/>
          <w:szCs w:val="24"/>
          <w:lang w:val="en-US" w:eastAsia="zh-CN"/>
          <w14:textFill>
            <w14:solidFill>
              <w14:schemeClr w14:val="tx1"/>
            </w14:solidFill>
          </w14:textFill>
        </w:rPr>
        <w:t>不满足</w:t>
      </w:r>
      <w:r>
        <w:rPr>
          <w:rFonts w:hint="eastAsia" w:ascii="宋体" w:hAnsi="宋体" w:eastAsia="宋体"/>
          <w:b/>
          <w:bCs/>
          <w:color w:val="000000" w:themeColor="text1"/>
          <w:sz w:val="24"/>
          <w:szCs w:val="24"/>
          <w14:textFill>
            <w14:solidFill>
              <w14:schemeClr w14:val="tx1"/>
            </w14:solidFill>
          </w14:textFill>
        </w:rPr>
        <w:t>合规</w:t>
      </w:r>
      <w:r>
        <w:rPr>
          <w:rFonts w:hint="eastAsia" w:ascii="宋体" w:hAnsi="宋体" w:eastAsia="宋体"/>
          <w:b/>
          <w:bCs/>
          <w:color w:val="000000" w:themeColor="text1"/>
          <w:sz w:val="24"/>
          <w:szCs w:val="24"/>
          <w:lang w:val="en-US" w:eastAsia="zh-CN"/>
          <w14:textFill>
            <w14:solidFill>
              <w14:schemeClr w14:val="tx1"/>
            </w14:solidFill>
          </w14:textFill>
        </w:rPr>
        <w:t>性审核要求的情形</w:t>
      </w:r>
      <w:r>
        <w:rPr>
          <w:rFonts w:hint="eastAsia" w:ascii="宋体" w:hAnsi="宋体" w:eastAsia="宋体"/>
          <w:b/>
          <w:bCs/>
          <w:color w:val="000000" w:themeColor="text1"/>
          <w:sz w:val="24"/>
          <w:szCs w:val="24"/>
          <w14:textFill>
            <w14:solidFill>
              <w14:schemeClr w14:val="tx1"/>
            </w14:solidFill>
          </w14:textFill>
        </w:rPr>
        <w:t>：</w:t>
      </w:r>
      <w:r>
        <w:rPr>
          <w:rFonts w:hint="eastAsia" w:ascii="宋体" w:hAnsi="宋体" w:eastAsia="宋体"/>
          <w:color w:val="000000" w:themeColor="text1"/>
          <w:sz w:val="24"/>
          <w:szCs w:val="24"/>
          <w14:textFill>
            <w14:solidFill>
              <w14:schemeClr w14:val="tx1"/>
            </w14:solidFill>
          </w14:textFill>
        </w:rPr>
        <w:t>本项目无其他明显不满足法律法规、监管规定或基金合伙协议合规性审核要求的情形。</w:t>
      </w:r>
    </w:p>
    <w:p w14:paraId="3C0CB648">
      <w:pPr>
        <w:spacing w:before="240" w:after="0" w:line="360" w:lineRule="auto"/>
        <w:ind w:firstLine="420" w:firstLineChars="0"/>
        <w:rPr>
          <w:rFonts w:hint="eastAsia" w:ascii="宋体" w:hAnsi="宋体" w:eastAsia="宋体"/>
          <w:color w:val="000000" w:themeColor="text1"/>
          <w:sz w:val="24"/>
          <w:szCs w:val="24"/>
          <w14:textFill>
            <w14:solidFill>
              <w14:schemeClr w14:val="tx1"/>
            </w14:solidFill>
          </w14:textFill>
        </w:rPr>
      </w:pPr>
      <w:r>
        <w:rPr>
          <w:rFonts w:hint="eastAsia" w:ascii="宋体" w:hAnsi="宋体" w:eastAsia="宋体"/>
          <w:color w:val="000000" w:themeColor="text1"/>
          <w:sz w:val="24"/>
          <w:szCs w:val="24"/>
          <w14:textFill>
            <w14:solidFill>
              <w14:schemeClr w14:val="tx1"/>
            </w14:solidFill>
          </w14:textFill>
        </w:rPr>
        <w:t>综上，在完成上述尽调核验、投资决策程序及交易文件约定的前提下，本项目投资方向、投资方式、集中度及关联交易安排原则上符合基金合规性要求。</w:t>
      </w:r>
    </w:p>
    <w:p w14:paraId="525CCF0E">
      <w:pPr>
        <w:spacing w:before="0" w:after="0" w:line="560" w:lineRule="exact"/>
      </w:pPr>
    </w:p>
    <w:p w14:paraId="1EA3FF21">
      <w:pPr>
        <w:spacing w:before="240" w:after="0" w:line="360" w:lineRule="auto"/>
        <w:ind w:left="300" w:firstLine="420"/>
        <w:jc w:val="right"/>
        <w:rPr>
          <w:rFonts w:hint="eastAsia" w:ascii="宋体" w:hAnsi="宋体" w:eastAsia="宋体"/>
          <w:sz w:val="24"/>
          <w:szCs w:val="24"/>
        </w:rPr>
      </w:pPr>
      <w:r>
        <w:rPr>
          <w:rFonts w:hint="eastAsia" w:ascii="宋体" w:hAnsi="宋体" w:eastAsia="宋体"/>
          <w:sz w:val="24"/>
          <w:szCs w:val="24"/>
        </w:rPr>
        <w:t>浙江赛智伯乐股权投资管理有限公司</w:t>
      </w:r>
    </w:p>
    <w:p w14:paraId="2A74AA8D">
      <w:pPr>
        <w:spacing w:before="240" w:after="0" w:line="360" w:lineRule="auto"/>
        <w:ind w:left="300" w:firstLine="420"/>
        <w:jc w:val="right"/>
        <w:rPr>
          <w:rFonts w:hint="eastAsia" w:ascii="宋体" w:hAnsi="宋体" w:eastAsia="宋体"/>
          <w:sz w:val="24"/>
          <w:szCs w:val="24"/>
        </w:rPr>
      </w:pPr>
      <w:r>
        <w:rPr>
          <w:rFonts w:hint="eastAsia" w:ascii="宋体" w:hAnsi="宋体" w:eastAsia="宋体"/>
          <w:sz w:val="24"/>
          <w:szCs w:val="24"/>
        </w:rPr>
        <w:t xml:space="preserve">2026年   </w:t>
      </w:r>
      <w:r>
        <w:rPr>
          <w:rFonts w:hint="eastAsia" w:ascii="宋体" w:hAnsi="宋体" w:eastAsia="宋体"/>
          <w:sz w:val="24"/>
          <w:szCs w:val="24"/>
          <w:lang w:val="en-US" w:eastAsia="zh-CN"/>
        </w:rPr>
        <w:t>6</w:t>
      </w:r>
      <w:r>
        <w:rPr>
          <w:rFonts w:hint="eastAsia" w:ascii="宋体" w:hAnsi="宋体" w:eastAsia="宋体"/>
          <w:sz w:val="24"/>
          <w:szCs w:val="24"/>
        </w:rPr>
        <w:t xml:space="preserve">   月  </w:t>
      </w:r>
      <w:r>
        <w:rPr>
          <w:rFonts w:hint="eastAsia" w:ascii="宋体" w:hAnsi="宋体" w:eastAsia="宋体"/>
          <w:sz w:val="24"/>
          <w:szCs w:val="24"/>
          <w:lang w:val="en-US" w:eastAsia="zh-CN"/>
        </w:rPr>
        <w:t>16</w:t>
      </w:r>
      <w:r>
        <w:rPr>
          <w:rFonts w:hint="eastAsia" w:ascii="宋体" w:hAnsi="宋体" w:eastAsia="宋体"/>
          <w:sz w:val="24"/>
          <w:szCs w:val="24"/>
        </w:rPr>
        <w:t xml:space="preserve">  日</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embedRegular r:id="rId1" w:fontKey="{1B0D25A2-207F-FF5B-B4EE-306AB6C003F8}"/>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Heiti SC Medium">
    <w:panose1 w:val="02000000000000000000"/>
    <w:charset w:val="86"/>
    <w:family w:val="auto"/>
    <w:pitch w:val="default"/>
    <w:sig w:usb0="8000002F" w:usb1="0800004A" w:usb2="00000000" w:usb3="00000000" w:csb0="203E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4E312E"/>
    <w:multiLevelType w:val="multilevel"/>
    <w:tmpl w:val="014E312E"/>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2164B8D"/>
    <w:multiLevelType w:val="multilevel"/>
    <w:tmpl w:val="52164B8D"/>
    <w:lvl w:ilvl="0" w:tentative="0">
      <w:start w:val="1"/>
      <w:numFmt w:val="decimal"/>
      <w:lvlText w:val="（%1）"/>
      <w:lvlJc w:val="left"/>
      <w:pPr>
        <w:ind w:left="1140" w:hanging="7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TrueTypeFonts/>
  <w:saveSubset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628E"/>
    <w:rsid w:val="000226CD"/>
    <w:rsid w:val="00042F7D"/>
    <w:rsid w:val="000508BD"/>
    <w:rsid w:val="000D3084"/>
    <w:rsid w:val="00121777"/>
    <w:rsid w:val="0016433F"/>
    <w:rsid w:val="001732EE"/>
    <w:rsid w:val="001757DE"/>
    <w:rsid w:val="001E490D"/>
    <w:rsid w:val="001F0C46"/>
    <w:rsid w:val="002653BD"/>
    <w:rsid w:val="002711B0"/>
    <w:rsid w:val="00291195"/>
    <w:rsid w:val="00345C34"/>
    <w:rsid w:val="003850BC"/>
    <w:rsid w:val="003B7FFD"/>
    <w:rsid w:val="003E2F15"/>
    <w:rsid w:val="004269B9"/>
    <w:rsid w:val="00427BDA"/>
    <w:rsid w:val="0043498C"/>
    <w:rsid w:val="00465F65"/>
    <w:rsid w:val="004C39F2"/>
    <w:rsid w:val="004D6DB8"/>
    <w:rsid w:val="005342B2"/>
    <w:rsid w:val="00577762"/>
    <w:rsid w:val="005D758F"/>
    <w:rsid w:val="0064230A"/>
    <w:rsid w:val="0065598A"/>
    <w:rsid w:val="00674A64"/>
    <w:rsid w:val="006A0B7B"/>
    <w:rsid w:val="006D3300"/>
    <w:rsid w:val="00740402"/>
    <w:rsid w:val="00794F5F"/>
    <w:rsid w:val="007E01CE"/>
    <w:rsid w:val="0080478A"/>
    <w:rsid w:val="0086546A"/>
    <w:rsid w:val="008A234A"/>
    <w:rsid w:val="00936C86"/>
    <w:rsid w:val="009B0E30"/>
    <w:rsid w:val="009D1ED0"/>
    <w:rsid w:val="009E1AB0"/>
    <w:rsid w:val="00A61E43"/>
    <w:rsid w:val="00A90E8B"/>
    <w:rsid w:val="00AC2749"/>
    <w:rsid w:val="00AE019D"/>
    <w:rsid w:val="00B17AC9"/>
    <w:rsid w:val="00B50AA0"/>
    <w:rsid w:val="00B75313"/>
    <w:rsid w:val="00BB628E"/>
    <w:rsid w:val="00C21AA9"/>
    <w:rsid w:val="00C326ED"/>
    <w:rsid w:val="00C50FEE"/>
    <w:rsid w:val="00C829F1"/>
    <w:rsid w:val="00D0197F"/>
    <w:rsid w:val="00D4240A"/>
    <w:rsid w:val="00E07DE1"/>
    <w:rsid w:val="00E32DBE"/>
    <w:rsid w:val="00E453AB"/>
    <w:rsid w:val="00E63FC7"/>
    <w:rsid w:val="00E824CA"/>
    <w:rsid w:val="00EB58EB"/>
    <w:rsid w:val="00F12EB1"/>
    <w:rsid w:val="00F25755"/>
    <w:rsid w:val="00F262C5"/>
    <w:rsid w:val="00F3586E"/>
    <w:rsid w:val="00F375E0"/>
    <w:rsid w:val="00F71E9C"/>
    <w:rsid w:val="00FD2D16"/>
    <w:rsid w:val="00FE2B6A"/>
    <w:rsid w:val="00FF4E66"/>
    <w:rsid w:val="01635C49"/>
    <w:rsid w:val="017149DC"/>
    <w:rsid w:val="021A27AB"/>
    <w:rsid w:val="02B63EF1"/>
    <w:rsid w:val="03C20F71"/>
    <w:rsid w:val="04232623"/>
    <w:rsid w:val="04785EAF"/>
    <w:rsid w:val="048C3708"/>
    <w:rsid w:val="08D544C6"/>
    <w:rsid w:val="09EE2822"/>
    <w:rsid w:val="0CBB102F"/>
    <w:rsid w:val="0D1D14F7"/>
    <w:rsid w:val="10685029"/>
    <w:rsid w:val="11301FEB"/>
    <w:rsid w:val="11D84431"/>
    <w:rsid w:val="12FB2185"/>
    <w:rsid w:val="14651A9B"/>
    <w:rsid w:val="147D04F7"/>
    <w:rsid w:val="156A35F2"/>
    <w:rsid w:val="16CD3E38"/>
    <w:rsid w:val="174A7237"/>
    <w:rsid w:val="18935F2E"/>
    <w:rsid w:val="18E51ED4"/>
    <w:rsid w:val="1A5249BA"/>
    <w:rsid w:val="1D316FCC"/>
    <w:rsid w:val="1DE2733E"/>
    <w:rsid w:val="1F535E95"/>
    <w:rsid w:val="23280026"/>
    <w:rsid w:val="23F708B9"/>
    <w:rsid w:val="246E3050"/>
    <w:rsid w:val="25F835C8"/>
    <w:rsid w:val="2A0140CD"/>
    <w:rsid w:val="2D244721"/>
    <w:rsid w:val="2DC53663"/>
    <w:rsid w:val="2F6D4E57"/>
    <w:rsid w:val="301D5356"/>
    <w:rsid w:val="302716A5"/>
    <w:rsid w:val="31D97C51"/>
    <w:rsid w:val="34E56399"/>
    <w:rsid w:val="35A40002"/>
    <w:rsid w:val="3753465F"/>
    <w:rsid w:val="38C05153"/>
    <w:rsid w:val="39952591"/>
    <w:rsid w:val="3A3A1488"/>
    <w:rsid w:val="3ABE5731"/>
    <w:rsid w:val="3ADF0F40"/>
    <w:rsid w:val="3B675D5A"/>
    <w:rsid w:val="3BCCF344"/>
    <w:rsid w:val="3C9371A7"/>
    <w:rsid w:val="3D9E6D1A"/>
    <w:rsid w:val="3E38578C"/>
    <w:rsid w:val="3F5900B0"/>
    <w:rsid w:val="3F8213B4"/>
    <w:rsid w:val="3FA94B93"/>
    <w:rsid w:val="40291322"/>
    <w:rsid w:val="413435B4"/>
    <w:rsid w:val="41635215"/>
    <w:rsid w:val="431B4E5C"/>
    <w:rsid w:val="44F23AE7"/>
    <w:rsid w:val="45206B25"/>
    <w:rsid w:val="472725D4"/>
    <w:rsid w:val="47CA1B4A"/>
    <w:rsid w:val="4858701A"/>
    <w:rsid w:val="48C458E0"/>
    <w:rsid w:val="4D3FEB36"/>
    <w:rsid w:val="4DEC0600"/>
    <w:rsid w:val="4E336E7D"/>
    <w:rsid w:val="4E760336"/>
    <w:rsid w:val="4E9B7546"/>
    <w:rsid w:val="4EF343E1"/>
    <w:rsid w:val="4F0A5FD9"/>
    <w:rsid w:val="4FFD140B"/>
    <w:rsid w:val="511E1076"/>
    <w:rsid w:val="512D51C5"/>
    <w:rsid w:val="531D3476"/>
    <w:rsid w:val="547930DC"/>
    <w:rsid w:val="573963A5"/>
    <w:rsid w:val="59C75EEA"/>
    <w:rsid w:val="5A317807"/>
    <w:rsid w:val="5A3541BE"/>
    <w:rsid w:val="5A4232B4"/>
    <w:rsid w:val="5D194642"/>
    <w:rsid w:val="5D42488D"/>
    <w:rsid w:val="5D9F0F2C"/>
    <w:rsid w:val="5DFFC926"/>
    <w:rsid w:val="5FB01277"/>
    <w:rsid w:val="5FB7DCA3"/>
    <w:rsid w:val="60C6751F"/>
    <w:rsid w:val="60CF67EB"/>
    <w:rsid w:val="60EE0200"/>
    <w:rsid w:val="61972646"/>
    <w:rsid w:val="61C251E9"/>
    <w:rsid w:val="61FE26C5"/>
    <w:rsid w:val="64FF47C8"/>
    <w:rsid w:val="660D1128"/>
    <w:rsid w:val="666351EC"/>
    <w:rsid w:val="67EB0D17"/>
    <w:rsid w:val="69653029"/>
    <w:rsid w:val="6D52739D"/>
    <w:rsid w:val="6DEC2697"/>
    <w:rsid w:val="6ECE55DC"/>
    <w:rsid w:val="6ED8429D"/>
    <w:rsid w:val="704679F6"/>
    <w:rsid w:val="71397275"/>
    <w:rsid w:val="714B6FA9"/>
    <w:rsid w:val="715A4658"/>
    <w:rsid w:val="72F5541E"/>
    <w:rsid w:val="739C3354"/>
    <w:rsid w:val="73AA5C50"/>
    <w:rsid w:val="751122B7"/>
    <w:rsid w:val="76DD23E8"/>
    <w:rsid w:val="78C86D74"/>
    <w:rsid w:val="79684BC9"/>
    <w:rsid w:val="7A166B42"/>
    <w:rsid w:val="7BE44282"/>
    <w:rsid w:val="7C3A6597"/>
    <w:rsid w:val="7C69286A"/>
    <w:rsid w:val="7E4065A4"/>
    <w:rsid w:val="7E7FE02C"/>
    <w:rsid w:val="7EC71C5F"/>
    <w:rsid w:val="7FD79115"/>
    <w:rsid w:val="BE7C9775"/>
    <w:rsid w:val="F9BAD250"/>
    <w:rsid w:val="FBDF3106"/>
    <w:rsid w:val="FCB6D0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0" w:after="0" w:line="560" w:lineRule="exact"/>
      <w:jc w:val="both"/>
    </w:pPr>
    <w:rPr>
      <w:rFonts w:hint="eastAsia" w:asciiTheme="minorHAnsi" w:hAnsiTheme="minorHAnsi" w:eastAsiaTheme="minorEastAsia" w:cstheme="minorBidi"/>
      <w:kern w:val="2"/>
      <w:sz w:val="32"/>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rFonts w:hint="default" w:eastAsia="Heiti SC Medium" w:asciiTheme="minorAscii" w:hAnsiTheme="minorAscii"/>
      <w:b/>
      <w:kern w:val="44"/>
      <w:sz w:val="30"/>
    </w:rPr>
  </w:style>
  <w:style w:type="paragraph" w:styleId="3">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Heiti SC Medium"/>
      <w:b/>
      <w:sz w:val="28"/>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semiHidden/>
    <w:unhideWhenUsed/>
    <w:qFormat/>
    <w:uiPriority w:val="99"/>
    <w:pPr>
      <w:jc w:val="left"/>
    </w:pPr>
  </w:style>
  <w:style w:type="paragraph" w:styleId="5">
    <w:name w:val="footer"/>
    <w:basedOn w:val="1"/>
    <w:link w:val="11"/>
    <w:unhideWhenUsed/>
    <w:qFormat/>
    <w:uiPriority w:val="99"/>
    <w:pPr>
      <w:tabs>
        <w:tab w:val="center" w:pos="4153"/>
        <w:tab w:val="right" w:pos="8306"/>
      </w:tabs>
      <w:snapToGrid w:val="0"/>
      <w:jc w:val="left"/>
    </w:pPr>
    <w:rPr>
      <w:sz w:val="18"/>
      <w:szCs w:val="18"/>
    </w:rPr>
  </w:style>
  <w:style w:type="paragraph" w:styleId="6">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rPr>
      <w:sz w:val="24"/>
    </w:rPr>
  </w:style>
  <w:style w:type="character" w:customStyle="1" w:styleId="10">
    <w:name w:val="页眉 字符"/>
    <w:basedOn w:val="9"/>
    <w:link w:val="6"/>
    <w:qFormat/>
    <w:uiPriority w:val="99"/>
    <w:rPr>
      <w:sz w:val="18"/>
      <w:szCs w:val="18"/>
    </w:rPr>
  </w:style>
  <w:style w:type="character" w:customStyle="1" w:styleId="11">
    <w:name w:val="页脚 字符"/>
    <w:basedOn w:val="9"/>
    <w:link w:val="5"/>
    <w:qFormat/>
    <w:uiPriority w:val="99"/>
    <w:rPr>
      <w:sz w:val="18"/>
      <w:szCs w:val="18"/>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2901</Words>
  <Characters>2994</Characters>
  <Lines>50</Lines>
  <Paragraphs>34</Paragraphs>
  <TotalTime>21</TotalTime>
  <ScaleCrop>false</ScaleCrop>
  <LinksUpToDate>false</LinksUpToDate>
  <CharactersWithSpaces>3010</CharactersWithSpaces>
  <Application>WPS Office_6.9.0.8865_F1E327BC-269C-435d-A152-05C5408002CA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2026-01-07T23:21:00Z</dcterms:created>
  <dc:creator>guoxinzan</dc:creator>
  <cp:lastModifiedBy>Ev.</cp:lastModifiedBy>
  <dcterms:modified xsi:type="dcterms:W3CDTF">2026-06-16T14:35:32Z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eyJoZGlkIjoiMzEwNTM5NzYwMDRjMzkwZTVkZjY2ODkwMGIxNGU0OTUiLCJ1c2VySWQiOiIzMTU2Njg5ODYifQ==</vt:lpwstr>
  </property>
  <property fmtid="{D5CDD505-2E9C-101B-9397-08002B2CF9AE}" pid="3" name="KSOProductBuildVer">
    <vt:lpwstr>2052-6.9.0.8865</vt:lpwstr>
  </property>
  <property fmtid="{D5CDD505-2E9C-101B-9397-08002B2CF9AE}" pid="4" name="ICV">
    <vt:lpwstr>0392A8FF9B364AE3BECD356799A3BCAE_13</vt:lpwstr>
  </property>
</Properties>
</file>