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BBF8E8">
      <w:pPr>
        <w:pStyle w:val="82"/>
        <w:bidi w:val="0"/>
        <w:rPr>
          <w:color w:val="1F2329"/>
          <w:sz w:val="32"/>
          <w:szCs w:val="32"/>
        </w:rPr>
      </w:pPr>
      <w:r>
        <w:rPr>
          <w:rFonts w:hint="eastAsia" w:eastAsia="宋体"/>
          <w:sz w:val="32"/>
          <w:szCs w:val="32"/>
          <w:lang w:val="en-US" w:eastAsia="zh-CN"/>
        </w:rPr>
        <w:t>关于宁波赛智具身股权投资合伙企业（有限合伙）对杭州佳量脑科学股份有限公司实施股权投资的提案</w:t>
      </w:r>
    </w:p>
    <w:p w14:paraId="035F7882">
      <w:pPr>
        <w:pStyle w:val="90"/>
        <w:bidi w:val="0"/>
        <w:ind w:left="0" w:leftChars="0" w:firstLine="0" w:firstLineChars="0"/>
        <w:rPr>
          <w:rFonts w:hint="default"/>
          <w:b/>
          <w:bCs/>
          <w:sz w:val="24"/>
          <w:szCs w:val="24"/>
          <w:lang w:val="en-US" w:eastAsia="zh-CN"/>
        </w:rPr>
      </w:pPr>
      <w:r>
        <w:rPr>
          <w:rFonts w:hint="default"/>
          <w:b/>
          <w:bCs/>
          <w:sz w:val="24"/>
          <w:szCs w:val="24"/>
          <w:lang w:val="en-US" w:eastAsia="zh-CN"/>
        </w:rPr>
        <w:t>各位投资决策委员会成员：</w:t>
      </w:r>
    </w:p>
    <w:p w14:paraId="7D0249AB">
      <w:pPr>
        <w:pStyle w:val="90"/>
        <w:bidi w:val="0"/>
        <w:rPr>
          <w:rFonts w:hint="default"/>
          <w:sz w:val="24"/>
          <w:szCs w:val="24"/>
          <w:lang w:val="en-US" w:eastAsia="zh-CN"/>
        </w:rPr>
      </w:pPr>
      <w:r>
        <w:rPr>
          <w:rFonts w:hint="default"/>
          <w:sz w:val="24"/>
          <w:szCs w:val="24"/>
          <w:lang w:val="en-US" w:eastAsia="zh-CN"/>
        </w:rPr>
        <w:t>宁波赛智具身股权投资合伙企业（有限合伙）（以下简称“</w:t>
      </w:r>
      <w:r>
        <w:rPr>
          <w:rFonts w:hint="eastAsia"/>
          <w:sz w:val="24"/>
          <w:szCs w:val="24"/>
          <w:lang w:val="en-US" w:eastAsia="zh-CN"/>
        </w:rPr>
        <w:t>赛智具身基金</w:t>
      </w:r>
      <w:r>
        <w:rPr>
          <w:rFonts w:hint="default"/>
          <w:sz w:val="24"/>
          <w:szCs w:val="24"/>
          <w:lang w:val="en-US" w:eastAsia="zh-CN"/>
        </w:rPr>
        <w:t>”）拟对杭州佳量脑科学股份有限公司（以下简称“</w:t>
      </w:r>
      <w:r>
        <w:rPr>
          <w:rFonts w:hint="eastAsia"/>
          <w:sz w:val="24"/>
          <w:szCs w:val="24"/>
          <w:lang w:val="en-US" w:eastAsia="zh-CN"/>
        </w:rPr>
        <w:t>佳量脑科学</w:t>
      </w:r>
      <w:r>
        <w:rPr>
          <w:rFonts w:hint="default"/>
          <w:sz w:val="24"/>
          <w:szCs w:val="24"/>
          <w:lang w:val="en-US" w:eastAsia="zh-CN"/>
        </w:rPr>
        <w:t>”或“目标公司”）实施增资股权投资。现将本次投资提案及相关的投资价值分析报告及尽职调查报告提交各位审议。</w:t>
      </w:r>
    </w:p>
    <w:p w14:paraId="47888422">
      <w:pPr>
        <w:pStyle w:val="90"/>
        <w:bidi w:val="0"/>
        <w:rPr>
          <w:rFonts w:hint="default"/>
          <w:sz w:val="24"/>
          <w:szCs w:val="24"/>
          <w:lang w:val="en-US" w:eastAsia="zh-CN"/>
        </w:rPr>
      </w:pPr>
      <w:r>
        <w:rPr>
          <w:rFonts w:hint="default"/>
          <w:sz w:val="24"/>
          <w:szCs w:val="24"/>
          <w:lang w:val="en-US" w:eastAsia="zh-CN"/>
        </w:rPr>
        <w:t>在决策委员会审议通过后，将按照审议确定原则，由赛智伯乐全权实施本次股权投资的具体操作事宜。</w:t>
      </w:r>
    </w:p>
    <w:p w14:paraId="5D27B1E9">
      <w:pPr>
        <w:pStyle w:val="78"/>
        <w:bidi w:val="0"/>
        <w:rPr>
          <w:rFonts w:hint="eastAsia"/>
        </w:rPr>
      </w:pPr>
      <w:r>
        <w:rPr>
          <w:rFonts w:hint="eastAsia"/>
        </w:rPr>
        <w:t>基本情况简介</w:t>
      </w:r>
    </w:p>
    <w:p w14:paraId="1C37ECD8">
      <w:pPr>
        <w:pStyle w:val="85"/>
        <w:bidi w:val="0"/>
        <w:rPr>
          <w:rFonts w:hint="eastAsia"/>
        </w:rPr>
      </w:pPr>
      <w:r>
        <w:rPr>
          <w:rFonts w:hint="eastAsia"/>
        </w:rPr>
        <w:t>公司简介</w:t>
      </w:r>
    </w:p>
    <w:p w14:paraId="30B2C34D">
      <w:pPr>
        <w:pStyle w:val="90"/>
        <w:bidi w:val="0"/>
        <w:rPr>
          <w:rFonts w:hint="default"/>
          <w:sz w:val="24"/>
          <w:szCs w:val="24"/>
          <w:lang w:val="en-US" w:eastAsia="zh-CN"/>
        </w:rPr>
      </w:pPr>
      <w:r>
        <w:rPr>
          <w:rFonts w:hint="default"/>
          <w:sz w:val="24"/>
          <w:szCs w:val="24"/>
          <w:lang w:val="en-US" w:eastAsia="zh-CN"/>
        </w:rPr>
        <w:t>佳量脑科学2020年4月成立于杭州，是专注脑科学与神经外科前沿技术产业化的高科技平台型企业，定位数据驱动的下一代脑机接口平台，聚焦侵入式脑机接口与神经调控，覆盖临床治疗、功能修复与人机共融，为癫痫、帕金森、脊髓损伤等神经系统疾病提供创新医疗器械解决方案。</w:t>
      </w:r>
    </w:p>
    <w:p w14:paraId="68A6E9F2">
      <w:pPr>
        <w:pStyle w:val="90"/>
        <w:bidi w:val="0"/>
        <w:rPr>
          <w:rFonts w:hint="default"/>
          <w:sz w:val="24"/>
          <w:szCs w:val="24"/>
          <w:lang w:val="en-US" w:eastAsia="zh-CN"/>
        </w:rPr>
      </w:pPr>
      <w:r>
        <w:rPr>
          <w:rFonts w:hint="default"/>
          <w:sz w:val="24"/>
          <w:szCs w:val="24"/>
          <w:lang w:val="en-US" w:eastAsia="zh-CN"/>
        </w:rPr>
        <w:t>佳量脑科学以BCMod一体化脑机接口平台为技术底座，构建侵入式神经信号采集、闭环神经刺激、AI智能解码、颅骨植入式微创设计等全栈技术能力，依托110+例临床植入积累海量高保真颅内脑电数据，形成行业稀缺的数据飞轮与技术壁垒，支撑多产品线快速迭代与临床落地。</w:t>
      </w:r>
    </w:p>
    <w:p w14:paraId="090D08A8">
      <w:pPr>
        <w:pStyle w:val="85"/>
        <w:bidi w:val="0"/>
        <w:rPr>
          <w:rFonts w:hint="eastAsia"/>
        </w:rPr>
      </w:pPr>
      <w:r>
        <w:rPr>
          <w:rFonts w:hint="eastAsia"/>
        </w:rPr>
        <w:t>运营摘要</w:t>
      </w:r>
    </w:p>
    <w:p w14:paraId="30D9F43C">
      <w:pPr>
        <w:pStyle w:val="90"/>
        <w:bidi w:val="0"/>
        <w:rPr>
          <w:rFonts w:hint="default"/>
          <w:sz w:val="24"/>
          <w:szCs w:val="24"/>
          <w:lang w:val="en-US" w:eastAsia="zh-CN"/>
        </w:rPr>
      </w:pPr>
      <w:r>
        <w:rPr>
          <w:rFonts w:hint="default"/>
          <w:sz w:val="24"/>
          <w:szCs w:val="24"/>
          <w:lang w:val="en-US" w:eastAsia="zh-CN"/>
        </w:rPr>
        <w:t>公司核心产品矩阵聚焦重大神经疾病刚需，形成完整治疗布局：Epilcure作为亚洲首款闭环反应性神经刺激系统，用于难治性癫痫，已进入NMPA创新通道；iSBS智能脑深部电刺激针对帕金森等运动障碍，实现自适应精准调控；EES闭环脊髓神经接口用于脊髓损伤康复，已实现患者自主站立行走；同时布局LaserRO激光消融系统与S-DEEP深部电极，覆盖诊断、治疗、康复全场景。</w:t>
      </w:r>
    </w:p>
    <w:p w14:paraId="43A1D52D">
      <w:pPr>
        <w:pStyle w:val="90"/>
        <w:bidi w:val="0"/>
        <w:rPr>
          <w:rFonts w:hint="default"/>
          <w:sz w:val="24"/>
          <w:szCs w:val="24"/>
          <w:lang w:val="en-US" w:eastAsia="zh-CN"/>
        </w:rPr>
      </w:pPr>
      <w:r>
        <w:rPr>
          <w:rFonts w:hint="default"/>
          <w:sz w:val="24"/>
          <w:szCs w:val="24"/>
          <w:lang w:val="en-US" w:eastAsia="zh-CN"/>
        </w:rPr>
        <w:t>在融资方面，佳量脑科学已完成种子轮、天使轮、Pre-A、Pre-A+、A、B、C共7轮融资，累计融资额超十亿元人民币；其中B轮、C轮均为数亿元级别，2026年完成的C轮系列融资后投后估值</w:t>
      </w:r>
      <w:r>
        <w:rPr>
          <w:rFonts w:hint="eastAsia"/>
          <w:sz w:val="24"/>
          <w:szCs w:val="24"/>
          <w:lang w:val="en-US" w:eastAsia="zh-CN"/>
        </w:rPr>
        <w:t>30</w:t>
      </w:r>
      <w:r>
        <w:rPr>
          <w:rFonts w:hint="default"/>
          <w:sz w:val="24"/>
          <w:szCs w:val="24"/>
          <w:lang w:val="en-US" w:eastAsia="zh-CN"/>
        </w:rPr>
        <w:t>亿</w:t>
      </w:r>
      <w:r>
        <w:rPr>
          <w:rFonts w:hint="eastAsia"/>
          <w:sz w:val="24"/>
          <w:szCs w:val="24"/>
          <w:lang w:val="en-US" w:eastAsia="zh-CN"/>
        </w:rPr>
        <w:t>元人民币</w:t>
      </w:r>
      <w:r>
        <w:rPr>
          <w:rFonts w:hint="default"/>
          <w:sz w:val="24"/>
          <w:szCs w:val="24"/>
          <w:lang w:val="en-US" w:eastAsia="zh-CN"/>
        </w:rPr>
        <w:t>。投资方包括启明创投、辰德资本、元璟资本、中金资本、海邦资本、火山石资本、渝富基金等一线医疗与硬科技机构及政府引导基金，资金主要用于临床推进、产品研发、产能建设与全球化布局，公司</w:t>
      </w:r>
      <w:r>
        <w:rPr>
          <w:rFonts w:hint="eastAsia"/>
          <w:sz w:val="24"/>
          <w:szCs w:val="24"/>
          <w:lang w:val="en-US" w:eastAsia="zh-CN"/>
        </w:rPr>
        <w:t>已于2026年6月中旬</w:t>
      </w:r>
      <w:r>
        <w:rPr>
          <w:rFonts w:hint="default"/>
          <w:sz w:val="24"/>
          <w:szCs w:val="24"/>
          <w:lang w:val="en-US" w:eastAsia="zh-CN"/>
        </w:rPr>
        <w:t>港股A</w:t>
      </w:r>
      <w:r>
        <w:rPr>
          <w:rFonts w:hint="eastAsia"/>
          <w:sz w:val="24"/>
          <w:szCs w:val="24"/>
          <w:lang w:val="en-US" w:eastAsia="zh-CN"/>
        </w:rPr>
        <w:t>1密交</w:t>
      </w:r>
      <w:r>
        <w:rPr>
          <w:rFonts w:hint="default"/>
          <w:sz w:val="24"/>
          <w:szCs w:val="24"/>
          <w:lang w:val="en-US" w:eastAsia="zh-CN"/>
        </w:rPr>
        <w:t>，退出路径清晰。</w:t>
      </w:r>
    </w:p>
    <w:p w14:paraId="7D84E5D7">
      <w:pPr>
        <w:pStyle w:val="85"/>
        <w:bidi w:val="0"/>
        <w:rPr>
          <w:rFonts w:hint="eastAsia"/>
        </w:rPr>
      </w:pPr>
      <w:r>
        <w:rPr>
          <w:rFonts w:hint="eastAsia"/>
          <w:lang w:val="en-US" w:eastAsia="zh-Hans"/>
        </w:rPr>
        <w:t>公司股权结构</w:t>
      </w:r>
    </w:p>
    <w:p w14:paraId="15E95EBD">
      <w:pPr>
        <w:pStyle w:val="108"/>
        <w:numPr>
          <w:ilvl w:val="0"/>
          <w:numId w:val="0"/>
        </w:numPr>
        <w:spacing w:line="520" w:lineRule="exact"/>
        <w:ind w:firstLine="420" w:firstLineChars="0"/>
        <w:rPr>
          <w:rFonts w:hint="eastAsia" w:ascii="仿宋" w:hAnsi="仿宋" w:eastAsia="仿宋" w:cs="Arial"/>
          <w:color w:val="auto"/>
          <w:kern w:val="0"/>
          <w:sz w:val="24"/>
          <w:szCs w:val="24"/>
          <w:lang w:val="en-US" w:eastAsia="zh-Hans" w:bidi="ar-SA"/>
        </w:rPr>
      </w:pPr>
      <w:r>
        <w:rPr>
          <w:rFonts w:hint="eastAsia" w:ascii="仿宋" w:hAnsi="仿宋" w:eastAsia="仿宋" w:cs="Arial"/>
          <w:color w:val="auto"/>
          <w:kern w:val="0"/>
          <w:sz w:val="24"/>
          <w:szCs w:val="24"/>
          <w:lang w:val="en-US" w:eastAsia="zh-Hans" w:bidi="ar-SA"/>
        </w:rPr>
        <w:t>公司当前股权结构如下：</w:t>
      </w:r>
    </w:p>
    <w:tbl>
      <w:tblPr>
        <w:tblStyle w:val="2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3"/>
        <w:gridCol w:w="2951"/>
        <w:gridCol w:w="2403"/>
        <w:gridCol w:w="2361"/>
      </w:tblGrid>
      <w:tr w14:paraId="5B769634">
        <w:trPr>
          <w:trHeight w:val="454" w:hRule="atLeast"/>
          <w:tblHeader/>
          <w:jc w:val="center"/>
        </w:trPr>
        <w:tc>
          <w:tcPr>
            <w:tcW w:w="477" w:type="pct"/>
            <w:shd w:val="clear" w:color="auto" w:fill="C0C0C0"/>
            <w:vAlign w:val="center"/>
          </w:tcPr>
          <w:p w14:paraId="71C4DBB6">
            <w:pPr>
              <w:adjustRightInd w:val="0"/>
              <w:snapToGrid w:val="0"/>
              <w:jc w:val="center"/>
              <w:rPr>
                <w:rFonts w:eastAsiaTheme="minorEastAsia"/>
                <w:b/>
                <w:szCs w:val="21"/>
                <w:highlight w:val="none"/>
              </w:rPr>
            </w:pPr>
            <w:r>
              <w:rPr>
                <w:rFonts w:eastAsiaTheme="minorEastAsia"/>
                <w:b/>
                <w:szCs w:val="21"/>
                <w:highlight w:val="none"/>
              </w:rPr>
              <w:t>序号</w:t>
            </w:r>
          </w:p>
        </w:tc>
        <w:tc>
          <w:tcPr>
            <w:tcW w:w="1730" w:type="pct"/>
            <w:shd w:val="clear" w:color="auto" w:fill="C0C0C0"/>
            <w:vAlign w:val="center"/>
          </w:tcPr>
          <w:p w14:paraId="4ABB538E">
            <w:pPr>
              <w:adjustRightInd w:val="0"/>
              <w:snapToGrid w:val="0"/>
              <w:jc w:val="center"/>
              <w:rPr>
                <w:rFonts w:eastAsiaTheme="minorEastAsia"/>
                <w:b/>
                <w:szCs w:val="21"/>
                <w:highlight w:val="none"/>
              </w:rPr>
            </w:pPr>
            <w:r>
              <w:rPr>
                <w:rFonts w:eastAsiaTheme="minorEastAsia"/>
                <w:b/>
                <w:szCs w:val="21"/>
                <w:highlight w:val="none"/>
              </w:rPr>
              <w:t>股东姓名/名称</w:t>
            </w:r>
          </w:p>
        </w:tc>
        <w:tc>
          <w:tcPr>
            <w:tcW w:w="1409" w:type="pct"/>
            <w:shd w:val="clear" w:color="auto" w:fill="C0C0C0"/>
            <w:vAlign w:val="center"/>
          </w:tcPr>
          <w:p w14:paraId="37F5AFC9">
            <w:pPr>
              <w:adjustRightInd w:val="0"/>
              <w:snapToGrid w:val="0"/>
              <w:jc w:val="center"/>
              <w:rPr>
                <w:rFonts w:eastAsiaTheme="minorEastAsia"/>
                <w:b/>
                <w:szCs w:val="21"/>
                <w:highlight w:val="none"/>
              </w:rPr>
            </w:pPr>
            <w:r>
              <w:rPr>
                <w:rFonts w:eastAsiaTheme="minorEastAsia"/>
                <w:b/>
                <w:color w:val="000000"/>
                <w:szCs w:val="21"/>
                <w:highlight w:val="none"/>
              </w:rPr>
              <w:t>认缴出资额/人民币元</w:t>
            </w:r>
          </w:p>
        </w:tc>
        <w:tc>
          <w:tcPr>
            <w:tcW w:w="1384" w:type="pct"/>
            <w:shd w:val="clear" w:color="auto" w:fill="C0C0C0"/>
            <w:vAlign w:val="center"/>
          </w:tcPr>
          <w:p w14:paraId="2CDDE562">
            <w:pPr>
              <w:adjustRightInd w:val="0"/>
              <w:snapToGrid w:val="0"/>
              <w:jc w:val="center"/>
              <w:rPr>
                <w:rFonts w:eastAsiaTheme="minorEastAsia"/>
                <w:b/>
                <w:szCs w:val="21"/>
                <w:highlight w:val="none"/>
              </w:rPr>
            </w:pPr>
            <w:r>
              <w:rPr>
                <w:rFonts w:eastAsiaTheme="minorEastAsia"/>
                <w:b/>
                <w:szCs w:val="21"/>
                <w:highlight w:val="none"/>
              </w:rPr>
              <w:t>持股比例</w:t>
            </w:r>
          </w:p>
        </w:tc>
      </w:tr>
      <w:tr w14:paraId="3CDE7DF5">
        <w:trPr>
          <w:trHeight w:val="454" w:hRule="atLeast"/>
          <w:jc w:val="center"/>
        </w:trPr>
        <w:tc>
          <w:tcPr>
            <w:tcW w:w="477" w:type="pct"/>
            <w:vAlign w:val="center"/>
          </w:tcPr>
          <w:p w14:paraId="1CE613D7">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3FE38604">
            <w:pPr>
              <w:adjustRightInd w:val="0"/>
              <w:snapToGrid w:val="0"/>
              <w:jc w:val="center"/>
              <w:rPr>
                <w:rFonts w:eastAsiaTheme="minorEastAsia"/>
                <w:szCs w:val="21"/>
                <w:highlight w:val="none"/>
              </w:rPr>
            </w:pPr>
            <w:r>
              <w:rPr>
                <w:rFonts w:eastAsiaTheme="minorEastAsia"/>
                <w:szCs w:val="21"/>
                <w:highlight w:val="none"/>
              </w:rPr>
              <w:t>曹鹏</w:t>
            </w:r>
          </w:p>
        </w:tc>
        <w:tc>
          <w:tcPr>
            <w:tcW w:w="1409" w:type="pct"/>
            <w:vAlign w:val="center"/>
          </w:tcPr>
          <w:p w14:paraId="43B92B46">
            <w:pPr>
              <w:adjustRightInd w:val="0"/>
              <w:snapToGrid w:val="0"/>
              <w:jc w:val="right"/>
              <w:rPr>
                <w:szCs w:val="21"/>
                <w:highlight w:val="none"/>
              </w:rPr>
            </w:pPr>
            <w:r>
              <w:rPr>
                <w:color w:val="000000"/>
                <w:sz w:val="22"/>
                <w:szCs w:val="22"/>
                <w:highlight w:val="none"/>
              </w:rPr>
              <w:t>3,889,446</w:t>
            </w:r>
          </w:p>
        </w:tc>
        <w:tc>
          <w:tcPr>
            <w:tcW w:w="1384" w:type="pct"/>
            <w:vAlign w:val="center"/>
          </w:tcPr>
          <w:p w14:paraId="4708DB8C">
            <w:pPr>
              <w:adjustRightInd w:val="0"/>
              <w:snapToGrid w:val="0"/>
              <w:jc w:val="right"/>
              <w:rPr>
                <w:highlight w:val="none"/>
              </w:rPr>
            </w:pPr>
            <w:r>
              <w:rPr>
                <w:color w:val="000000"/>
                <w:sz w:val="22"/>
                <w:szCs w:val="22"/>
                <w:highlight w:val="none"/>
              </w:rPr>
              <w:t>10.9294%</w:t>
            </w:r>
          </w:p>
        </w:tc>
      </w:tr>
      <w:tr w14:paraId="27BFBD16">
        <w:trPr>
          <w:trHeight w:val="454" w:hRule="atLeast"/>
          <w:jc w:val="center"/>
        </w:trPr>
        <w:tc>
          <w:tcPr>
            <w:tcW w:w="477" w:type="pct"/>
            <w:vAlign w:val="center"/>
          </w:tcPr>
          <w:p w14:paraId="7A55F8D6">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5B221E18">
            <w:pPr>
              <w:adjustRightInd w:val="0"/>
              <w:snapToGrid w:val="0"/>
              <w:jc w:val="center"/>
              <w:rPr>
                <w:rFonts w:eastAsiaTheme="minorEastAsia"/>
                <w:szCs w:val="21"/>
                <w:highlight w:val="none"/>
              </w:rPr>
            </w:pPr>
            <w:r>
              <w:rPr>
                <w:rFonts w:eastAsiaTheme="minorEastAsia"/>
                <w:szCs w:val="21"/>
                <w:highlight w:val="none"/>
              </w:rPr>
              <w:t>杭州佳诺智光企业管理合伙企业（有限合伙）</w:t>
            </w:r>
          </w:p>
        </w:tc>
        <w:tc>
          <w:tcPr>
            <w:tcW w:w="1409" w:type="pct"/>
            <w:vAlign w:val="center"/>
          </w:tcPr>
          <w:p w14:paraId="5854AA91">
            <w:pPr>
              <w:adjustRightInd w:val="0"/>
              <w:snapToGrid w:val="0"/>
              <w:jc w:val="right"/>
              <w:rPr>
                <w:szCs w:val="21"/>
                <w:highlight w:val="none"/>
              </w:rPr>
            </w:pPr>
            <w:r>
              <w:rPr>
                <w:color w:val="000000"/>
                <w:sz w:val="22"/>
                <w:szCs w:val="22"/>
                <w:highlight w:val="none"/>
              </w:rPr>
              <w:t>3,415,800</w:t>
            </w:r>
          </w:p>
        </w:tc>
        <w:tc>
          <w:tcPr>
            <w:tcW w:w="1384" w:type="pct"/>
            <w:vAlign w:val="center"/>
          </w:tcPr>
          <w:p w14:paraId="1A6FC6C8">
            <w:pPr>
              <w:adjustRightInd w:val="0"/>
              <w:snapToGrid w:val="0"/>
              <w:jc w:val="right"/>
              <w:rPr>
                <w:highlight w:val="none"/>
              </w:rPr>
            </w:pPr>
            <w:r>
              <w:rPr>
                <w:color w:val="000000"/>
                <w:sz w:val="22"/>
                <w:szCs w:val="22"/>
                <w:highlight w:val="none"/>
              </w:rPr>
              <w:t>9.5984%</w:t>
            </w:r>
          </w:p>
        </w:tc>
      </w:tr>
      <w:tr w14:paraId="0F540AA8">
        <w:trPr>
          <w:trHeight w:val="454" w:hRule="atLeast"/>
          <w:jc w:val="center"/>
        </w:trPr>
        <w:tc>
          <w:tcPr>
            <w:tcW w:w="477" w:type="pct"/>
            <w:vAlign w:val="center"/>
          </w:tcPr>
          <w:p w14:paraId="50538ECB">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5453A4E">
            <w:pPr>
              <w:adjustRightInd w:val="0"/>
              <w:snapToGrid w:val="0"/>
              <w:jc w:val="center"/>
              <w:rPr>
                <w:rFonts w:eastAsiaTheme="minorEastAsia"/>
                <w:szCs w:val="21"/>
                <w:highlight w:val="none"/>
              </w:rPr>
            </w:pPr>
            <w:r>
              <w:rPr>
                <w:rFonts w:eastAsiaTheme="minorEastAsia"/>
                <w:szCs w:val="21"/>
                <w:highlight w:val="none"/>
              </w:rPr>
              <w:t>杭州海创光影企业管理合伙企业（有限合伙）</w:t>
            </w:r>
          </w:p>
        </w:tc>
        <w:tc>
          <w:tcPr>
            <w:tcW w:w="1409" w:type="pct"/>
            <w:vAlign w:val="center"/>
          </w:tcPr>
          <w:p w14:paraId="25141075">
            <w:pPr>
              <w:adjustRightInd w:val="0"/>
              <w:snapToGrid w:val="0"/>
              <w:jc w:val="right"/>
              <w:rPr>
                <w:szCs w:val="21"/>
                <w:highlight w:val="none"/>
              </w:rPr>
            </w:pPr>
            <w:r>
              <w:rPr>
                <w:color w:val="000000"/>
                <w:sz w:val="22"/>
                <w:szCs w:val="22"/>
                <w:highlight w:val="none"/>
              </w:rPr>
              <w:t>2,263,416</w:t>
            </w:r>
          </w:p>
        </w:tc>
        <w:tc>
          <w:tcPr>
            <w:tcW w:w="1384" w:type="pct"/>
            <w:vAlign w:val="center"/>
          </w:tcPr>
          <w:p w14:paraId="11DC5B44">
            <w:pPr>
              <w:adjustRightInd w:val="0"/>
              <w:snapToGrid w:val="0"/>
              <w:jc w:val="right"/>
              <w:rPr>
                <w:highlight w:val="none"/>
              </w:rPr>
            </w:pPr>
            <w:r>
              <w:rPr>
                <w:color w:val="000000"/>
                <w:sz w:val="22"/>
                <w:szCs w:val="22"/>
                <w:highlight w:val="none"/>
              </w:rPr>
              <w:t>6.3603%</w:t>
            </w:r>
          </w:p>
        </w:tc>
      </w:tr>
      <w:tr w14:paraId="08692E14">
        <w:trPr>
          <w:trHeight w:val="454" w:hRule="atLeast"/>
          <w:jc w:val="center"/>
        </w:trPr>
        <w:tc>
          <w:tcPr>
            <w:tcW w:w="477" w:type="pct"/>
            <w:vAlign w:val="center"/>
          </w:tcPr>
          <w:p w14:paraId="6B7D19D4">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5577FAD2">
            <w:pPr>
              <w:adjustRightInd w:val="0"/>
              <w:snapToGrid w:val="0"/>
              <w:jc w:val="center"/>
              <w:rPr>
                <w:rFonts w:eastAsiaTheme="minorEastAsia"/>
                <w:szCs w:val="21"/>
                <w:highlight w:val="none"/>
              </w:rPr>
            </w:pPr>
            <w:r>
              <w:rPr>
                <w:rFonts w:eastAsiaTheme="minorEastAsia"/>
                <w:kern w:val="1"/>
                <w:szCs w:val="21"/>
                <w:highlight w:val="none"/>
              </w:rPr>
              <w:t>杭州锦嵘企业管理合伙企业（有限合伙）</w:t>
            </w:r>
          </w:p>
        </w:tc>
        <w:tc>
          <w:tcPr>
            <w:tcW w:w="1409" w:type="pct"/>
            <w:vAlign w:val="center"/>
          </w:tcPr>
          <w:p w14:paraId="3AFCB763">
            <w:pPr>
              <w:adjustRightInd w:val="0"/>
              <w:snapToGrid w:val="0"/>
              <w:jc w:val="right"/>
              <w:rPr>
                <w:szCs w:val="21"/>
                <w:highlight w:val="none"/>
              </w:rPr>
            </w:pPr>
            <w:r>
              <w:rPr>
                <w:color w:val="000000"/>
                <w:sz w:val="22"/>
                <w:szCs w:val="22"/>
                <w:highlight w:val="none"/>
              </w:rPr>
              <w:t>2,146,163</w:t>
            </w:r>
          </w:p>
        </w:tc>
        <w:tc>
          <w:tcPr>
            <w:tcW w:w="1384" w:type="pct"/>
            <w:vAlign w:val="center"/>
          </w:tcPr>
          <w:p w14:paraId="152342AE">
            <w:pPr>
              <w:adjustRightInd w:val="0"/>
              <w:snapToGrid w:val="0"/>
              <w:jc w:val="right"/>
              <w:rPr>
                <w:highlight w:val="none"/>
              </w:rPr>
            </w:pPr>
            <w:r>
              <w:rPr>
                <w:color w:val="000000"/>
                <w:sz w:val="22"/>
                <w:szCs w:val="22"/>
                <w:highlight w:val="none"/>
              </w:rPr>
              <w:t>6.0308%</w:t>
            </w:r>
          </w:p>
        </w:tc>
      </w:tr>
      <w:tr w14:paraId="5251FF87">
        <w:trPr>
          <w:trHeight w:val="454" w:hRule="atLeast"/>
          <w:jc w:val="center"/>
        </w:trPr>
        <w:tc>
          <w:tcPr>
            <w:tcW w:w="477" w:type="pct"/>
            <w:vAlign w:val="center"/>
          </w:tcPr>
          <w:p w14:paraId="653377CB">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B8B0F69">
            <w:pPr>
              <w:adjustRightInd w:val="0"/>
              <w:snapToGrid w:val="0"/>
              <w:jc w:val="center"/>
              <w:rPr>
                <w:rFonts w:eastAsiaTheme="minorEastAsia"/>
                <w:szCs w:val="21"/>
                <w:highlight w:val="none"/>
              </w:rPr>
            </w:pPr>
            <w:r>
              <w:rPr>
                <w:rFonts w:eastAsiaTheme="minorEastAsia"/>
                <w:kern w:val="1"/>
                <w:szCs w:val="21"/>
                <w:highlight w:val="none"/>
              </w:rPr>
              <w:t>杭州裕荣惠华企业管理合伙企业（有限合伙）</w:t>
            </w:r>
          </w:p>
        </w:tc>
        <w:tc>
          <w:tcPr>
            <w:tcW w:w="1409" w:type="pct"/>
            <w:vAlign w:val="center"/>
          </w:tcPr>
          <w:p w14:paraId="07762909">
            <w:pPr>
              <w:adjustRightInd w:val="0"/>
              <w:snapToGrid w:val="0"/>
              <w:jc w:val="right"/>
              <w:rPr>
                <w:szCs w:val="21"/>
                <w:highlight w:val="none"/>
              </w:rPr>
            </w:pPr>
            <w:r>
              <w:rPr>
                <w:color w:val="000000"/>
                <w:sz w:val="22"/>
                <w:szCs w:val="22"/>
                <w:highlight w:val="none"/>
              </w:rPr>
              <w:t>880,000</w:t>
            </w:r>
          </w:p>
        </w:tc>
        <w:tc>
          <w:tcPr>
            <w:tcW w:w="1384" w:type="pct"/>
            <w:vAlign w:val="center"/>
          </w:tcPr>
          <w:p w14:paraId="4E6EFAE9">
            <w:pPr>
              <w:adjustRightInd w:val="0"/>
              <w:snapToGrid w:val="0"/>
              <w:jc w:val="right"/>
              <w:rPr>
                <w:highlight w:val="none"/>
              </w:rPr>
            </w:pPr>
            <w:r>
              <w:rPr>
                <w:color w:val="000000"/>
                <w:sz w:val="22"/>
                <w:szCs w:val="22"/>
                <w:highlight w:val="none"/>
              </w:rPr>
              <w:t>2.4728%</w:t>
            </w:r>
          </w:p>
        </w:tc>
      </w:tr>
      <w:tr w14:paraId="4529A549">
        <w:trPr>
          <w:trHeight w:val="454" w:hRule="atLeast"/>
          <w:jc w:val="center"/>
        </w:trPr>
        <w:tc>
          <w:tcPr>
            <w:tcW w:w="477" w:type="pct"/>
            <w:vAlign w:val="center"/>
          </w:tcPr>
          <w:p w14:paraId="16088F05">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36A950CE">
            <w:pPr>
              <w:adjustRightInd w:val="0"/>
              <w:snapToGrid w:val="0"/>
              <w:jc w:val="center"/>
              <w:rPr>
                <w:rFonts w:eastAsiaTheme="minorEastAsia"/>
                <w:kern w:val="1"/>
                <w:szCs w:val="21"/>
                <w:highlight w:val="none"/>
              </w:rPr>
            </w:pPr>
            <w:r>
              <w:rPr>
                <w:rFonts w:eastAsiaTheme="minorEastAsia"/>
                <w:szCs w:val="21"/>
                <w:highlight w:val="none"/>
              </w:rPr>
              <w:t>杭州锦逸融光企业管理合伙企业（有限合伙）</w:t>
            </w:r>
          </w:p>
        </w:tc>
        <w:tc>
          <w:tcPr>
            <w:tcW w:w="1409" w:type="pct"/>
            <w:vAlign w:val="center"/>
          </w:tcPr>
          <w:p w14:paraId="793486BA">
            <w:pPr>
              <w:adjustRightInd w:val="0"/>
              <w:snapToGrid w:val="0"/>
              <w:jc w:val="right"/>
              <w:rPr>
                <w:szCs w:val="21"/>
                <w:highlight w:val="none"/>
              </w:rPr>
            </w:pPr>
            <w:r>
              <w:rPr>
                <w:color w:val="000000"/>
                <w:sz w:val="22"/>
                <w:szCs w:val="22"/>
                <w:highlight w:val="none"/>
              </w:rPr>
              <w:t>558,300</w:t>
            </w:r>
          </w:p>
        </w:tc>
        <w:tc>
          <w:tcPr>
            <w:tcW w:w="1384" w:type="pct"/>
            <w:vAlign w:val="center"/>
          </w:tcPr>
          <w:p w14:paraId="5AB43BA3">
            <w:pPr>
              <w:adjustRightInd w:val="0"/>
              <w:snapToGrid w:val="0"/>
              <w:jc w:val="right"/>
              <w:rPr>
                <w:highlight w:val="none"/>
              </w:rPr>
            </w:pPr>
            <w:r>
              <w:rPr>
                <w:color w:val="000000"/>
                <w:sz w:val="22"/>
                <w:szCs w:val="22"/>
                <w:highlight w:val="none"/>
              </w:rPr>
              <w:t>1.5688%</w:t>
            </w:r>
          </w:p>
        </w:tc>
      </w:tr>
      <w:tr w14:paraId="0CB74F85">
        <w:trPr>
          <w:trHeight w:val="454" w:hRule="atLeast"/>
          <w:jc w:val="center"/>
        </w:trPr>
        <w:tc>
          <w:tcPr>
            <w:tcW w:w="477" w:type="pct"/>
            <w:vAlign w:val="center"/>
          </w:tcPr>
          <w:p w14:paraId="1E9FC706">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0FC14BA">
            <w:pPr>
              <w:adjustRightInd w:val="0"/>
              <w:snapToGrid w:val="0"/>
              <w:jc w:val="center"/>
              <w:rPr>
                <w:rFonts w:eastAsiaTheme="minorEastAsia"/>
                <w:szCs w:val="21"/>
                <w:highlight w:val="none"/>
              </w:rPr>
            </w:pPr>
            <w:r>
              <w:rPr>
                <w:rFonts w:eastAsiaTheme="minorEastAsia"/>
                <w:szCs w:val="21"/>
                <w:highlight w:val="none"/>
              </w:rPr>
              <w:t>杭州启明融晶股权投资合伙企业（有限合伙）</w:t>
            </w:r>
          </w:p>
        </w:tc>
        <w:tc>
          <w:tcPr>
            <w:tcW w:w="1409" w:type="pct"/>
            <w:vAlign w:val="center"/>
          </w:tcPr>
          <w:p w14:paraId="15F637F2">
            <w:pPr>
              <w:adjustRightInd w:val="0"/>
              <w:snapToGrid w:val="0"/>
              <w:jc w:val="right"/>
              <w:rPr>
                <w:szCs w:val="21"/>
                <w:highlight w:val="none"/>
              </w:rPr>
            </w:pPr>
            <w:r>
              <w:rPr>
                <w:color w:val="000000"/>
                <w:sz w:val="22"/>
                <w:szCs w:val="22"/>
                <w:highlight w:val="none"/>
              </w:rPr>
              <w:t>2,449,143</w:t>
            </w:r>
          </w:p>
        </w:tc>
        <w:tc>
          <w:tcPr>
            <w:tcW w:w="1384" w:type="pct"/>
            <w:vAlign w:val="center"/>
          </w:tcPr>
          <w:p w14:paraId="5F48A598">
            <w:pPr>
              <w:adjustRightInd w:val="0"/>
              <w:snapToGrid w:val="0"/>
              <w:jc w:val="right"/>
              <w:rPr>
                <w:highlight w:val="none"/>
              </w:rPr>
            </w:pPr>
            <w:r>
              <w:rPr>
                <w:color w:val="000000"/>
                <w:sz w:val="22"/>
                <w:szCs w:val="22"/>
                <w:highlight w:val="none"/>
              </w:rPr>
              <w:t>6.8821%</w:t>
            </w:r>
          </w:p>
        </w:tc>
      </w:tr>
      <w:tr w14:paraId="313FEDDF">
        <w:trPr>
          <w:trHeight w:val="454" w:hRule="atLeast"/>
          <w:jc w:val="center"/>
        </w:trPr>
        <w:tc>
          <w:tcPr>
            <w:tcW w:w="477" w:type="pct"/>
            <w:vAlign w:val="center"/>
          </w:tcPr>
          <w:p w14:paraId="4996F97D">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5C80AE62">
            <w:pPr>
              <w:adjustRightInd w:val="0"/>
              <w:snapToGrid w:val="0"/>
              <w:jc w:val="center"/>
              <w:rPr>
                <w:rFonts w:eastAsiaTheme="minorEastAsia"/>
                <w:szCs w:val="21"/>
                <w:highlight w:val="none"/>
              </w:rPr>
            </w:pPr>
            <w:r>
              <w:rPr>
                <w:rFonts w:eastAsiaTheme="minorEastAsia"/>
                <w:szCs w:val="21"/>
                <w:highlight w:val="none"/>
              </w:rPr>
              <w:t>苏州启明融乾股权投资合伙企业（有限合伙）</w:t>
            </w:r>
          </w:p>
        </w:tc>
        <w:tc>
          <w:tcPr>
            <w:tcW w:w="1409" w:type="pct"/>
            <w:vAlign w:val="center"/>
          </w:tcPr>
          <w:p w14:paraId="301AC9F5">
            <w:pPr>
              <w:adjustRightInd w:val="0"/>
              <w:snapToGrid w:val="0"/>
              <w:jc w:val="right"/>
              <w:rPr>
                <w:szCs w:val="21"/>
                <w:highlight w:val="none"/>
              </w:rPr>
            </w:pPr>
            <w:r>
              <w:rPr>
                <w:color w:val="000000"/>
                <w:sz w:val="22"/>
                <w:szCs w:val="22"/>
                <w:highlight w:val="none"/>
              </w:rPr>
              <w:t>1,268,233</w:t>
            </w:r>
          </w:p>
        </w:tc>
        <w:tc>
          <w:tcPr>
            <w:tcW w:w="1384" w:type="pct"/>
            <w:vAlign w:val="center"/>
          </w:tcPr>
          <w:p w14:paraId="4D267080">
            <w:pPr>
              <w:adjustRightInd w:val="0"/>
              <w:snapToGrid w:val="0"/>
              <w:jc w:val="right"/>
              <w:rPr>
                <w:highlight w:val="none"/>
              </w:rPr>
            </w:pPr>
            <w:r>
              <w:rPr>
                <w:color w:val="000000"/>
                <w:sz w:val="22"/>
                <w:szCs w:val="22"/>
                <w:highlight w:val="none"/>
              </w:rPr>
              <w:t>3.5638%</w:t>
            </w:r>
          </w:p>
        </w:tc>
      </w:tr>
      <w:tr w14:paraId="324146F7">
        <w:trPr>
          <w:trHeight w:val="454" w:hRule="atLeast"/>
          <w:jc w:val="center"/>
        </w:trPr>
        <w:tc>
          <w:tcPr>
            <w:tcW w:w="477" w:type="pct"/>
            <w:vAlign w:val="center"/>
          </w:tcPr>
          <w:p w14:paraId="34740389">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5D4D38F">
            <w:pPr>
              <w:adjustRightInd w:val="0"/>
              <w:snapToGrid w:val="0"/>
              <w:jc w:val="center"/>
              <w:rPr>
                <w:rFonts w:eastAsiaTheme="minorEastAsia"/>
                <w:kern w:val="1"/>
                <w:szCs w:val="21"/>
                <w:highlight w:val="none"/>
              </w:rPr>
            </w:pPr>
            <w:r>
              <w:rPr>
                <w:rFonts w:eastAsiaTheme="minorEastAsia"/>
                <w:szCs w:val="21"/>
                <w:highlight w:val="none"/>
              </w:rPr>
              <w:t>杭州海邦数瑞股权投资合伙企业（有限合伙）</w:t>
            </w:r>
          </w:p>
        </w:tc>
        <w:tc>
          <w:tcPr>
            <w:tcW w:w="1409" w:type="pct"/>
            <w:vAlign w:val="center"/>
          </w:tcPr>
          <w:p w14:paraId="6E62CC26">
            <w:pPr>
              <w:adjustRightInd w:val="0"/>
              <w:snapToGrid w:val="0"/>
              <w:jc w:val="right"/>
              <w:rPr>
                <w:szCs w:val="21"/>
                <w:highlight w:val="none"/>
              </w:rPr>
            </w:pPr>
            <w:r>
              <w:rPr>
                <w:color w:val="000000"/>
                <w:sz w:val="22"/>
                <w:szCs w:val="22"/>
                <w:highlight w:val="none"/>
              </w:rPr>
              <w:t>1,286,100</w:t>
            </w:r>
          </w:p>
        </w:tc>
        <w:tc>
          <w:tcPr>
            <w:tcW w:w="1384" w:type="pct"/>
            <w:vAlign w:val="center"/>
          </w:tcPr>
          <w:p w14:paraId="3769F91A">
            <w:pPr>
              <w:adjustRightInd w:val="0"/>
              <w:snapToGrid w:val="0"/>
              <w:jc w:val="right"/>
              <w:rPr>
                <w:highlight w:val="none"/>
              </w:rPr>
            </w:pPr>
            <w:r>
              <w:rPr>
                <w:color w:val="000000"/>
                <w:sz w:val="22"/>
                <w:szCs w:val="22"/>
                <w:highlight w:val="none"/>
              </w:rPr>
              <w:t>3.6140%</w:t>
            </w:r>
          </w:p>
        </w:tc>
      </w:tr>
      <w:tr w14:paraId="018EE3F3">
        <w:trPr>
          <w:trHeight w:val="454" w:hRule="atLeast"/>
          <w:jc w:val="center"/>
        </w:trPr>
        <w:tc>
          <w:tcPr>
            <w:tcW w:w="477" w:type="pct"/>
            <w:vAlign w:val="center"/>
          </w:tcPr>
          <w:p w14:paraId="1653F9FE">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61405EE">
            <w:pPr>
              <w:adjustRightInd w:val="0"/>
              <w:snapToGrid w:val="0"/>
              <w:jc w:val="center"/>
              <w:rPr>
                <w:rFonts w:eastAsiaTheme="minorEastAsia"/>
                <w:kern w:val="1"/>
                <w:szCs w:val="21"/>
                <w:highlight w:val="none"/>
              </w:rPr>
            </w:pPr>
            <w:r>
              <w:rPr>
                <w:rFonts w:eastAsiaTheme="minorEastAsia"/>
                <w:szCs w:val="21"/>
                <w:highlight w:val="none"/>
              </w:rPr>
              <w:t>杭州海邦羿谷创业投资合伙企业（有限合伙）</w:t>
            </w:r>
          </w:p>
        </w:tc>
        <w:tc>
          <w:tcPr>
            <w:tcW w:w="1409" w:type="pct"/>
            <w:vAlign w:val="center"/>
          </w:tcPr>
          <w:p w14:paraId="636D9BF4">
            <w:pPr>
              <w:adjustRightInd w:val="0"/>
              <w:snapToGrid w:val="0"/>
              <w:jc w:val="right"/>
              <w:rPr>
                <w:szCs w:val="21"/>
                <w:highlight w:val="none"/>
              </w:rPr>
            </w:pPr>
            <w:r>
              <w:rPr>
                <w:color w:val="000000"/>
                <w:sz w:val="22"/>
                <w:szCs w:val="22"/>
                <w:highlight w:val="none"/>
              </w:rPr>
              <w:t>609,700</w:t>
            </w:r>
          </w:p>
        </w:tc>
        <w:tc>
          <w:tcPr>
            <w:tcW w:w="1384" w:type="pct"/>
            <w:vAlign w:val="center"/>
          </w:tcPr>
          <w:p w14:paraId="24A03554">
            <w:pPr>
              <w:adjustRightInd w:val="0"/>
              <w:snapToGrid w:val="0"/>
              <w:jc w:val="right"/>
              <w:rPr>
                <w:highlight w:val="none"/>
              </w:rPr>
            </w:pPr>
            <w:r>
              <w:rPr>
                <w:color w:val="000000"/>
                <w:sz w:val="22"/>
                <w:szCs w:val="22"/>
                <w:highlight w:val="none"/>
              </w:rPr>
              <w:t>1.7133%</w:t>
            </w:r>
          </w:p>
        </w:tc>
      </w:tr>
      <w:tr w14:paraId="534C54A5">
        <w:trPr>
          <w:trHeight w:val="454" w:hRule="atLeast"/>
          <w:jc w:val="center"/>
        </w:trPr>
        <w:tc>
          <w:tcPr>
            <w:tcW w:w="477" w:type="pct"/>
            <w:vAlign w:val="center"/>
          </w:tcPr>
          <w:p w14:paraId="5A2C0B4E">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22E6AEE0">
            <w:pPr>
              <w:adjustRightInd w:val="0"/>
              <w:snapToGrid w:val="0"/>
              <w:jc w:val="center"/>
              <w:rPr>
                <w:rFonts w:eastAsiaTheme="minorEastAsia"/>
                <w:szCs w:val="21"/>
                <w:highlight w:val="none"/>
              </w:rPr>
            </w:pPr>
            <w:r>
              <w:rPr>
                <w:rFonts w:eastAsiaTheme="minorEastAsia"/>
                <w:szCs w:val="21"/>
                <w:highlight w:val="none"/>
              </w:rPr>
              <w:t>杭州海邦沣华数智股权投资合伙企业（有限合伙）</w:t>
            </w:r>
          </w:p>
        </w:tc>
        <w:tc>
          <w:tcPr>
            <w:tcW w:w="1409" w:type="pct"/>
            <w:vAlign w:val="center"/>
          </w:tcPr>
          <w:p w14:paraId="3E66D6E0">
            <w:pPr>
              <w:adjustRightInd w:val="0"/>
              <w:snapToGrid w:val="0"/>
              <w:jc w:val="right"/>
              <w:rPr>
                <w:szCs w:val="21"/>
                <w:highlight w:val="none"/>
              </w:rPr>
            </w:pPr>
            <w:r>
              <w:rPr>
                <w:color w:val="000000"/>
                <w:sz w:val="22"/>
                <w:szCs w:val="22"/>
                <w:highlight w:val="none"/>
              </w:rPr>
              <w:t>515,900</w:t>
            </w:r>
          </w:p>
        </w:tc>
        <w:tc>
          <w:tcPr>
            <w:tcW w:w="1384" w:type="pct"/>
            <w:vAlign w:val="center"/>
          </w:tcPr>
          <w:p w14:paraId="272C6511">
            <w:pPr>
              <w:adjustRightInd w:val="0"/>
              <w:snapToGrid w:val="0"/>
              <w:jc w:val="right"/>
              <w:rPr>
                <w:highlight w:val="none"/>
              </w:rPr>
            </w:pPr>
            <w:r>
              <w:rPr>
                <w:color w:val="000000"/>
                <w:sz w:val="22"/>
                <w:szCs w:val="22"/>
                <w:highlight w:val="none"/>
              </w:rPr>
              <w:t>1.4497%</w:t>
            </w:r>
          </w:p>
        </w:tc>
      </w:tr>
      <w:tr w14:paraId="555BA0F5">
        <w:trPr>
          <w:trHeight w:val="454" w:hRule="atLeast"/>
          <w:jc w:val="center"/>
        </w:trPr>
        <w:tc>
          <w:tcPr>
            <w:tcW w:w="477" w:type="pct"/>
            <w:vAlign w:val="center"/>
          </w:tcPr>
          <w:p w14:paraId="67CC6833">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350E47D6">
            <w:pPr>
              <w:adjustRightInd w:val="0"/>
              <w:snapToGrid w:val="0"/>
              <w:jc w:val="center"/>
              <w:rPr>
                <w:rFonts w:eastAsiaTheme="minorEastAsia"/>
                <w:szCs w:val="21"/>
                <w:highlight w:val="none"/>
              </w:rPr>
            </w:pPr>
            <w:r>
              <w:rPr>
                <w:rFonts w:eastAsiaTheme="minorEastAsia"/>
                <w:szCs w:val="21"/>
                <w:highlight w:val="none"/>
              </w:rPr>
              <w:t>张丁</w:t>
            </w:r>
          </w:p>
        </w:tc>
        <w:tc>
          <w:tcPr>
            <w:tcW w:w="1409" w:type="pct"/>
            <w:vAlign w:val="center"/>
          </w:tcPr>
          <w:p w14:paraId="78C7EF89">
            <w:pPr>
              <w:adjustRightInd w:val="0"/>
              <w:snapToGrid w:val="0"/>
              <w:jc w:val="right"/>
              <w:rPr>
                <w:szCs w:val="21"/>
                <w:highlight w:val="none"/>
              </w:rPr>
            </w:pPr>
            <w:r>
              <w:rPr>
                <w:color w:val="000000"/>
                <w:sz w:val="22"/>
                <w:szCs w:val="22"/>
                <w:highlight w:val="none"/>
              </w:rPr>
              <w:t>519,192</w:t>
            </w:r>
          </w:p>
        </w:tc>
        <w:tc>
          <w:tcPr>
            <w:tcW w:w="1384" w:type="pct"/>
            <w:vAlign w:val="center"/>
          </w:tcPr>
          <w:p w14:paraId="0EB47C77">
            <w:pPr>
              <w:adjustRightInd w:val="0"/>
              <w:snapToGrid w:val="0"/>
              <w:jc w:val="right"/>
              <w:rPr>
                <w:highlight w:val="none"/>
              </w:rPr>
            </w:pPr>
            <w:r>
              <w:rPr>
                <w:color w:val="000000"/>
                <w:sz w:val="22"/>
                <w:szCs w:val="22"/>
                <w:highlight w:val="none"/>
              </w:rPr>
              <w:t>1.4589%</w:t>
            </w:r>
          </w:p>
        </w:tc>
      </w:tr>
      <w:tr w14:paraId="61EB2819">
        <w:trPr>
          <w:trHeight w:val="454" w:hRule="atLeast"/>
          <w:jc w:val="center"/>
        </w:trPr>
        <w:tc>
          <w:tcPr>
            <w:tcW w:w="477" w:type="pct"/>
            <w:vAlign w:val="center"/>
          </w:tcPr>
          <w:p w14:paraId="7EDFEB37">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B49CD5D">
            <w:pPr>
              <w:adjustRightInd w:val="0"/>
              <w:snapToGrid w:val="0"/>
              <w:jc w:val="center"/>
              <w:rPr>
                <w:rFonts w:eastAsiaTheme="minorEastAsia"/>
                <w:szCs w:val="21"/>
                <w:highlight w:val="none"/>
              </w:rPr>
            </w:pPr>
            <w:r>
              <w:rPr>
                <w:rFonts w:eastAsiaTheme="minorEastAsia"/>
                <w:szCs w:val="21"/>
                <w:highlight w:val="none"/>
              </w:rPr>
              <w:t>苏州辰知德投资合伙企业（有限合伙）</w:t>
            </w:r>
          </w:p>
        </w:tc>
        <w:tc>
          <w:tcPr>
            <w:tcW w:w="1409" w:type="pct"/>
            <w:vAlign w:val="center"/>
          </w:tcPr>
          <w:p w14:paraId="52013955">
            <w:pPr>
              <w:adjustRightInd w:val="0"/>
              <w:snapToGrid w:val="0"/>
              <w:jc w:val="right"/>
              <w:rPr>
                <w:szCs w:val="21"/>
                <w:highlight w:val="none"/>
              </w:rPr>
            </w:pPr>
            <w:r>
              <w:rPr>
                <w:color w:val="000000"/>
                <w:sz w:val="22"/>
                <w:szCs w:val="22"/>
                <w:highlight w:val="none"/>
              </w:rPr>
              <w:t>1,912,011</w:t>
            </w:r>
          </w:p>
        </w:tc>
        <w:tc>
          <w:tcPr>
            <w:tcW w:w="1384" w:type="pct"/>
            <w:vAlign w:val="center"/>
          </w:tcPr>
          <w:p w14:paraId="1B946B43">
            <w:pPr>
              <w:adjustRightInd w:val="0"/>
              <w:snapToGrid w:val="0"/>
              <w:jc w:val="right"/>
              <w:rPr>
                <w:highlight w:val="none"/>
              </w:rPr>
            </w:pPr>
            <w:r>
              <w:rPr>
                <w:color w:val="000000"/>
                <w:sz w:val="22"/>
                <w:szCs w:val="22"/>
                <w:highlight w:val="none"/>
              </w:rPr>
              <w:t>5.3728%</w:t>
            </w:r>
          </w:p>
        </w:tc>
      </w:tr>
      <w:tr w14:paraId="404258A2">
        <w:trPr>
          <w:trHeight w:val="454" w:hRule="atLeast"/>
          <w:jc w:val="center"/>
        </w:trPr>
        <w:tc>
          <w:tcPr>
            <w:tcW w:w="477" w:type="pct"/>
            <w:vAlign w:val="center"/>
          </w:tcPr>
          <w:p w14:paraId="5916D9EB">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tcPr>
          <w:p w14:paraId="71FEDC6B">
            <w:pPr>
              <w:adjustRightInd w:val="0"/>
              <w:snapToGrid w:val="0"/>
              <w:jc w:val="center"/>
              <w:rPr>
                <w:rFonts w:eastAsiaTheme="minorEastAsia"/>
                <w:szCs w:val="21"/>
                <w:highlight w:val="none"/>
              </w:rPr>
            </w:pPr>
            <w:r>
              <w:rPr>
                <w:highlight w:val="none"/>
              </w:rPr>
              <w:t>苏州辰嘉德股权投资合伙企业（有限合伙）</w:t>
            </w:r>
          </w:p>
        </w:tc>
        <w:tc>
          <w:tcPr>
            <w:tcW w:w="1409" w:type="pct"/>
            <w:vAlign w:val="center"/>
          </w:tcPr>
          <w:p w14:paraId="3E010F34">
            <w:pPr>
              <w:adjustRightInd w:val="0"/>
              <w:snapToGrid w:val="0"/>
              <w:jc w:val="right"/>
              <w:rPr>
                <w:highlight w:val="none"/>
              </w:rPr>
            </w:pPr>
            <w:r>
              <w:rPr>
                <w:color w:val="000000"/>
                <w:sz w:val="22"/>
                <w:szCs w:val="22"/>
                <w:highlight w:val="none"/>
              </w:rPr>
              <w:t>200,942</w:t>
            </w:r>
          </w:p>
        </w:tc>
        <w:tc>
          <w:tcPr>
            <w:tcW w:w="1384" w:type="pct"/>
            <w:vAlign w:val="center"/>
          </w:tcPr>
          <w:p w14:paraId="0BCD19D1">
            <w:pPr>
              <w:adjustRightInd w:val="0"/>
              <w:snapToGrid w:val="0"/>
              <w:jc w:val="right"/>
              <w:rPr>
                <w:highlight w:val="none"/>
              </w:rPr>
            </w:pPr>
            <w:r>
              <w:rPr>
                <w:color w:val="000000"/>
                <w:sz w:val="22"/>
                <w:szCs w:val="22"/>
                <w:highlight w:val="none"/>
              </w:rPr>
              <w:t>0.5647%</w:t>
            </w:r>
          </w:p>
        </w:tc>
      </w:tr>
      <w:tr w14:paraId="77A583F6">
        <w:trPr>
          <w:trHeight w:val="454" w:hRule="atLeast"/>
          <w:jc w:val="center"/>
        </w:trPr>
        <w:tc>
          <w:tcPr>
            <w:tcW w:w="477" w:type="pct"/>
            <w:vAlign w:val="center"/>
          </w:tcPr>
          <w:p w14:paraId="4252ABC9">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7A3E7ED4">
            <w:pPr>
              <w:adjustRightInd w:val="0"/>
              <w:snapToGrid w:val="0"/>
              <w:jc w:val="center"/>
              <w:rPr>
                <w:rFonts w:eastAsiaTheme="minorEastAsia"/>
                <w:szCs w:val="21"/>
                <w:highlight w:val="none"/>
              </w:rPr>
            </w:pPr>
            <w:r>
              <w:rPr>
                <w:rFonts w:eastAsiaTheme="minorEastAsia"/>
                <w:szCs w:val="21"/>
                <w:highlight w:val="none"/>
              </w:rPr>
              <w:t>CDHealthHKIIILimited</w:t>
            </w:r>
          </w:p>
        </w:tc>
        <w:tc>
          <w:tcPr>
            <w:tcW w:w="1409" w:type="pct"/>
            <w:vAlign w:val="center"/>
          </w:tcPr>
          <w:p w14:paraId="24BDC82C">
            <w:pPr>
              <w:adjustRightInd w:val="0"/>
              <w:snapToGrid w:val="0"/>
              <w:jc w:val="right"/>
              <w:rPr>
                <w:szCs w:val="21"/>
                <w:highlight w:val="none"/>
              </w:rPr>
            </w:pPr>
            <w:r>
              <w:rPr>
                <w:color w:val="000000"/>
                <w:sz w:val="22"/>
                <w:szCs w:val="22"/>
                <w:highlight w:val="none"/>
              </w:rPr>
              <w:t>416,799</w:t>
            </w:r>
          </w:p>
        </w:tc>
        <w:tc>
          <w:tcPr>
            <w:tcW w:w="1384" w:type="pct"/>
            <w:vAlign w:val="center"/>
          </w:tcPr>
          <w:p w14:paraId="6C3D9370">
            <w:pPr>
              <w:adjustRightInd w:val="0"/>
              <w:snapToGrid w:val="0"/>
              <w:jc w:val="right"/>
              <w:rPr>
                <w:highlight w:val="none"/>
              </w:rPr>
            </w:pPr>
            <w:r>
              <w:rPr>
                <w:color w:val="000000"/>
                <w:sz w:val="22"/>
                <w:szCs w:val="22"/>
                <w:highlight w:val="none"/>
              </w:rPr>
              <w:t>1.1712%</w:t>
            </w:r>
          </w:p>
        </w:tc>
      </w:tr>
      <w:tr w14:paraId="0E79E7AC">
        <w:trPr>
          <w:trHeight w:val="454" w:hRule="atLeast"/>
          <w:jc w:val="center"/>
        </w:trPr>
        <w:tc>
          <w:tcPr>
            <w:tcW w:w="477" w:type="pct"/>
            <w:vAlign w:val="center"/>
          </w:tcPr>
          <w:p w14:paraId="6C75C937">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C85199C">
            <w:pPr>
              <w:adjustRightInd w:val="0"/>
              <w:snapToGrid w:val="0"/>
              <w:jc w:val="center"/>
              <w:rPr>
                <w:rFonts w:eastAsiaTheme="minorEastAsia"/>
                <w:szCs w:val="21"/>
                <w:highlight w:val="none"/>
              </w:rPr>
            </w:pPr>
            <w:r>
              <w:rPr>
                <w:rFonts w:eastAsiaTheme="minorEastAsia"/>
                <w:szCs w:val="21"/>
                <w:highlight w:val="none"/>
              </w:rPr>
              <w:t>杭州元璟中小企业发展股权投资基金合伙企业（有限合伙）</w:t>
            </w:r>
          </w:p>
        </w:tc>
        <w:tc>
          <w:tcPr>
            <w:tcW w:w="1409" w:type="pct"/>
            <w:vAlign w:val="center"/>
          </w:tcPr>
          <w:p w14:paraId="7CE0191B">
            <w:pPr>
              <w:adjustRightInd w:val="0"/>
              <w:snapToGrid w:val="0"/>
              <w:jc w:val="right"/>
              <w:rPr>
                <w:szCs w:val="21"/>
                <w:highlight w:val="none"/>
              </w:rPr>
            </w:pPr>
            <w:r>
              <w:rPr>
                <w:color w:val="000000"/>
                <w:sz w:val="22"/>
                <w:szCs w:val="22"/>
                <w:highlight w:val="none"/>
              </w:rPr>
              <w:t>944,743</w:t>
            </w:r>
          </w:p>
        </w:tc>
        <w:tc>
          <w:tcPr>
            <w:tcW w:w="1384" w:type="pct"/>
            <w:vAlign w:val="center"/>
          </w:tcPr>
          <w:p w14:paraId="214D4FC6">
            <w:pPr>
              <w:adjustRightInd w:val="0"/>
              <w:snapToGrid w:val="0"/>
              <w:jc w:val="right"/>
              <w:rPr>
                <w:highlight w:val="none"/>
              </w:rPr>
            </w:pPr>
            <w:r>
              <w:rPr>
                <w:color w:val="000000"/>
                <w:sz w:val="22"/>
                <w:szCs w:val="22"/>
                <w:highlight w:val="none"/>
              </w:rPr>
              <w:t>2.6547%</w:t>
            </w:r>
          </w:p>
        </w:tc>
      </w:tr>
      <w:tr w14:paraId="775E5EB8">
        <w:trPr>
          <w:trHeight w:val="454" w:hRule="atLeast"/>
          <w:jc w:val="center"/>
        </w:trPr>
        <w:tc>
          <w:tcPr>
            <w:tcW w:w="477" w:type="pct"/>
            <w:vAlign w:val="center"/>
          </w:tcPr>
          <w:p w14:paraId="28958612">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51F9E09B">
            <w:pPr>
              <w:adjustRightInd w:val="0"/>
              <w:snapToGrid w:val="0"/>
              <w:jc w:val="center"/>
              <w:rPr>
                <w:rFonts w:eastAsiaTheme="minorEastAsia"/>
                <w:szCs w:val="21"/>
                <w:highlight w:val="none"/>
              </w:rPr>
            </w:pPr>
            <w:r>
              <w:rPr>
                <w:rFonts w:eastAsiaTheme="minorEastAsia"/>
                <w:szCs w:val="21"/>
                <w:highlight w:val="none"/>
              </w:rPr>
              <w:t>BrightGalaxyLimited</w:t>
            </w:r>
          </w:p>
        </w:tc>
        <w:tc>
          <w:tcPr>
            <w:tcW w:w="1409" w:type="pct"/>
            <w:vAlign w:val="center"/>
          </w:tcPr>
          <w:p w14:paraId="64D840C9">
            <w:pPr>
              <w:adjustRightInd w:val="0"/>
              <w:snapToGrid w:val="0"/>
              <w:jc w:val="right"/>
              <w:rPr>
                <w:szCs w:val="21"/>
                <w:highlight w:val="none"/>
              </w:rPr>
            </w:pPr>
            <w:r>
              <w:rPr>
                <w:color w:val="000000"/>
                <w:sz w:val="22"/>
                <w:szCs w:val="22"/>
                <w:highlight w:val="none"/>
              </w:rPr>
              <w:t>1,111,463</w:t>
            </w:r>
          </w:p>
        </w:tc>
        <w:tc>
          <w:tcPr>
            <w:tcW w:w="1384" w:type="pct"/>
            <w:vAlign w:val="center"/>
          </w:tcPr>
          <w:p w14:paraId="01F9D7C3">
            <w:pPr>
              <w:adjustRightInd w:val="0"/>
              <w:snapToGrid w:val="0"/>
              <w:jc w:val="right"/>
              <w:rPr>
                <w:highlight w:val="none"/>
              </w:rPr>
            </w:pPr>
            <w:r>
              <w:rPr>
                <w:color w:val="000000"/>
                <w:sz w:val="22"/>
                <w:szCs w:val="22"/>
                <w:highlight w:val="none"/>
              </w:rPr>
              <w:t>3.1232%</w:t>
            </w:r>
          </w:p>
        </w:tc>
      </w:tr>
      <w:tr w14:paraId="40BE7EDC">
        <w:trPr>
          <w:trHeight w:val="454" w:hRule="atLeast"/>
          <w:jc w:val="center"/>
        </w:trPr>
        <w:tc>
          <w:tcPr>
            <w:tcW w:w="477" w:type="pct"/>
            <w:vAlign w:val="center"/>
          </w:tcPr>
          <w:p w14:paraId="3825D09C">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3E5AB4D0">
            <w:pPr>
              <w:adjustRightInd w:val="0"/>
              <w:snapToGrid w:val="0"/>
              <w:jc w:val="center"/>
              <w:rPr>
                <w:rFonts w:eastAsiaTheme="minorEastAsia"/>
                <w:szCs w:val="21"/>
                <w:highlight w:val="none"/>
              </w:rPr>
            </w:pPr>
            <w:r>
              <w:rPr>
                <w:rFonts w:eastAsiaTheme="minorEastAsia"/>
                <w:szCs w:val="21"/>
                <w:highlight w:val="none"/>
              </w:rPr>
              <w:t>浙江余杭转型升级产业投资有限公司</w:t>
            </w:r>
          </w:p>
        </w:tc>
        <w:tc>
          <w:tcPr>
            <w:tcW w:w="1409" w:type="pct"/>
            <w:vAlign w:val="center"/>
          </w:tcPr>
          <w:p w14:paraId="4AB460AB">
            <w:pPr>
              <w:adjustRightInd w:val="0"/>
              <w:snapToGrid w:val="0"/>
              <w:jc w:val="right"/>
              <w:rPr>
                <w:highlight w:val="none"/>
              </w:rPr>
            </w:pPr>
            <w:r>
              <w:rPr>
                <w:color w:val="000000"/>
                <w:sz w:val="22"/>
                <w:szCs w:val="22"/>
                <w:highlight w:val="none"/>
              </w:rPr>
              <w:t>428,677</w:t>
            </w:r>
          </w:p>
        </w:tc>
        <w:tc>
          <w:tcPr>
            <w:tcW w:w="1384" w:type="pct"/>
            <w:vAlign w:val="center"/>
          </w:tcPr>
          <w:p w14:paraId="3DBC6697">
            <w:pPr>
              <w:adjustRightInd w:val="0"/>
              <w:snapToGrid w:val="0"/>
              <w:jc w:val="right"/>
              <w:rPr>
                <w:highlight w:val="none"/>
              </w:rPr>
            </w:pPr>
            <w:r>
              <w:rPr>
                <w:color w:val="000000"/>
                <w:sz w:val="22"/>
                <w:szCs w:val="22"/>
                <w:highlight w:val="none"/>
              </w:rPr>
              <w:t>1.2046%</w:t>
            </w:r>
          </w:p>
        </w:tc>
      </w:tr>
      <w:tr w14:paraId="6D743F4D">
        <w:trPr>
          <w:trHeight w:val="454" w:hRule="atLeast"/>
          <w:jc w:val="center"/>
        </w:trPr>
        <w:tc>
          <w:tcPr>
            <w:tcW w:w="477" w:type="pct"/>
            <w:vAlign w:val="center"/>
          </w:tcPr>
          <w:p w14:paraId="41AA6818">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2CF9B2BB">
            <w:pPr>
              <w:adjustRightInd w:val="0"/>
              <w:snapToGrid w:val="0"/>
              <w:jc w:val="center"/>
              <w:rPr>
                <w:rFonts w:eastAsiaTheme="minorEastAsia"/>
                <w:szCs w:val="21"/>
                <w:highlight w:val="none"/>
              </w:rPr>
            </w:pPr>
            <w:r>
              <w:rPr>
                <w:rFonts w:eastAsiaTheme="minorEastAsia"/>
                <w:szCs w:val="21"/>
                <w:highlight w:val="none"/>
              </w:rPr>
              <w:t>杭州余杭景仓丹穴科技合伙企业（有限合伙）</w:t>
            </w:r>
          </w:p>
        </w:tc>
        <w:tc>
          <w:tcPr>
            <w:tcW w:w="1409" w:type="pct"/>
            <w:vAlign w:val="center"/>
          </w:tcPr>
          <w:p w14:paraId="56BC498A">
            <w:pPr>
              <w:adjustRightInd w:val="0"/>
              <w:snapToGrid w:val="0"/>
              <w:jc w:val="right"/>
              <w:rPr>
                <w:highlight w:val="none"/>
              </w:rPr>
            </w:pPr>
            <w:r>
              <w:rPr>
                <w:color w:val="000000"/>
                <w:sz w:val="22"/>
                <w:szCs w:val="22"/>
                <w:highlight w:val="none"/>
              </w:rPr>
              <w:t>1,426,691</w:t>
            </w:r>
          </w:p>
        </w:tc>
        <w:tc>
          <w:tcPr>
            <w:tcW w:w="1384" w:type="pct"/>
            <w:vAlign w:val="center"/>
          </w:tcPr>
          <w:p w14:paraId="481ECCB3">
            <w:pPr>
              <w:adjustRightInd w:val="0"/>
              <w:snapToGrid w:val="0"/>
              <w:jc w:val="right"/>
              <w:rPr>
                <w:highlight w:val="none"/>
              </w:rPr>
            </w:pPr>
            <w:r>
              <w:rPr>
                <w:color w:val="000000"/>
                <w:sz w:val="22"/>
                <w:szCs w:val="22"/>
                <w:highlight w:val="none"/>
              </w:rPr>
              <w:t>4.0090%</w:t>
            </w:r>
          </w:p>
        </w:tc>
      </w:tr>
      <w:tr w14:paraId="6FF87977">
        <w:trPr>
          <w:trHeight w:val="454" w:hRule="atLeast"/>
          <w:jc w:val="center"/>
        </w:trPr>
        <w:tc>
          <w:tcPr>
            <w:tcW w:w="477" w:type="pct"/>
            <w:vAlign w:val="center"/>
          </w:tcPr>
          <w:p w14:paraId="1C81623E">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5D0F4EC0">
            <w:pPr>
              <w:adjustRightInd w:val="0"/>
              <w:snapToGrid w:val="0"/>
              <w:jc w:val="center"/>
              <w:rPr>
                <w:rFonts w:eastAsiaTheme="minorEastAsia"/>
                <w:szCs w:val="21"/>
                <w:highlight w:val="none"/>
              </w:rPr>
            </w:pPr>
            <w:r>
              <w:rPr>
                <w:rFonts w:eastAsiaTheme="minorEastAsia"/>
                <w:szCs w:val="21"/>
                <w:highlight w:val="none"/>
              </w:rPr>
              <w:t>上海火山石二期创业投资合伙企业（有限合伙）</w:t>
            </w:r>
          </w:p>
        </w:tc>
        <w:tc>
          <w:tcPr>
            <w:tcW w:w="1409" w:type="pct"/>
            <w:vAlign w:val="center"/>
          </w:tcPr>
          <w:p w14:paraId="734AB152">
            <w:pPr>
              <w:adjustRightInd w:val="0"/>
              <w:snapToGrid w:val="0"/>
              <w:jc w:val="right"/>
              <w:rPr>
                <w:highlight w:val="none"/>
              </w:rPr>
            </w:pPr>
            <w:r>
              <w:rPr>
                <w:color w:val="000000"/>
                <w:sz w:val="22"/>
                <w:szCs w:val="22"/>
                <w:highlight w:val="none"/>
              </w:rPr>
              <w:t>1,796,754</w:t>
            </w:r>
          </w:p>
        </w:tc>
        <w:tc>
          <w:tcPr>
            <w:tcW w:w="1384" w:type="pct"/>
            <w:vAlign w:val="center"/>
          </w:tcPr>
          <w:p w14:paraId="496F8E02">
            <w:pPr>
              <w:adjustRightInd w:val="0"/>
              <w:snapToGrid w:val="0"/>
              <w:jc w:val="right"/>
              <w:rPr>
                <w:highlight w:val="none"/>
              </w:rPr>
            </w:pPr>
            <w:r>
              <w:rPr>
                <w:color w:val="000000"/>
                <w:sz w:val="22"/>
                <w:szCs w:val="22"/>
                <w:highlight w:val="none"/>
              </w:rPr>
              <w:t>5.0489%</w:t>
            </w:r>
          </w:p>
        </w:tc>
      </w:tr>
      <w:tr w14:paraId="06079535">
        <w:trPr>
          <w:trHeight w:val="454" w:hRule="atLeast"/>
          <w:jc w:val="center"/>
        </w:trPr>
        <w:tc>
          <w:tcPr>
            <w:tcW w:w="477" w:type="pct"/>
            <w:vAlign w:val="center"/>
          </w:tcPr>
          <w:p w14:paraId="121E80B5">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1FDD7E29">
            <w:pPr>
              <w:adjustRightInd w:val="0"/>
              <w:snapToGrid w:val="0"/>
              <w:jc w:val="center"/>
              <w:rPr>
                <w:rFonts w:eastAsiaTheme="minorEastAsia"/>
                <w:szCs w:val="21"/>
                <w:highlight w:val="none"/>
              </w:rPr>
            </w:pPr>
            <w:r>
              <w:rPr>
                <w:rFonts w:eastAsiaTheme="minorEastAsia"/>
                <w:szCs w:val="21"/>
                <w:highlight w:val="none"/>
              </w:rPr>
              <w:t>中金传誉凤凰（杭州）股权投资基金合伙企业（有限合伙）</w:t>
            </w:r>
          </w:p>
        </w:tc>
        <w:tc>
          <w:tcPr>
            <w:tcW w:w="1409" w:type="pct"/>
            <w:vAlign w:val="center"/>
          </w:tcPr>
          <w:p w14:paraId="37E93572">
            <w:pPr>
              <w:adjustRightInd w:val="0"/>
              <w:snapToGrid w:val="0"/>
              <w:jc w:val="right"/>
              <w:rPr>
                <w:highlight w:val="none"/>
              </w:rPr>
            </w:pPr>
            <w:r>
              <w:rPr>
                <w:color w:val="000000"/>
                <w:sz w:val="22"/>
                <w:szCs w:val="22"/>
                <w:highlight w:val="none"/>
              </w:rPr>
              <w:t>1,339,615</w:t>
            </w:r>
          </w:p>
        </w:tc>
        <w:tc>
          <w:tcPr>
            <w:tcW w:w="1384" w:type="pct"/>
            <w:vAlign w:val="center"/>
          </w:tcPr>
          <w:p w14:paraId="1BA1E23A">
            <w:pPr>
              <w:adjustRightInd w:val="0"/>
              <w:snapToGrid w:val="0"/>
              <w:jc w:val="right"/>
              <w:rPr>
                <w:highlight w:val="none"/>
              </w:rPr>
            </w:pPr>
            <w:r>
              <w:rPr>
                <w:color w:val="000000"/>
                <w:sz w:val="22"/>
                <w:szCs w:val="22"/>
                <w:highlight w:val="none"/>
              </w:rPr>
              <w:t>3.7643%</w:t>
            </w:r>
          </w:p>
        </w:tc>
      </w:tr>
      <w:tr w14:paraId="716A7621">
        <w:trPr>
          <w:trHeight w:val="454" w:hRule="atLeast"/>
          <w:jc w:val="center"/>
        </w:trPr>
        <w:tc>
          <w:tcPr>
            <w:tcW w:w="477" w:type="pct"/>
            <w:vAlign w:val="center"/>
          </w:tcPr>
          <w:p w14:paraId="25446A37">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2F42E5D9">
            <w:pPr>
              <w:adjustRightInd w:val="0"/>
              <w:snapToGrid w:val="0"/>
              <w:jc w:val="center"/>
              <w:rPr>
                <w:rFonts w:eastAsiaTheme="minorEastAsia"/>
                <w:szCs w:val="21"/>
                <w:highlight w:val="none"/>
              </w:rPr>
            </w:pPr>
            <w:r>
              <w:rPr>
                <w:rFonts w:eastAsiaTheme="minorEastAsia"/>
                <w:szCs w:val="21"/>
                <w:highlight w:val="none"/>
              </w:rPr>
              <w:t>宁波衔领创业投资合伙企业（有限合伙）</w:t>
            </w:r>
          </w:p>
        </w:tc>
        <w:tc>
          <w:tcPr>
            <w:tcW w:w="1409" w:type="pct"/>
            <w:vAlign w:val="center"/>
          </w:tcPr>
          <w:p w14:paraId="4A3292A3">
            <w:pPr>
              <w:adjustRightInd w:val="0"/>
              <w:snapToGrid w:val="0"/>
              <w:jc w:val="right"/>
              <w:rPr>
                <w:highlight w:val="none"/>
              </w:rPr>
            </w:pPr>
            <w:r>
              <w:rPr>
                <w:color w:val="000000"/>
                <w:sz w:val="22"/>
                <w:szCs w:val="22"/>
                <w:highlight w:val="none"/>
              </w:rPr>
              <w:t>546,247</w:t>
            </w:r>
          </w:p>
        </w:tc>
        <w:tc>
          <w:tcPr>
            <w:tcW w:w="1384" w:type="pct"/>
            <w:vAlign w:val="center"/>
          </w:tcPr>
          <w:p w14:paraId="0342ADB4">
            <w:pPr>
              <w:adjustRightInd w:val="0"/>
              <w:snapToGrid w:val="0"/>
              <w:jc w:val="right"/>
              <w:rPr>
                <w:highlight w:val="none"/>
              </w:rPr>
            </w:pPr>
            <w:r>
              <w:rPr>
                <w:color w:val="000000"/>
                <w:sz w:val="22"/>
                <w:szCs w:val="22"/>
                <w:highlight w:val="none"/>
              </w:rPr>
              <w:t>1.5350%</w:t>
            </w:r>
          </w:p>
        </w:tc>
      </w:tr>
      <w:tr w14:paraId="2C2DA364">
        <w:trPr>
          <w:trHeight w:val="454" w:hRule="atLeast"/>
          <w:jc w:val="center"/>
        </w:trPr>
        <w:tc>
          <w:tcPr>
            <w:tcW w:w="477" w:type="pct"/>
            <w:vAlign w:val="center"/>
          </w:tcPr>
          <w:p w14:paraId="0E2BE38B">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5E31A75">
            <w:pPr>
              <w:adjustRightInd w:val="0"/>
              <w:snapToGrid w:val="0"/>
              <w:jc w:val="center"/>
              <w:rPr>
                <w:rFonts w:eastAsiaTheme="minorEastAsia"/>
                <w:szCs w:val="21"/>
                <w:highlight w:val="none"/>
              </w:rPr>
            </w:pPr>
            <w:r>
              <w:rPr>
                <w:rFonts w:eastAsiaTheme="minorEastAsia"/>
                <w:szCs w:val="21"/>
                <w:highlight w:val="none"/>
              </w:rPr>
              <w:t>宁波领脉创业投资合伙企业（有限合伙）</w:t>
            </w:r>
          </w:p>
        </w:tc>
        <w:tc>
          <w:tcPr>
            <w:tcW w:w="1409" w:type="pct"/>
            <w:vAlign w:val="center"/>
          </w:tcPr>
          <w:p w14:paraId="6B5465F5">
            <w:pPr>
              <w:adjustRightInd w:val="0"/>
              <w:snapToGrid w:val="0"/>
              <w:jc w:val="right"/>
              <w:rPr>
                <w:highlight w:val="none"/>
              </w:rPr>
            </w:pPr>
            <w:r>
              <w:rPr>
                <w:color w:val="000000"/>
                <w:sz w:val="22"/>
                <w:szCs w:val="22"/>
                <w:highlight w:val="none"/>
              </w:rPr>
              <w:t>651,132</w:t>
            </w:r>
          </w:p>
        </w:tc>
        <w:tc>
          <w:tcPr>
            <w:tcW w:w="1384" w:type="pct"/>
            <w:vAlign w:val="center"/>
          </w:tcPr>
          <w:p w14:paraId="0BC28255">
            <w:pPr>
              <w:adjustRightInd w:val="0"/>
              <w:snapToGrid w:val="0"/>
              <w:jc w:val="right"/>
              <w:rPr>
                <w:highlight w:val="none"/>
              </w:rPr>
            </w:pPr>
            <w:r>
              <w:rPr>
                <w:color w:val="000000"/>
                <w:sz w:val="22"/>
                <w:szCs w:val="22"/>
                <w:highlight w:val="none"/>
              </w:rPr>
              <w:t>1.8297%</w:t>
            </w:r>
          </w:p>
        </w:tc>
      </w:tr>
      <w:tr w14:paraId="439A10B3">
        <w:trPr>
          <w:trHeight w:val="454" w:hRule="atLeast"/>
          <w:jc w:val="center"/>
        </w:trPr>
        <w:tc>
          <w:tcPr>
            <w:tcW w:w="477" w:type="pct"/>
            <w:vAlign w:val="center"/>
          </w:tcPr>
          <w:p w14:paraId="034A0C23">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229DD6E4">
            <w:pPr>
              <w:adjustRightInd w:val="0"/>
              <w:snapToGrid w:val="0"/>
              <w:jc w:val="center"/>
              <w:rPr>
                <w:rFonts w:eastAsiaTheme="minorEastAsia"/>
                <w:szCs w:val="21"/>
                <w:highlight w:val="none"/>
              </w:rPr>
            </w:pPr>
            <w:r>
              <w:rPr>
                <w:rFonts w:eastAsiaTheme="minorEastAsia"/>
                <w:szCs w:val="21"/>
                <w:highlight w:val="none"/>
              </w:rPr>
              <w:t>平潭综合实验区沃生慧嘉股权投资合伙企业（有限合伙）</w:t>
            </w:r>
          </w:p>
        </w:tc>
        <w:tc>
          <w:tcPr>
            <w:tcW w:w="1409" w:type="pct"/>
            <w:vAlign w:val="center"/>
          </w:tcPr>
          <w:p w14:paraId="4125016C">
            <w:pPr>
              <w:adjustRightInd w:val="0"/>
              <w:snapToGrid w:val="0"/>
              <w:jc w:val="right"/>
              <w:rPr>
                <w:highlight w:val="none"/>
              </w:rPr>
            </w:pPr>
            <w:r>
              <w:rPr>
                <w:color w:val="000000"/>
                <w:sz w:val="22"/>
                <w:szCs w:val="22"/>
                <w:highlight w:val="none"/>
              </w:rPr>
              <w:t>960,506</w:t>
            </w:r>
          </w:p>
        </w:tc>
        <w:tc>
          <w:tcPr>
            <w:tcW w:w="1384" w:type="pct"/>
            <w:vAlign w:val="center"/>
          </w:tcPr>
          <w:p w14:paraId="0FC0280E">
            <w:pPr>
              <w:adjustRightInd w:val="0"/>
              <w:snapToGrid w:val="0"/>
              <w:jc w:val="right"/>
              <w:rPr>
                <w:highlight w:val="none"/>
              </w:rPr>
            </w:pPr>
            <w:r>
              <w:rPr>
                <w:color w:val="000000"/>
                <w:sz w:val="22"/>
                <w:szCs w:val="22"/>
                <w:highlight w:val="none"/>
              </w:rPr>
              <w:t>2.6990%</w:t>
            </w:r>
          </w:p>
        </w:tc>
      </w:tr>
      <w:tr w14:paraId="7115B8FE">
        <w:trPr>
          <w:trHeight w:val="454" w:hRule="atLeast"/>
          <w:jc w:val="center"/>
        </w:trPr>
        <w:tc>
          <w:tcPr>
            <w:tcW w:w="477" w:type="pct"/>
            <w:vAlign w:val="center"/>
          </w:tcPr>
          <w:p w14:paraId="6C4D9673">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339CAEFA">
            <w:pPr>
              <w:adjustRightInd w:val="0"/>
              <w:snapToGrid w:val="0"/>
              <w:jc w:val="center"/>
              <w:rPr>
                <w:rFonts w:eastAsiaTheme="minorEastAsia"/>
                <w:szCs w:val="21"/>
                <w:highlight w:val="none"/>
              </w:rPr>
            </w:pPr>
            <w:r>
              <w:rPr>
                <w:rFonts w:eastAsiaTheme="minorEastAsia"/>
                <w:szCs w:val="21"/>
                <w:highlight w:val="none"/>
              </w:rPr>
              <w:t>上海智鼎博能投资合伙企业（有限合伙）</w:t>
            </w:r>
          </w:p>
        </w:tc>
        <w:tc>
          <w:tcPr>
            <w:tcW w:w="1409" w:type="pct"/>
            <w:vAlign w:val="center"/>
          </w:tcPr>
          <w:p w14:paraId="256A952B">
            <w:pPr>
              <w:adjustRightInd w:val="0"/>
              <w:snapToGrid w:val="0"/>
              <w:jc w:val="right"/>
              <w:rPr>
                <w:highlight w:val="none"/>
              </w:rPr>
            </w:pPr>
            <w:r>
              <w:rPr>
                <w:color w:val="000000"/>
                <w:sz w:val="22"/>
                <w:szCs w:val="22"/>
                <w:highlight w:val="none"/>
              </w:rPr>
              <w:t>690,171</w:t>
            </w:r>
          </w:p>
        </w:tc>
        <w:tc>
          <w:tcPr>
            <w:tcW w:w="1384" w:type="pct"/>
            <w:vAlign w:val="center"/>
          </w:tcPr>
          <w:p w14:paraId="78030106">
            <w:pPr>
              <w:adjustRightInd w:val="0"/>
              <w:snapToGrid w:val="0"/>
              <w:jc w:val="right"/>
              <w:rPr>
                <w:highlight w:val="none"/>
              </w:rPr>
            </w:pPr>
            <w:r>
              <w:rPr>
                <w:color w:val="000000"/>
                <w:sz w:val="22"/>
                <w:szCs w:val="22"/>
                <w:highlight w:val="none"/>
              </w:rPr>
              <w:t>1.9394%</w:t>
            </w:r>
          </w:p>
        </w:tc>
      </w:tr>
      <w:tr w14:paraId="73BCA1B5">
        <w:trPr>
          <w:trHeight w:val="454" w:hRule="atLeast"/>
          <w:jc w:val="center"/>
        </w:trPr>
        <w:tc>
          <w:tcPr>
            <w:tcW w:w="477" w:type="pct"/>
            <w:vAlign w:val="center"/>
          </w:tcPr>
          <w:p w14:paraId="6905D956">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041ECC00">
            <w:pPr>
              <w:adjustRightInd w:val="0"/>
              <w:snapToGrid w:val="0"/>
              <w:jc w:val="center"/>
              <w:rPr>
                <w:rFonts w:eastAsiaTheme="minorEastAsia"/>
                <w:szCs w:val="21"/>
                <w:highlight w:val="none"/>
              </w:rPr>
            </w:pPr>
            <w:r>
              <w:rPr>
                <w:color w:val="000000"/>
                <w:sz w:val="22"/>
                <w:szCs w:val="22"/>
                <w:highlight w:val="none"/>
              </w:rPr>
              <w:t>上海熠建投资管理合伙企业（有限合伙）</w:t>
            </w:r>
          </w:p>
        </w:tc>
        <w:tc>
          <w:tcPr>
            <w:tcW w:w="1409" w:type="pct"/>
            <w:vAlign w:val="center"/>
          </w:tcPr>
          <w:p w14:paraId="6ECB1F68">
            <w:pPr>
              <w:adjustRightInd w:val="0"/>
              <w:snapToGrid w:val="0"/>
              <w:jc w:val="right"/>
              <w:rPr>
                <w:highlight w:val="none"/>
              </w:rPr>
            </w:pPr>
            <w:r>
              <w:rPr>
                <w:color w:val="000000"/>
                <w:sz w:val="22"/>
                <w:szCs w:val="22"/>
                <w:highlight w:val="none"/>
              </w:rPr>
              <w:t>602,827</w:t>
            </w:r>
          </w:p>
        </w:tc>
        <w:tc>
          <w:tcPr>
            <w:tcW w:w="1384" w:type="pct"/>
            <w:vAlign w:val="center"/>
          </w:tcPr>
          <w:p w14:paraId="1714FC51">
            <w:pPr>
              <w:adjustRightInd w:val="0"/>
              <w:snapToGrid w:val="0"/>
              <w:jc w:val="right"/>
              <w:rPr>
                <w:highlight w:val="none"/>
              </w:rPr>
            </w:pPr>
            <w:r>
              <w:rPr>
                <w:color w:val="000000"/>
                <w:sz w:val="22"/>
                <w:szCs w:val="22"/>
                <w:highlight w:val="none"/>
              </w:rPr>
              <w:t>1.6940%</w:t>
            </w:r>
          </w:p>
        </w:tc>
      </w:tr>
      <w:tr w14:paraId="5A1389CF">
        <w:trPr>
          <w:trHeight w:val="454" w:hRule="atLeast"/>
          <w:jc w:val="center"/>
        </w:trPr>
        <w:tc>
          <w:tcPr>
            <w:tcW w:w="477" w:type="pct"/>
            <w:vAlign w:val="center"/>
          </w:tcPr>
          <w:p w14:paraId="75C93C65">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4A757A52">
            <w:pPr>
              <w:adjustRightInd w:val="0"/>
              <w:snapToGrid w:val="0"/>
              <w:jc w:val="center"/>
              <w:rPr>
                <w:rFonts w:eastAsiaTheme="minorEastAsia"/>
                <w:szCs w:val="21"/>
                <w:highlight w:val="none"/>
              </w:rPr>
            </w:pPr>
            <w:r>
              <w:rPr>
                <w:color w:val="000000"/>
                <w:sz w:val="22"/>
                <w:szCs w:val="22"/>
                <w:highlight w:val="none"/>
              </w:rPr>
              <w:t>杭州泰鲲股权投资基金合伙企业（有限合伙）</w:t>
            </w:r>
          </w:p>
        </w:tc>
        <w:tc>
          <w:tcPr>
            <w:tcW w:w="1409" w:type="pct"/>
            <w:vAlign w:val="center"/>
          </w:tcPr>
          <w:p w14:paraId="4EBE7141">
            <w:pPr>
              <w:adjustRightInd w:val="0"/>
              <w:snapToGrid w:val="0"/>
              <w:jc w:val="right"/>
              <w:rPr>
                <w:highlight w:val="none"/>
              </w:rPr>
            </w:pPr>
            <w:r>
              <w:rPr>
                <w:color w:val="000000"/>
                <w:sz w:val="22"/>
                <w:szCs w:val="22"/>
                <w:highlight w:val="none"/>
              </w:rPr>
              <w:t>602,827</w:t>
            </w:r>
          </w:p>
        </w:tc>
        <w:tc>
          <w:tcPr>
            <w:tcW w:w="1384" w:type="pct"/>
            <w:vAlign w:val="center"/>
          </w:tcPr>
          <w:p w14:paraId="69A63AD6">
            <w:pPr>
              <w:adjustRightInd w:val="0"/>
              <w:snapToGrid w:val="0"/>
              <w:jc w:val="right"/>
              <w:rPr>
                <w:highlight w:val="none"/>
              </w:rPr>
            </w:pPr>
            <w:r>
              <w:rPr>
                <w:color w:val="000000"/>
                <w:sz w:val="22"/>
                <w:szCs w:val="22"/>
                <w:highlight w:val="none"/>
              </w:rPr>
              <w:t>1.6940%</w:t>
            </w:r>
          </w:p>
        </w:tc>
      </w:tr>
      <w:tr w14:paraId="3910EE62">
        <w:trPr>
          <w:trHeight w:val="454" w:hRule="atLeast"/>
          <w:jc w:val="center"/>
        </w:trPr>
        <w:tc>
          <w:tcPr>
            <w:tcW w:w="477" w:type="pct"/>
            <w:vAlign w:val="center"/>
          </w:tcPr>
          <w:p w14:paraId="6F609FB4">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6A5989E1">
            <w:pPr>
              <w:adjustRightInd w:val="0"/>
              <w:snapToGrid w:val="0"/>
              <w:jc w:val="center"/>
              <w:rPr>
                <w:rFonts w:eastAsiaTheme="minorEastAsia"/>
                <w:szCs w:val="21"/>
                <w:highlight w:val="none"/>
              </w:rPr>
            </w:pPr>
            <w:r>
              <w:rPr>
                <w:color w:val="000000"/>
                <w:sz w:val="22"/>
                <w:szCs w:val="22"/>
                <w:highlight w:val="none"/>
              </w:rPr>
              <w:t>上海临港启创生科私募投资基金合伙企业（有限合伙）</w:t>
            </w:r>
          </w:p>
        </w:tc>
        <w:tc>
          <w:tcPr>
            <w:tcW w:w="1409" w:type="pct"/>
            <w:vAlign w:val="center"/>
          </w:tcPr>
          <w:p w14:paraId="529C6B17">
            <w:pPr>
              <w:adjustRightInd w:val="0"/>
              <w:snapToGrid w:val="0"/>
              <w:jc w:val="right"/>
              <w:rPr>
                <w:highlight w:val="none"/>
              </w:rPr>
            </w:pPr>
            <w:r>
              <w:rPr>
                <w:color w:val="000000"/>
                <w:sz w:val="22"/>
                <w:szCs w:val="22"/>
                <w:highlight w:val="none"/>
              </w:rPr>
              <w:t>602,827</w:t>
            </w:r>
          </w:p>
        </w:tc>
        <w:tc>
          <w:tcPr>
            <w:tcW w:w="1384" w:type="pct"/>
            <w:vAlign w:val="center"/>
          </w:tcPr>
          <w:p w14:paraId="49A73033">
            <w:pPr>
              <w:adjustRightInd w:val="0"/>
              <w:snapToGrid w:val="0"/>
              <w:jc w:val="right"/>
              <w:rPr>
                <w:highlight w:val="none"/>
              </w:rPr>
            </w:pPr>
            <w:r>
              <w:rPr>
                <w:color w:val="000000"/>
                <w:sz w:val="22"/>
                <w:szCs w:val="22"/>
                <w:highlight w:val="none"/>
              </w:rPr>
              <w:t>1.6940%</w:t>
            </w:r>
          </w:p>
        </w:tc>
      </w:tr>
      <w:tr w14:paraId="2D0600FD">
        <w:trPr>
          <w:trHeight w:val="454" w:hRule="atLeast"/>
          <w:jc w:val="center"/>
        </w:trPr>
        <w:tc>
          <w:tcPr>
            <w:tcW w:w="477" w:type="pct"/>
            <w:vAlign w:val="center"/>
          </w:tcPr>
          <w:p w14:paraId="0408CC28">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1324AD5E">
            <w:pPr>
              <w:adjustRightInd w:val="0"/>
              <w:snapToGrid w:val="0"/>
              <w:jc w:val="center"/>
              <w:rPr>
                <w:rFonts w:eastAsiaTheme="minorEastAsia"/>
                <w:szCs w:val="21"/>
                <w:highlight w:val="none"/>
              </w:rPr>
            </w:pPr>
            <w:r>
              <w:rPr>
                <w:color w:val="000000"/>
                <w:sz w:val="22"/>
                <w:szCs w:val="22"/>
                <w:highlight w:val="none"/>
              </w:rPr>
              <w:t>重庆建源西证私募股权投资基金合伙企业（有限合伙）</w:t>
            </w:r>
          </w:p>
        </w:tc>
        <w:tc>
          <w:tcPr>
            <w:tcW w:w="1409" w:type="pct"/>
            <w:vAlign w:val="center"/>
          </w:tcPr>
          <w:p w14:paraId="62331BFF">
            <w:pPr>
              <w:adjustRightInd w:val="0"/>
              <w:snapToGrid w:val="0"/>
              <w:jc w:val="right"/>
              <w:rPr>
                <w:highlight w:val="none"/>
              </w:rPr>
            </w:pPr>
            <w:r>
              <w:rPr>
                <w:color w:val="000000"/>
                <w:sz w:val="22"/>
                <w:szCs w:val="22"/>
                <w:highlight w:val="none"/>
              </w:rPr>
              <w:t>602,827</w:t>
            </w:r>
          </w:p>
        </w:tc>
        <w:tc>
          <w:tcPr>
            <w:tcW w:w="1384" w:type="pct"/>
            <w:vAlign w:val="center"/>
          </w:tcPr>
          <w:p w14:paraId="7CF703F8">
            <w:pPr>
              <w:adjustRightInd w:val="0"/>
              <w:snapToGrid w:val="0"/>
              <w:jc w:val="right"/>
              <w:rPr>
                <w:highlight w:val="none"/>
              </w:rPr>
            </w:pPr>
            <w:r>
              <w:rPr>
                <w:color w:val="000000"/>
                <w:sz w:val="22"/>
                <w:szCs w:val="22"/>
                <w:highlight w:val="none"/>
              </w:rPr>
              <w:t>1.6940%</w:t>
            </w:r>
          </w:p>
        </w:tc>
      </w:tr>
      <w:tr w14:paraId="05772EFA">
        <w:trPr>
          <w:trHeight w:val="454" w:hRule="atLeast"/>
          <w:jc w:val="center"/>
        </w:trPr>
        <w:tc>
          <w:tcPr>
            <w:tcW w:w="477" w:type="pct"/>
            <w:vAlign w:val="center"/>
          </w:tcPr>
          <w:p w14:paraId="38C06514">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116490A7">
            <w:pPr>
              <w:adjustRightInd w:val="0"/>
              <w:snapToGrid w:val="0"/>
              <w:jc w:val="center"/>
              <w:rPr>
                <w:rFonts w:eastAsiaTheme="minorEastAsia"/>
                <w:szCs w:val="21"/>
                <w:highlight w:val="none"/>
              </w:rPr>
            </w:pPr>
            <w:r>
              <w:rPr>
                <w:color w:val="000000"/>
                <w:sz w:val="22"/>
                <w:szCs w:val="22"/>
                <w:highlight w:val="none"/>
              </w:rPr>
              <w:t>杭州禾合园区引领股权投资合伙企业（有限合伙）</w:t>
            </w:r>
          </w:p>
        </w:tc>
        <w:tc>
          <w:tcPr>
            <w:tcW w:w="1409" w:type="pct"/>
            <w:vAlign w:val="center"/>
          </w:tcPr>
          <w:p w14:paraId="77F0975C">
            <w:pPr>
              <w:adjustRightInd w:val="0"/>
              <w:snapToGrid w:val="0"/>
              <w:jc w:val="right"/>
              <w:rPr>
                <w:highlight w:val="none"/>
              </w:rPr>
            </w:pPr>
            <w:r>
              <w:rPr>
                <w:color w:val="000000"/>
                <w:sz w:val="22"/>
                <w:szCs w:val="22"/>
                <w:highlight w:val="none"/>
              </w:rPr>
              <w:t>401,885</w:t>
            </w:r>
          </w:p>
        </w:tc>
        <w:tc>
          <w:tcPr>
            <w:tcW w:w="1384" w:type="pct"/>
            <w:vAlign w:val="center"/>
          </w:tcPr>
          <w:p w14:paraId="4DEB96C6">
            <w:pPr>
              <w:adjustRightInd w:val="0"/>
              <w:snapToGrid w:val="0"/>
              <w:jc w:val="right"/>
              <w:rPr>
                <w:highlight w:val="none"/>
              </w:rPr>
            </w:pPr>
            <w:r>
              <w:rPr>
                <w:color w:val="000000"/>
                <w:sz w:val="22"/>
                <w:szCs w:val="22"/>
                <w:highlight w:val="none"/>
              </w:rPr>
              <w:t>1.1293%</w:t>
            </w:r>
          </w:p>
        </w:tc>
      </w:tr>
      <w:tr w14:paraId="68DCEE88">
        <w:trPr>
          <w:trHeight w:val="454" w:hRule="atLeast"/>
          <w:jc w:val="center"/>
        </w:trPr>
        <w:tc>
          <w:tcPr>
            <w:tcW w:w="477" w:type="pct"/>
            <w:vAlign w:val="center"/>
          </w:tcPr>
          <w:p w14:paraId="54515AB6">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2E42C10B">
            <w:pPr>
              <w:adjustRightInd w:val="0"/>
              <w:snapToGrid w:val="0"/>
              <w:jc w:val="center"/>
              <w:rPr>
                <w:rFonts w:eastAsiaTheme="minorEastAsia"/>
                <w:szCs w:val="21"/>
                <w:highlight w:val="none"/>
              </w:rPr>
            </w:pPr>
            <w:r>
              <w:rPr>
                <w:color w:val="000000"/>
                <w:sz w:val="22"/>
                <w:szCs w:val="22"/>
                <w:highlight w:val="none"/>
              </w:rPr>
              <w:t>重庆渝富高精尖产业私募股权投资基金合伙企业（有限合伙）</w:t>
            </w:r>
          </w:p>
        </w:tc>
        <w:tc>
          <w:tcPr>
            <w:tcW w:w="1409" w:type="pct"/>
            <w:vAlign w:val="center"/>
          </w:tcPr>
          <w:p w14:paraId="09810F3A">
            <w:pPr>
              <w:adjustRightInd w:val="0"/>
              <w:snapToGrid w:val="0"/>
              <w:jc w:val="right"/>
              <w:rPr>
                <w:highlight w:val="none"/>
              </w:rPr>
            </w:pPr>
            <w:r>
              <w:rPr>
                <w:color w:val="000000"/>
                <w:sz w:val="22"/>
                <w:szCs w:val="22"/>
                <w:highlight w:val="none"/>
              </w:rPr>
              <w:t>401,885</w:t>
            </w:r>
          </w:p>
        </w:tc>
        <w:tc>
          <w:tcPr>
            <w:tcW w:w="1384" w:type="pct"/>
            <w:vAlign w:val="center"/>
          </w:tcPr>
          <w:p w14:paraId="69262204">
            <w:pPr>
              <w:adjustRightInd w:val="0"/>
              <w:snapToGrid w:val="0"/>
              <w:jc w:val="right"/>
              <w:rPr>
                <w:highlight w:val="none"/>
              </w:rPr>
            </w:pPr>
            <w:r>
              <w:rPr>
                <w:color w:val="000000"/>
                <w:sz w:val="22"/>
                <w:szCs w:val="22"/>
                <w:highlight w:val="none"/>
              </w:rPr>
              <w:t>1.1293%</w:t>
            </w:r>
          </w:p>
        </w:tc>
      </w:tr>
      <w:tr w14:paraId="0C15A282">
        <w:trPr>
          <w:trHeight w:val="454" w:hRule="atLeast"/>
          <w:jc w:val="center"/>
        </w:trPr>
        <w:tc>
          <w:tcPr>
            <w:tcW w:w="477" w:type="pct"/>
            <w:vAlign w:val="center"/>
          </w:tcPr>
          <w:p w14:paraId="682B3899">
            <w:pPr>
              <w:numPr>
                <w:ilvl w:val="0"/>
                <w:numId w:val="7"/>
              </w:numPr>
              <w:tabs>
                <w:tab w:val="left" w:pos="0"/>
                <w:tab w:val="left" w:pos="34"/>
              </w:tabs>
              <w:adjustRightInd w:val="0"/>
              <w:snapToGrid w:val="0"/>
              <w:ind w:left="0" w:firstLine="0"/>
              <w:jc w:val="center"/>
              <w:rPr>
                <w:rFonts w:eastAsiaTheme="minorEastAsia"/>
                <w:szCs w:val="21"/>
                <w:highlight w:val="none"/>
              </w:rPr>
            </w:pPr>
          </w:p>
        </w:tc>
        <w:tc>
          <w:tcPr>
            <w:tcW w:w="1730" w:type="pct"/>
            <w:vAlign w:val="center"/>
          </w:tcPr>
          <w:p w14:paraId="7CA457A2">
            <w:pPr>
              <w:adjustRightInd w:val="0"/>
              <w:snapToGrid w:val="0"/>
              <w:jc w:val="center"/>
              <w:rPr>
                <w:rFonts w:eastAsiaTheme="minorEastAsia"/>
                <w:szCs w:val="21"/>
                <w:highlight w:val="none"/>
              </w:rPr>
            </w:pPr>
            <w:r>
              <w:rPr>
                <w:rFonts w:eastAsiaTheme="minorEastAsia"/>
                <w:szCs w:val="21"/>
                <w:highlight w:val="none"/>
              </w:rPr>
              <w:t>和瑞创业投资基金管理（深圳）有限公司</w:t>
            </w:r>
          </w:p>
        </w:tc>
        <w:tc>
          <w:tcPr>
            <w:tcW w:w="1409" w:type="pct"/>
            <w:vAlign w:val="center"/>
          </w:tcPr>
          <w:p w14:paraId="09C6CED3">
            <w:pPr>
              <w:adjustRightInd w:val="0"/>
              <w:snapToGrid w:val="0"/>
              <w:jc w:val="right"/>
              <w:rPr>
                <w:highlight w:val="none"/>
              </w:rPr>
            </w:pPr>
            <w:r>
              <w:rPr>
                <w:color w:val="000000"/>
                <w:sz w:val="22"/>
                <w:szCs w:val="22"/>
                <w:highlight w:val="none"/>
              </w:rPr>
              <w:t>144,679</w:t>
            </w:r>
          </w:p>
        </w:tc>
        <w:tc>
          <w:tcPr>
            <w:tcW w:w="1384" w:type="pct"/>
            <w:vAlign w:val="center"/>
          </w:tcPr>
          <w:p w14:paraId="3F16F1A1">
            <w:pPr>
              <w:adjustRightInd w:val="0"/>
              <w:snapToGrid w:val="0"/>
              <w:jc w:val="right"/>
              <w:rPr>
                <w:highlight w:val="none"/>
              </w:rPr>
            </w:pPr>
            <w:r>
              <w:rPr>
                <w:color w:val="000000"/>
                <w:sz w:val="22"/>
                <w:szCs w:val="22"/>
                <w:highlight w:val="none"/>
              </w:rPr>
              <w:t>0.4066%</w:t>
            </w:r>
          </w:p>
        </w:tc>
      </w:tr>
      <w:tr w14:paraId="343A81F5">
        <w:trPr>
          <w:trHeight w:val="454" w:hRule="atLeast"/>
          <w:jc w:val="center"/>
        </w:trPr>
        <w:tc>
          <w:tcPr>
            <w:tcW w:w="477" w:type="pct"/>
            <w:vAlign w:val="center"/>
          </w:tcPr>
          <w:p w14:paraId="480C871D">
            <w:pPr>
              <w:adjustRightInd w:val="0"/>
              <w:snapToGrid w:val="0"/>
              <w:rPr>
                <w:rFonts w:eastAsiaTheme="minorEastAsia"/>
                <w:b/>
                <w:szCs w:val="21"/>
              </w:rPr>
            </w:pPr>
            <w:r>
              <w:rPr>
                <w:rFonts w:eastAsiaTheme="minorEastAsia"/>
                <w:b/>
                <w:szCs w:val="21"/>
              </w:rPr>
              <w:t>合计</w:t>
            </w:r>
          </w:p>
        </w:tc>
        <w:tc>
          <w:tcPr>
            <w:tcW w:w="1730" w:type="pct"/>
            <w:vAlign w:val="center"/>
          </w:tcPr>
          <w:p w14:paraId="32059BEF">
            <w:pPr>
              <w:adjustRightInd w:val="0"/>
              <w:snapToGrid w:val="0"/>
              <w:rPr>
                <w:rFonts w:eastAsiaTheme="minorEastAsia"/>
                <w:b/>
                <w:szCs w:val="21"/>
              </w:rPr>
            </w:pPr>
          </w:p>
        </w:tc>
        <w:tc>
          <w:tcPr>
            <w:tcW w:w="1409" w:type="pct"/>
            <w:vAlign w:val="center"/>
          </w:tcPr>
          <w:p w14:paraId="550D4F37">
            <w:pPr>
              <w:adjustRightInd w:val="0"/>
              <w:snapToGrid w:val="0"/>
              <w:jc w:val="right"/>
              <w:rPr>
                <w:rFonts w:eastAsiaTheme="minorEastAsia"/>
                <w:b/>
                <w:bCs/>
                <w:szCs w:val="21"/>
              </w:rPr>
            </w:pPr>
            <w:r>
              <w:rPr>
                <w:rFonts w:eastAsiaTheme="minorEastAsia"/>
                <w:b/>
                <w:bCs/>
                <w:szCs w:val="21"/>
              </w:rPr>
              <w:fldChar w:fldCharType="begin"/>
            </w:r>
            <w:r>
              <w:rPr>
                <w:rFonts w:eastAsiaTheme="minorEastAsia"/>
                <w:b/>
                <w:bCs/>
                <w:szCs w:val="21"/>
              </w:rPr>
              <w:instrText xml:space="preserve"> =SUM(ABOVE) </w:instrText>
            </w:r>
            <w:r>
              <w:rPr>
                <w:rFonts w:eastAsiaTheme="minorEastAsia"/>
                <w:b/>
                <w:bCs/>
                <w:szCs w:val="21"/>
              </w:rPr>
              <w:fldChar w:fldCharType="separate"/>
            </w:r>
            <w:r>
              <w:rPr>
                <w:rFonts w:eastAsiaTheme="minorEastAsia"/>
                <w:b/>
                <w:bCs/>
                <w:szCs w:val="21"/>
              </w:rPr>
              <w:t>35,586,901</w:t>
            </w:r>
            <w:r>
              <w:rPr>
                <w:rFonts w:eastAsiaTheme="minorEastAsia"/>
                <w:b/>
                <w:bCs/>
                <w:szCs w:val="21"/>
              </w:rPr>
              <w:fldChar w:fldCharType="end"/>
            </w:r>
          </w:p>
        </w:tc>
        <w:tc>
          <w:tcPr>
            <w:tcW w:w="1384" w:type="pct"/>
            <w:vAlign w:val="center"/>
          </w:tcPr>
          <w:p w14:paraId="72E3AE0E">
            <w:pPr>
              <w:adjustRightInd w:val="0"/>
              <w:snapToGrid w:val="0"/>
              <w:jc w:val="right"/>
              <w:rPr>
                <w:rFonts w:eastAsiaTheme="minorEastAsia"/>
                <w:b/>
                <w:szCs w:val="21"/>
              </w:rPr>
            </w:pPr>
            <w:r>
              <w:rPr>
                <w:b/>
                <w:szCs w:val="21"/>
              </w:rPr>
              <w:fldChar w:fldCharType="begin"/>
            </w:r>
            <w:r>
              <w:rPr>
                <w:b/>
                <w:szCs w:val="21"/>
              </w:rPr>
              <w:instrText xml:space="preserve"> =SUM(ABOVE)*100 \# "0.00%" </w:instrText>
            </w:r>
            <w:r>
              <w:rPr>
                <w:b/>
                <w:szCs w:val="21"/>
              </w:rPr>
              <w:fldChar w:fldCharType="separate"/>
            </w:r>
            <w:r>
              <w:rPr>
                <w:b/>
                <w:szCs w:val="21"/>
              </w:rPr>
              <w:t>100.00%</w:t>
            </w:r>
            <w:r>
              <w:rPr>
                <w:b/>
                <w:szCs w:val="21"/>
              </w:rPr>
              <w:fldChar w:fldCharType="end"/>
            </w:r>
          </w:p>
        </w:tc>
      </w:tr>
    </w:tbl>
    <w:p w14:paraId="20E7D18D">
      <w:pPr>
        <w:pStyle w:val="108"/>
        <w:numPr>
          <w:ilvl w:val="0"/>
          <w:numId w:val="0"/>
        </w:numPr>
        <w:spacing w:line="520" w:lineRule="exact"/>
        <w:rPr>
          <w:rFonts w:hint="eastAsia" w:ascii="仿宋" w:hAnsi="仿宋" w:eastAsia="仿宋" w:cs="Arial"/>
          <w:color w:val="auto"/>
          <w:kern w:val="0"/>
          <w:sz w:val="24"/>
          <w:szCs w:val="24"/>
          <w:lang w:val="en-US" w:eastAsia="zh-Hans" w:bidi="ar-SA"/>
        </w:rPr>
      </w:pPr>
    </w:p>
    <w:p w14:paraId="3009DB76">
      <w:pPr>
        <w:pStyle w:val="78"/>
        <w:bidi w:val="0"/>
        <w:rPr>
          <w:rFonts w:hint="eastAsia"/>
          <w:color w:val="auto"/>
        </w:rPr>
      </w:pPr>
      <w:r>
        <w:rPr>
          <w:rFonts w:hint="eastAsia"/>
          <w:color w:val="auto"/>
        </w:rPr>
        <w:t>交易条件</w:t>
      </w:r>
    </w:p>
    <w:p w14:paraId="052B45BB">
      <w:pPr>
        <w:pStyle w:val="85"/>
        <w:numPr>
          <w:ilvl w:val="0"/>
          <w:numId w:val="8"/>
        </w:numPr>
        <w:bidi w:val="0"/>
        <w:rPr>
          <w:rFonts w:hint="eastAsia"/>
          <w:color w:val="auto"/>
        </w:rPr>
      </w:pPr>
      <w:r>
        <w:rPr>
          <w:rFonts w:hint="eastAsia"/>
          <w:color w:val="auto"/>
        </w:rPr>
        <w:t>公司估值</w:t>
      </w:r>
    </w:p>
    <w:p w14:paraId="0BABB294">
      <w:pPr>
        <w:pStyle w:val="90"/>
        <w:bidi w:val="0"/>
        <w:rPr>
          <w:rFonts w:hint="default"/>
          <w:color w:val="auto"/>
          <w:sz w:val="24"/>
          <w:szCs w:val="24"/>
          <w:lang w:val="en-US" w:eastAsia="zh-CN"/>
        </w:rPr>
      </w:pPr>
      <w:r>
        <w:rPr>
          <w:rFonts w:hint="eastAsia"/>
          <w:color w:val="auto"/>
          <w:sz w:val="24"/>
          <w:szCs w:val="24"/>
        </w:rPr>
        <w:t>本轮融资公司</w:t>
      </w:r>
      <w:r>
        <w:rPr>
          <w:rFonts w:hint="eastAsia"/>
          <w:color w:val="auto"/>
          <w:sz w:val="24"/>
          <w:szCs w:val="24"/>
          <w:lang w:val="en-US" w:eastAsia="zh-CN"/>
        </w:rPr>
        <w:t>综合</w:t>
      </w:r>
      <w:r>
        <w:rPr>
          <w:rFonts w:hint="eastAsia"/>
          <w:color w:val="auto"/>
          <w:sz w:val="24"/>
          <w:szCs w:val="24"/>
        </w:rPr>
        <w:t>投前估值</w:t>
      </w:r>
      <w:r>
        <w:rPr>
          <w:rFonts w:hint="eastAsia"/>
          <w:color w:val="auto"/>
          <w:sz w:val="24"/>
          <w:szCs w:val="24"/>
          <w:lang w:val="en-US" w:eastAsia="zh-CN"/>
        </w:rPr>
        <w:t>30亿</w:t>
      </w:r>
      <w:r>
        <w:rPr>
          <w:rFonts w:hint="eastAsia"/>
          <w:color w:val="auto"/>
          <w:sz w:val="24"/>
          <w:szCs w:val="24"/>
        </w:rPr>
        <w:t>元</w:t>
      </w:r>
      <w:r>
        <w:rPr>
          <w:rFonts w:hint="eastAsia"/>
          <w:color w:val="auto"/>
          <w:sz w:val="24"/>
          <w:szCs w:val="24"/>
          <w:lang w:val="en-US" w:eastAsia="zh-CN"/>
        </w:rPr>
        <w:t>人民币。</w:t>
      </w:r>
    </w:p>
    <w:p w14:paraId="4472E612">
      <w:pPr>
        <w:pStyle w:val="85"/>
        <w:bidi w:val="0"/>
        <w:rPr>
          <w:rFonts w:hint="eastAsia"/>
          <w:color w:val="auto"/>
        </w:rPr>
      </w:pPr>
      <w:r>
        <w:rPr>
          <w:rFonts w:hint="eastAsia"/>
          <w:color w:val="auto"/>
        </w:rPr>
        <w:t>投资方案</w:t>
      </w:r>
    </w:p>
    <w:p w14:paraId="6D683678">
      <w:pPr>
        <w:pStyle w:val="90"/>
        <w:bidi w:val="0"/>
        <w:rPr>
          <w:rFonts w:hint="eastAsia" w:eastAsia="仿宋"/>
          <w:color w:val="auto"/>
          <w:sz w:val="24"/>
          <w:szCs w:val="24"/>
          <w:lang w:eastAsia="zh-CN"/>
        </w:rPr>
      </w:pPr>
      <w:r>
        <w:rPr>
          <w:rFonts w:hint="eastAsia"/>
          <w:color w:val="auto"/>
          <w:sz w:val="24"/>
          <w:szCs w:val="24"/>
        </w:rPr>
        <w:t>投资形式：增资</w:t>
      </w:r>
      <w:r>
        <w:rPr>
          <w:rFonts w:hint="eastAsia"/>
          <w:color w:val="auto"/>
          <w:sz w:val="24"/>
          <w:szCs w:val="24"/>
          <w:lang w:val="en-US" w:eastAsia="zh-CN"/>
        </w:rPr>
        <w:t>与股权转让</w:t>
      </w:r>
      <w:r>
        <w:rPr>
          <w:rFonts w:hint="eastAsia"/>
          <w:color w:val="auto"/>
          <w:sz w:val="24"/>
          <w:szCs w:val="24"/>
          <w:lang w:eastAsia="zh-CN"/>
        </w:rPr>
        <w:t>。</w:t>
      </w:r>
    </w:p>
    <w:p w14:paraId="16D5DF10">
      <w:pPr>
        <w:pStyle w:val="90"/>
        <w:bidi w:val="0"/>
        <w:rPr>
          <w:rFonts w:hint="eastAsia"/>
          <w:color w:val="auto"/>
          <w:sz w:val="24"/>
          <w:szCs w:val="24"/>
          <w:lang w:val="en-US" w:eastAsia="zh-CN"/>
        </w:rPr>
      </w:pPr>
      <w:r>
        <w:rPr>
          <w:rFonts w:hint="eastAsia"/>
          <w:color w:val="auto"/>
          <w:sz w:val="24"/>
          <w:szCs w:val="24"/>
        </w:rPr>
        <w:t>具体内容：</w:t>
      </w:r>
      <w:r>
        <w:rPr>
          <w:rFonts w:hint="eastAsia"/>
          <w:color w:val="auto"/>
          <w:sz w:val="24"/>
          <w:szCs w:val="24"/>
          <w:lang w:val="en-US" w:eastAsia="zh-CN"/>
        </w:rPr>
        <w:t>本轮公司融资为D轮，本轮融资由赛智伯乐领投，赛智具身基金拟投资4000万元。</w:t>
      </w:r>
    </w:p>
    <w:p w14:paraId="03AF8217">
      <w:pPr>
        <w:pStyle w:val="90"/>
        <w:bidi w:val="0"/>
        <w:rPr>
          <w:rFonts w:hint="eastAsia"/>
          <w:color w:val="auto"/>
          <w:sz w:val="24"/>
          <w:szCs w:val="24"/>
          <w:lang w:val="en-US" w:eastAsia="zh-CN"/>
        </w:rPr>
      </w:pPr>
      <w:r>
        <w:rPr>
          <w:rFonts w:hint="eastAsia"/>
          <w:color w:val="auto"/>
          <w:sz w:val="24"/>
          <w:szCs w:val="24"/>
          <w:lang w:val="en-US" w:eastAsia="zh-CN"/>
        </w:rPr>
        <w:t>具体的，赛智具身基金以增资加受让老股的方式投资本项目，总投资金额4000万元，其中增资3200万元，受让老股800万元。</w:t>
      </w:r>
    </w:p>
    <w:p w14:paraId="53970CE5">
      <w:pPr>
        <w:pStyle w:val="85"/>
        <w:bidi w:val="0"/>
        <w:rPr>
          <w:rFonts w:hint="eastAsia"/>
          <w:color w:val="auto"/>
        </w:rPr>
      </w:pPr>
      <w:r>
        <w:rPr>
          <w:rFonts w:hint="eastAsia"/>
          <w:color w:val="auto"/>
        </w:rPr>
        <w:t>风险控制及保护性条款</w:t>
      </w:r>
    </w:p>
    <w:p w14:paraId="4EB0FD46">
      <w:pPr>
        <w:spacing w:line="480" w:lineRule="exact"/>
        <w:ind w:firstLine="420" w:firstLineChars="0"/>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增资协议</w:t>
      </w:r>
    </w:p>
    <w:p w14:paraId="661E3A43">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一、估值与交易对价约束</w:t>
      </w:r>
    </w:p>
    <w:p w14:paraId="0D080E42">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本轮投前估值38亿元，投资人宁波赛智伯乐出资3200万元，增资款仅可用于产品研发、科研、市场、日常运营，新增用途需投资人书面审批，严控资金挪用风险。</w:t>
      </w:r>
    </w:p>
    <w:p w14:paraId="1FA702F3">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投资自动终止红线：2026年8月31日前投资人未完成打款则交易终止；若因投资人单方原因终止，需支付增资总额2%作为违约金。</w:t>
      </w:r>
    </w:p>
    <w:p w14:paraId="4B03DDC6">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二、交割前置风控条件（全部满足/投资人豁免方可打款）</w:t>
      </w:r>
    </w:p>
    <w:p w14:paraId="35CE18E6">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投资人设置多重前置核查门槛，未达标有权拒绝出资：</w:t>
      </w:r>
    </w:p>
    <w:p w14:paraId="791A912D">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无法律、行政禁令阻碍本次增资，各方签署履约不违反法律法规；</w:t>
      </w:r>
    </w:p>
    <w:p w14:paraId="5E73AF50">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公司、创始人及原股东全部陈述保证真实完整，无虚假、重大遗漏；</w:t>
      </w:r>
    </w:p>
    <w:p w14:paraId="14D5386F">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无重大不利变化事件（单笔损失超500万、影响上市、核心知识产权失效、行政处罚等均认定为重大不利）；</w:t>
      </w:r>
    </w:p>
    <w:p w14:paraId="4821A833">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全部内部股东会、合伙企业决策、外部第三方许可、政府备案完成并提供证明文件；</w:t>
      </w:r>
    </w:p>
    <w:p w14:paraId="4F20999E">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投资方完成内部投决并出具有效投资批复；</w:t>
      </w:r>
    </w:p>
    <w:p w14:paraId="63A6857A">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公司出具合规收款账户、签署交割确认函。</w:t>
      </w:r>
    </w:p>
    <w:p w14:paraId="4FD610F8">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三、过渡期资产与经营保全条款</w:t>
      </w:r>
    </w:p>
    <w:p w14:paraId="3C70D33B">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交割前锁定公司核心价值，禁止损害投资人潜在权益：</w:t>
      </w:r>
    </w:p>
    <w:p w14:paraId="78201472">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禁止质押、转让、处置公司股份，不得为股权增设第三方权利；</w:t>
      </w:r>
    </w:p>
    <w:p w14:paraId="28819A35">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核心知识产权、关键资产不得出售、质押、对外担保、无偿转移，仅常规存货/设备维护除外；</w:t>
      </w:r>
    </w:p>
    <w:p w14:paraId="7724300C">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不得大幅上调高管薪酬、新增大额福利，不得变更主营业务、拓展/退出核心业务；</w:t>
      </w:r>
    </w:p>
    <w:p w14:paraId="15675D5E">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过渡期禁止向股东分红、资本公积转增分配；</w:t>
      </w:r>
    </w:p>
    <w:p w14:paraId="06743E0A">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维持核心团队、客户供应商关系稳定，出现知识产权侵权需第一时间书面告知投资人。</w:t>
      </w:r>
    </w:p>
    <w:p w14:paraId="11F0E739">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四、陈述与保证</w:t>
      </w:r>
    </w:p>
    <w:p w14:paraId="1F64E9F3">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公司全体原股东共同连带向投资人作出核心合规承诺，签署日、交割日均需持续真实：</w:t>
      </w:r>
    </w:p>
    <w:p w14:paraId="4FB4A2F7">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主体合法存续，股权无质押、纠纷、诉讼，历次股权变更程序合规，出资足额无瑕疵；</w:t>
      </w:r>
    </w:p>
    <w:p w14:paraId="6A41FC2D">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核心知识产权完整、无侵权/被侵权纠纷，无无效风险；</w:t>
      </w:r>
    </w:p>
    <w:p w14:paraId="234F97FC">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劳动用工、社保公积金、税务、数据合规、患者信息保护全部合规，无重大处罚、稽查风险；</w:t>
      </w:r>
    </w:p>
    <w:p w14:paraId="11C28C34">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签署履行协议不违反自身现有合同、法律约束。</w:t>
      </w:r>
    </w:p>
    <w:p w14:paraId="02E329E8">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五、交割后核心保障条款</w:t>
      </w:r>
    </w:p>
    <w:p w14:paraId="6218B783">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工商变更时限：交割完成20个工作日内完成增资、章程变更工商备案，投资人自交割日起完整享有股东法定及协议约定特殊权利；工商登记简版协议与本投资协议冲突时，以本协议为准，规避阴阳合同风险。</w:t>
      </w:r>
    </w:p>
    <w:p w14:paraId="587DA2AA">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上市推进承诺：原股东连带承诺全力推进境内外IPO（不含新三板挂牌），配合中介、监管完成知识产权、持股平台、税务、用工等全部整改，消除上市实质性障碍。</w:t>
      </w:r>
    </w:p>
    <w:p w14:paraId="56C25F2A">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保密与对外发声管控：未经各方书面同意不得披露协议条款、公司经营信息；对外公告需统一审批，各方对自身员工、中介、关联方泄密承担连带责任。</w:t>
      </w:r>
    </w:p>
    <w:p w14:paraId="476E1B77">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六、投资人单方解除权</w:t>
      </w:r>
    </w:p>
    <w:p w14:paraId="69F63887">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满足任一情形，投资人可书面通知单方解除协议：</w:t>
      </w:r>
    </w:p>
    <w:p w14:paraId="66A66101">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签署后60日内交割先决条件仍未达成；</w:t>
      </w:r>
    </w:p>
    <w:p w14:paraId="0784A48E">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承诺人陈述保证存在重大虚假、遗漏；</w:t>
      </w:r>
    </w:p>
    <w:p w14:paraId="55465C21">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公司/原股东违反协议义务，书面催告10个工作日内未整改到位；</w:t>
      </w:r>
    </w:p>
    <w:p w14:paraId="28B33FFA">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交易解除后各方恢复原状，但保密、违约赔偿、争议解决、税费、费用承担等条款持续有效。</w:t>
      </w:r>
    </w:p>
    <w:p w14:paraId="010B089E">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七、违约赔偿责任机制</w:t>
      </w:r>
    </w:p>
    <w:p w14:paraId="70FC3C9E">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重大违约认定：违约经书面催告30日未整改，且影响上市、持续经营或交易效力，构成重大违约；</w:t>
      </w:r>
    </w:p>
    <w:p w14:paraId="1C326056">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连带赔偿义务：承诺人共同连带赔偿投资人全部直接/间接损失（含诉讼费、律师费、罚金、维权开支）；</w:t>
      </w:r>
    </w:p>
    <w:p w14:paraId="30050C31">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股东赔偿上限：原股东赔偿责任以其直接/间接持有的公司股份公允变现价值为限（员工股权激励份额除外），平衡各方风险边界。</w:t>
      </w:r>
    </w:p>
    <w:p w14:paraId="076F12A6">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八、不可抗力与履约隔离</w:t>
      </w:r>
    </w:p>
    <w:p w14:paraId="50CE0781">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疫情不纳入不可抗力免责范围；不可抗力持续超1个月或致使交易目的落空，投资人有权终止协议；</w:t>
      </w:r>
    </w:p>
    <w:p w14:paraId="7B41C9EC">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争议协商/仲裁期间，除争议事项外其余条款正常履行，不暂停公司经营与投资人权利保障。</w:t>
      </w:r>
    </w:p>
    <w:p w14:paraId="50EE0122">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九、争议解决与法律保障</w:t>
      </w:r>
    </w:p>
    <w:p w14:paraId="2EC1E626">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适用中国内地法律，排除港澳台法律管辖；</w:t>
      </w:r>
    </w:p>
    <w:p w14:paraId="32D02427">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纠纷先协商，协商不成提交中国国际经济贸易仲裁委员会（北京）仲裁，裁决终局，保障投资人专业商事争议救济渠道。</w:t>
      </w:r>
    </w:p>
    <w:p w14:paraId="1124D694">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十、其他配套风控细则</w:t>
      </w:r>
    </w:p>
    <w:p w14:paraId="3BDAFB40">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通知送达机制：约定固定通讯地址，地址变更需提前7日书面告知，未及时通知自行承担信息遗漏损失；</w:t>
      </w:r>
    </w:p>
    <w:p w14:paraId="16F1ABB9">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协议可分割性：单一条款无效不影响整体协议效力；</w:t>
      </w:r>
    </w:p>
    <w:p w14:paraId="75D65725">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转让限制：未经其他方书面同意，任何一方不得转让协议项下权利义务，防止第三方无序介入交易；</w:t>
      </w:r>
    </w:p>
    <w:p w14:paraId="7E4EF2B7">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费用隔离：各方自行承担自身中介、尽调费用，工商变更、备案费用由公司承担。</w:t>
      </w:r>
    </w:p>
    <w:p w14:paraId="03B1727C">
      <w:pPr>
        <w:spacing w:line="480" w:lineRule="exact"/>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受让宁波领脉、杭州佳诺智光所持佳量脑科学老股共计800万元人民币（老股价格按公司估值14.2亿元）的股份转让协议</w:t>
      </w:r>
    </w:p>
    <w:p w14:paraId="1A917CE1">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一、股权权属前置兜底</w:t>
      </w:r>
    </w:p>
    <w:p w14:paraId="1D351B06">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转让方单独作出权属陈述保证，承诺转让股份实缴完毕、无质押/查封/代持等权利负担，不存在股权争议、诉讼仲裁；若存在权属瑕疵，全部损失由转让方承担，从源头规避受让方股权权利落空风险。同时明确本次老股交割完成后，对应股份绑定的原股东回购义务永久终止，切断受让方未来被回购追责的潜在隐患。</w:t>
      </w:r>
    </w:p>
    <w:p w14:paraId="7BF9BDE6">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二、交割与价款履约约束</w:t>
      </w:r>
    </w:p>
    <w:p w14:paraId="237C9074">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付款时限：受让方需在协议签署后10个工作日内一次性全额支付转让款，资金支付完毕当日即为交割日，交割后即时享有完整股东权利、承担对应股东义务；</w:t>
      </w:r>
    </w:p>
    <w:p w14:paraId="6A3D887B">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持股凭证保障：交割后5个工作日内转让方配合公司出具加盖公章的股东名册与持股证明，固化受让方股东身份，完善工商确权前置材料；</w:t>
      </w:r>
    </w:p>
    <w:p w14:paraId="3467DFC4">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税费划分：交易产生全部税费按法律法规由交易双方各自承担，明确成本边界。</w:t>
      </w:r>
    </w:p>
    <w:p w14:paraId="5357972C">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三、双向主体合规陈述与保证</w:t>
      </w:r>
    </w:p>
    <w:p w14:paraId="5A5F538D">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转让方、受让方分别独立、互不连带作出合规承诺：主体合法存续、内部决策审批齐全，签署履行本协议不违反自身章程、法律法规、存量合同，不存在限制本次股权转让的诉讼、行政程序；受让方额外承诺出资资金来源合法、具备合规股东资质，杜绝因主体资质瑕疵导致交易无效。</w:t>
      </w:r>
    </w:p>
    <w:p w14:paraId="3C29378E">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四、支付与履约承诺条款</w:t>
      </w:r>
    </w:p>
    <w:p w14:paraId="2373C8D0">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受让方核心义务为按期足额支付转让价款，锁定资金履约责任；协议签署即生效，如需修改、解除必须签署书面文件，口头变更不具备效力，防止转让方单方反悔。</w:t>
      </w:r>
    </w:p>
    <w:p w14:paraId="41F35B8C">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五、交易解除与返还机制</w:t>
      </w:r>
    </w:p>
    <w:p w14:paraId="20CB23AC">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双方书面解除协议的，5个工作日内互相返还交易对价、恢复交易前原状；协议解除后，保密、违约赔偿、争议解决等核心责任条款持续有效，已发生违约行为仍需追责，避免解约后损失无法追偿。</w:t>
      </w:r>
    </w:p>
    <w:p w14:paraId="379A8D70">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六、完整违约赔偿体系</w:t>
      </w:r>
    </w:p>
    <w:p w14:paraId="44570AFE">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任何一方违反陈述、保证、付款、配合义务均构成违约，违约方需全额赔付守约方直接、间接损失，涵盖本金利息、诉讼费、律师费、维权支出等全部相关开支，设置全额损失兜底赔偿标准。</w:t>
      </w:r>
    </w:p>
    <w:p w14:paraId="05B8A3BE">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七、保密与信息管控</w:t>
      </w:r>
    </w:p>
    <w:p w14:paraId="35207FE7">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双方对交易金额、股权比例、协议条款全程保密，仅可向自身中介、公司、监管机构有限披露；违规泄密造成损失的，由泄密方承担赔偿责任，保护基金投资交易信息不对外泄露。</w:t>
      </w:r>
    </w:p>
    <w:p w14:paraId="2500A12C">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八、争议与法律保障</w:t>
      </w:r>
    </w:p>
    <w:p w14:paraId="5D50118C">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统一适用中国内地法律，纠纷协商不成提交中国国际经济贸易仲裁委员会北京仲裁，裁决终局，提供专业商事争议救济渠道；设置规范书面通知送达机制，地址变更未提前告知一方自行承担信息失联损失。</w:t>
      </w:r>
    </w:p>
    <w:p w14:paraId="53601DEA">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九、协议效力兜底规则</w:t>
      </w:r>
    </w:p>
    <w:p w14:paraId="1223FB65">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协议单项条款无效不影响其余条款效力；权利不及时行使不视为自动放弃，保障投资人后续随时追责；支持线上扫描件签署，每份文件具备同等法律效力，兼顾交易落地灵活性与法律稳定性。</w:t>
      </w:r>
    </w:p>
    <w:p w14:paraId="3C98C6B0">
      <w:pPr>
        <w:pStyle w:val="78"/>
        <w:bidi w:val="0"/>
        <w:rPr>
          <w:rFonts w:hint="eastAsia"/>
          <w:color w:val="auto"/>
        </w:rPr>
      </w:pPr>
      <w:r>
        <w:rPr>
          <w:rFonts w:hint="eastAsia"/>
          <w:color w:val="auto"/>
          <w:lang w:val="en-US" w:eastAsia="zh-CN"/>
        </w:rPr>
        <w:t>公司定位与回报测算</w:t>
      </w:r>
    </w:p>
    <w:p w14:paraId="4DBECAFD">
      <w:pPr>
        <w:pStyle w:val="85"/>
        <w:numPr>
          <w:ilvl w:val="0"/>
          <w:numId w:val="9"/>
        </w:numPr>
        <w:bidi w:val="0"/>
        <w:rPr>
          <w:rFonts w:hint="eastAsia"/>
          <w:color w:val="auto"/>
        </w:rPr>
      </w:pPr>
      <w:r>
        <w:rPr>
          <w:rFonts w:hint="eastAsia"/>
          <w:color w:val="auto"/>
        </w:rPr>
        <w:t>公司</w:t>
      </w:r>
      <w:r>
        <w:rPr>
          <w:rFonts w:hint="eastAsia"/>
          <w:color w:val="auto"/>
          <w:lang w:val="en-US" w:eastAsia="zh-CN"/>
        </w:rPr>
        <w:t>定位</w:t>
      </w:r>
    </w:p>
    <w:p w14:paraId="1D073E1C">
      <w:pPr>
        <w:spacing w:line="480" w:lineRule="exact"/>
        <w:ind w:firstLine="420" w:firstLineChars="0"/>
        <w:rPr>
          <w:rFonts w:hint="eastAsia" w:ascii="仿宋" w:hAnsi="仿宋" w:eastAsia="仿宋" w:cs="仿宋"/>
          <w:color w:val="auto"/>
          <w:sz w:val="24"/>
          <w:szCs w:val="24"/>
          <w:lang w:val="en-US" w:eastAsia="zh-Hans"/>
        </w:rPr>
      </w:pPr>
      <w:r>
        <w:rPr>
          <w:rFonts w:hint="default" w:ascii="仿宋" w:hAnsi="仿宋" w:eastAsia="仿宋" w:cs="仿宋"/>
          <w:color w:val="auto"/>
          <w:sz w:val="24"/>
          <w:szCs w:val="24"/>
          <w:lang w:val="en-US" w:eastAsia="zh-CN"/>
        </w:rPr>
        <w:t>杭州佳量脑科学股份有限公司是 2020 年落地杭州、聚焦脑科学与神经外科前沿技术产业化的平台型高新医疗器械企业，以脑机调控、医用激光、脑机芯片为核心技术底座，专注癫痫、脑肿瘤、帕金森等中枢神经系统疾病微创诊疗创新器械研发、生产与销售，打造包含磁共振引导激光消融系统、植入式闭环神经刺激设备、颅内深部电极在内的完整临床产品管线，依托医工协同与全球化布局推进高端神经外科设备国产替代，定位神经医学领域创新解决方案领航者，以医疗级脑机技术落地为根基，同步储备技术向具身智能等多场景延伸的产业化能力，是国内脑科器械赛道准独角兽企业。</w:t>
      </w:r>
    </w:p>
    <w:p w14:paraId="3D0C5B33">
      <w:pPr>
        <w:pStyle w:val="85"/>
        <w:numPr>
          <w:ilvl w:val="0"/>
          <w:numId w:val="9"/>
        </w:numPr>
        <w:bidi w:val="0"/>
        <w:rPr>
          <w:rFonts w:hint="default"/>
          <w:color w:val="auto"/>
          <w:lang w:val="en-US" w:eastAsia="zh-CN"/>
        </w:rPr>
      </w:pPr>
      <w:r>
        <w:rPr>
          <w:rFonts w:hint="eastAsia"/>
          <w:color w:val="auto"/>
          <w:lang w:val="en-US" w:eastAsia="zh-CN"/>
        </w:rPr>
        <w:t>回报分析</w:t>
      </w:r>
    </w:p>
    <w:p w14:paraId="3A237145">
      <w:pPr>
        <w:keepNext w:val="0"/>
        <w:keepLines w:val="0"/>
        <w:widowControl/>
        <w:suppressLineNumbers w:val="0"/>
        <w:ind w:firstLine="480" w:firstLineChars="200"/>
        <w:jc w:val="left"/>
      </w:pPr>
      <w:r>
        <w:rPr>
          <w:rFonts w:hint="default" w:ascii="仿宋" w:hAnsi="仿宋" w:eastAsia="仿宋" w:cs="仿宋"/>
          <w:color w:val="auto"/>
          <w:sz w:val="24"/>
          <w:szCs w:val="24"/>
          <w:lang w:val="en-US" w:eastAsia="zh-CN"/>
        </w:rPr>
        <w:t>公司规划2026-2028年分阶段落地产品注册、临床推进、资本运作与商业化布局，对应估值持续抬升，投资回报空间清晰：2026年D轮投后估值40亿元，完成股改、D轮交割并提交RNS产品NDA；同年E轮实现国内首款医疗级脑机接口产品Epilure（RNS）获批，同步推进帕金森iSBS确证临床，估值升至70亿元，D轮投资人在此阶段账面回报约1.75倍；2027年多条管线完成申报取证、落地BD授权并冲刺港股上市，估值达100亿元，对应D轮投资人账面回报2.5倍；2028年多款核心器械获批、公司实现扭亏为盈并启动海外临床，上市后估值区间150-200亿元，D轮投资人对应账面回报可达3.75至5倍，依托持续落地的神经微创创新</w:t>
      </w:r>
      <w:bookmarkStart w:id="1" w:name="_GoBack"/>
      <w:bookmarkEnd w:id="1"/>
      <w:r>
        <w:rPr>
          <w:rFonts w:hint="default" w:ascii="仿宋" w:hAnsi="仿宋" w:eastAsia="仿宋" w:cs="仿宋"/>
          <w:color w:val="auto"/>
          <w:sz w:val="24"/>
          <w:szCs w:val="24"/>
          <w:lang w:val="en-US" w:eastAsia="zh-CN"/>
        </w:rPr>
        <w:t>器械管线实现估值阶梯式增长，带来可观投资收益</w:t>
      </w:r>
      <w:r>
        <w:rPr>
          <w:rFonts w:ascii="宋体" w:hAnsi="宋体" w:eastAsia="宋体" w:cs="宋体"/>
          <w:kern w:val="0"/>
          <w:sz w:val="24"/>
          <w:szCs w:val="24"/>
          <w:lang w:val="en-US" w:eastAsia="zh-CN" w:bidi="ar"/>
        </w:rPr>
        <w:t>。</w:t>
      </w:r>
    </w:p>
    <w:p w14:paraId="2133C17F">
      <w:pPr>
        <w:spacing w:line="480" w:lineRule="exact"/>
      </w:pPr>
      <w:r>
        <w:rPr>
          <w:color w:val="auto"/>
        </w:rPr>
        <w:drawing>
          <wp:anchor distT="0" distB="0" distL="114300" distR="114300" simplePos="0" relativeHeight="251659264" behindDoc="0" locked="0" layoutInCell="1" allowOverlap="1">
            <wp:simplePos x="0" y="0"/>
            <wp:positionH relativeFrom="column">
              <wp:posOffset>21590</wp:posOffset>
            </wp:positionH>
            <wp:positionV relativeFrom="paragraph">
              <wp:posOffset>203200</wp:posOffset>
            </wp:positionV>
            <wp:extent cx="5272405" cy="2206625"/>
            <wp:effectExtent l="0" t="0" r="10795" b="3175"/>
            <wp:wrapNone/>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5272405" cy="2206625"/>
                    </a:xfrm>
                    <a:prstGeom prst="rect">
                      <a:avLst/>
                    </a:prstGeom>
                    <a:noFill/>
                    <a:ln>
                      <a:noFill/>
                    </a:ln>
                  </pic:spPr>
                </pic:pic>
              </a:graphicData>
            </a:graphic>
          </wp:anchor>
        </w:drawing>
      </w:r>
    </w:p>
    <w:p w14:paraId="054FEF4C">
      <w:pPr>
        <w:spacing w:line="480" w:lineRule="exact"/>
        <w:ind w:firstLine="420" w:firstLineChars="0"/>
      </w:pPr>
    </w:p>
    <w:p w14:paraId="23186987">
      <w:pPr>
        <w:spacing w:line="480" w:lineRule="exact"/>
        <w:ind w:firstLine="420" w:firstLineChars="0"/>
      </w:pPr>
    </w:p>
    <w:p w14:paraId="6746092B">
      <w:pPr>
        <w:spacing w:line="480" w:lineRule="exact"/>
        <w:ind w:firstLine="420" w:firstLineChars="0"/>
      </w:pPr>
    </w:p>
    <w:p w14:paraId="7C17A28B">
      <w:pPr>
        <w:spacing w:line="480" w:lineRule="exact"/>
        <w:ind w:firstLine="420" w:firstLineChars="0"/>
      </w:pPr>
    </w:p>
    <w:p w14:paraId="68108170">
      <w:pPr>
        <w:pStyle w:val="78"/>
        <w:bidi w:val="0"/>
        <w:rPr>
          <w:rFonts w:hint="eastAsia"/>
          <w:color w:val="auto"/>
          <w:lang w:val="en-US" w:eastAsia="zh-CN"/>
        </w:rPr>
      </w:pPr>
      <w:bookmarkStart w:id="0" w:name="_Toc236891365"/>
      <w:r>
        <w:rPr>
          <w:rFonts w:hint="eastAsia"/>
          <w:color w:val="auto"/>
          <w:lang w:val="en-US" w:eastAsia="zh-CN"/>
        </w:rPr>
        <w:t>风险提示</w:t>
      </w:r>
      <w:bookmarkEnd w:id="0"/>
      <w:r>
        <w:rPr>
          <w:rFonts w:hint="eastAsia"/>
          <w:color w:val="auto"/>
          <w:lang w:val="en-US" w:eastAsia="zh-CN"/>
        </w:rPr>
        <w:t>与对策</w:t>
      </w:r>
    </w:p>
    <w:p w14:paraId="3DBEDE1A">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1.核心底层硬件风险</w:t>
      </w:r>
    </w:p>
    <w:p w14:paraId="4019D2D0">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风险概述</w:t>
      </w:r>
    </w:p>
    <w:p w14:paraId="2148617B">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暂无自研高端核心芯片相关专利，产品芯片对外采购通用医用芯片，供应链存在外部依赖。</w:t>
      </w:r>
    </w:p>
    <w:p w14:paraId="0945BFF6">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应对策略</w:t>
      </w:r>
    </w:p>
    <w:p w14:paraId="1703DFCF">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植入级专用芯片已完成设计，加快流片进度，自主布局芯片知识产权与低功耗架构；搭建国内外双备用供应链，降低对TI、ADI单一海外厂商的依赖程度。</w:t>
      </w:r>
    </w:p>
    <w:p w14:paraId="2E497492">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2.电极与信号采集风险</w:t>
      </w:r>
    </w:p>
    <w:p w14:paraId="0A8E42E6">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风险概述</w:t>
      </w:r>
    </w:p>
    <w:p w14:paraId="5FD82733">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当前产品以传统刚性电极为主，高通量柔性电极尚处于研发早期；电极材质、植入创伤、生物相容性等指标与头部企业存在差距；临床植入样本数量、单例通道数量不足，缺少长期随访数据佐证信号稳定性，长期植入易出现胶质瘢痕增生、信号衰减等行业共性痛点。</w:t>
      </w:r>
    </w:p>
    <w:p w14:paraId="2A35C92A">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应对策略</w:t>
      </w:r>
    </w:p>
    <w:p w14:paraId="42BFEFBD">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公司已与新加坡国立大学签订合作协议，开展18个月周期的3D卷绕结构柔性微电极阵列联合科研，主攻下一代SEEG癫痫病灶高精度定位技术；针对性研发抗胶质瘢痕、抑制信号衰减的电极材料与结构方案，提升设备长期植入稳定性与使用寿命。</w:t>
      </w:r>
    </w:p>
    <w:p w14:paraId="707ECE3F">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3.算法与闭环技术风险</w:t>
      </w:r>
    </w:p>
    <w:p w14:paraId="1E05C351">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风险概述</w:t>
      </w:r>
    </w:p>
    <w:p w14:paraId="2A5BAB91">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无独家解码算法壁垒，整体技术框架同质化；RNS癫痫闭环疗法缺少多中心大样本对照研究及权威期刊学术背书；帕金森、脊髓损伤管线仅完成零星个案临床，未建立标准化治疗范式，适应症拓展难度较高。</w:t>
      </w:r>
    </w:p>
    <w:p w14:paraId="6390DC75">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应对策略</w:t>
      </w:r>
    </w:p>
    <w:p w14:paraId="4A8856EE">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加大闭环解码、自适应刺激算法自研投入，布局原创算法专利，打造差异化技术壁垒；推进RNS癫痫产品多中心大样本对照临床试验，补充顶刊学术成果，规范临床疗效数据披露；搭建帕金森、脊髓损伤管线标准化解码与刺激体系，由零散个案转向系统化临床验证，降低管线拓展不及预期的风险。</w:t>
      </w:r>
    </w:p>
    <w:p w14:paraId="01AB7B66">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4.行业梯队落后风险</w:t>
      </w:r>
    </w:p>
    <w:p w14:paraId="532444C0">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风险概述</w:t>
      </w:r>
    </w:p>
    <w:p w14:paraId="014A48EC">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企业当前处于行业第二梯队，在产品获批进度、商业化能力、临床样本规模上与头部企业差距显著；赛道竞争激烈，缺少绝对差异化优势，实现行业位次跃升难度较大。</w:t>
      </w:r>
    </w:p>
    <w:p w14:paraId="6B67FE1F">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应对策略</w:t>
      </w:r>
    </w:p>
    <w:p w14:paraId="27DF320F">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依托现有管线基础，提速RNS、DBS核心产品注册取证节奏，快速扩充多中心临床植入规模，补齐商业化、临床数据短板；强化SEEG+LITT+侵入式脑机一体化全管线差异化布局，打造专属临床与技术壁垒，缓解行业内卷带来的竞争压力。</w:t>
      </w:r>
    </w:p>
    <w:p w14:paraId="4B45B15B">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5.上市不及预期风险</w:t>
      </w:r>
    </w:p>
    <w:p w14:paraId="6FD2A26B">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风险概述</w:t>
      </w:r>
    </w:p>
    <w:p w14:paraId="5E03D933">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港股18A申报进度高度依赖核心产品取证、研发落地节奏，存在申报受阻、无法按期完成上市的实质性风险。</w:t>
      </w:r>
    </w:p>
    <w:p w14:paraId="5E3CBED4">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应对策略</w:t>
      </w:r>
    </w:p>
    <w:p w14:paraId="098ECE49">
      <w:pPr>
        <w:pStyle w:val="90"/>
        <w:bidi w:val="0"/>
        <w:rPr>
          <w:rFonts w:hint="eastAsia" w:ascii="仿宋" w:hAnsi="仿宋" w:eastAsia="仿宋" w:cs="仿宋"/>
          <w:color w:val="auto"/>
          <w:sz w:val="24"/>
          <w:szCs w:val="24"/>
          <w:lang w:val="en-US" w:eastAsia="zh-Hans" w:bidi="ar-SA"/>
        </w:rPr>
      </w:pPr>
      <w:r>
        <w:rPr>
          <w:rFonts w:hint="eastAsia" w:ascii="仿宋" w:hAnsi="仿宋" w:eastAsia="仿宋" w:cs="仿宋"/>
          <w:color w:val="auto"/>
          <w:sz w:val="24"/>
          <w:szCs w:val="24"/>
          <w:lang w:val="en-US" w:eastAsia="zh-Hans" w:bidi="ar-SA"/>
        </w:rPr>
        <w:t>提前规范财务核算体系，搭建完善合规治理架构，稳步开展港股18A申报筹备工作，分阶段达标上市各项硬性指标，缓释申报延后、估值下行、长期无法实现上市退出等潜在风险。</w:t>
      </w:r>
    </w:p>
    <w:p w14:paraId="4CBAB3A8">
      <w:pPr>
        <w:pStyle w:val="78"/>
        <w:bidi w:val="0"/>
        <w:rPr>
          <w:rFonts w:hint="eastAsia"/>
          <w:color w:val="auto"/>
          <w:lang w:val="en-US" w:eastAsia="zh-Hans"/>
        </w:rPr>
      </w:pPr>
      <w:r>
        <w:rPr>
          <w:rFonts w:hint="eastAsia"/>
          <w:color w:val="auto"/>
          <w:lang w:val="en-US" w:eastAsia="zh-Hans"/>
        </w:rPr>
        <w:t>结论</w:t>
      </w:r>
    </w:p>
    <w:p w14:paraId="1C1BE72F">
      <w:pPr>
        <w:spacing w:line="480" w:lineRule="exact"/>
        <w:ind w:firstLine="420" w:firstLineChars="0"/>
        <w:rPr>
          <w:rFonts w:hint="eastAsia" w:ascii="仿宋" w:hAnsi="仿宋" w:eastAsia="仿宋" w:cs="仿宋"/>
          <w:color w:val="auto"/>
          <w:sz w:val="24"/>
          <w:szCs w:val="24"/>
          <w:lang w:val="en-US" w:eastAsia="zh-Hans"/>
        </w:rPr>
      </w:pPr>
      <w:r>
        <w:rPr>
          <w:rFonts w:hint="eastAsia" w:ascii="仿宋" w:hAnsi="仿宋" w:eastAsia="仿宋" w:cs="仿宋"/>
          <w:color w:val="auto"/>
          <w:sz w:val="24"/>
          <w:szCs w:val="24"/>
          <w:lang w:val="en-US" w:eastAsia="zh-Hans"/>
        </w:rPr>
        <w:t>综合考虑</w:t>
      </w:r>
      <w:r>
        <w:rPr>
          <w:rFonts w:hint="eastAsia" w:ascii="仿宋" w:hAnsi="仿宋" w:eastAsia="仿宋" w:cs="仿宋"/>
          <w:color w:val="auto"/>
          <w:sz w:val="24"/>
          <w:szCs w:val="24"/>
          <w:lang w:val="en-US" w:eastAsia="zh-CN"/>
        </w:rPr>
        <w:t>佳量脑科学</w:t>
      </w:r>
      <w:r>
        <w:rPr>
          <w:rFonts w:hint="eastAsia" w:ascii="仿宋" w:hAnsi="仿宋" w:eastAsia="仿宋" w:cs="仿宋"/>
          <w:color w:val="auto"/>
          <w:sz w:val="24"/>
          <w:szCs w:val="24"/>
          <w:lang w:val="en-US" w:eastAsia="zh-Hans"/>
        </w:rPr>
        <w:t>所处行业的发展趋势，公司技术平台、产品管线、估值等因素，项目组认为</w:t>
      </w:r>
      <w:r>
        <w:rPr>
          <w:rFonts w:hint="eastAsia" w:ascii="仿宋" w:hAnsi="仿宋" w:eastAsia="仿宋" w:cs="仿宋"/>
          <w:color w:val="auto"/>
          <w:sz w:val="24"/>
          <w:szCs w:val="24"/>
          <w:lang w:val="en-US" w:eastAsia="zh-CN"/>
        </w:rPr>
        <w:t>佳量脑科学</w:t>
      </w:r>
      <w:r>
        <w:rPr>
          <w:rFonts w:hint="eastAsia" w:ascii="仿宋" w:hAnsi="仿宋" w:eastAsia="仿宋" w:cs="仿宋"/>
          <w:color w:val="auto"/>
          <w:sz w:val="24"/>
          <w:szCs w:val="24"/>
          <w:lang w:val="en-US" w:eastAsia="zh-Hans"/>
        </w:rPr>
        <w:t>具备较高的投资价值。</w:t>
      </w:r>
    </w:p>
    <w:p w14:paraId="5FC4F55A">
      <w:pPr>
        <w:spacing w:line="480" w:lineRule="exact"/>
        <w:ind w:firstLine="420" w:firstLineChars="0"/>
        <w:rPr>
          <w:rFonts w:hint="eastAsia" w:ascii="仿宋" w:hAnsi="仿宋" w:eastAsia="仿宋" w:cs="仿宋"/>
          <w:color w:val="auto"/>
          <w:sz w:val="24"/>
          <w:szCs w:val="24"/>
          <w:lang w:val="en-US" w:eastAsia="zh-Hans"/>
        </w:rPr>
      </w:pPr>
      <w:r>
        <w:rPr>
          <w:rFonts w:hint="eastAsia" w:ascii="仿宋" w:hAnsi="仿宋" w:eastAsia="仿宋" w:cs="仿宋"/>
          <w:color w:val="auto"/>
          <w:sz w:val="24"/>
          <w:szCs w:val="24"/>
          <w:lang w:val="en-US" w:eastAsia="zh-Hans"/>
        </w:rPr>
        <w:t>浙江赛智伯乐股权投资管理有限公司</w:t>
      </w:r>
    </w:p>
    <w:p w14:paraId="7973A589">
      <w:pPr>
        <w:spacing w:line="480" w:lineRule="exact"/>
        <w:ind w:firstLine="420" w:firstLineChars="0"/>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Hans"/>
        </w:rPr>
        <w:t>202</w:t>
      </w:r>
      <w:r>
        <w:rPr>
          <w:rFonts w:hint="eastAsia" w:ascii="仿宋" w:hAnsi="仿宋" w:eastAsia="仿宋" w:cs="仿宋"/>
          <w:color w:val="auto"/>
          <w:sz w:val="24"/>
          <w:szCs w:val="24"/>
          <w:lang w:val="en-US" w:eastAsia="zh-CN"/>
        </w:rPr>
        <w:t>6</w:t>
      </w:r>
      <w:r>
        <w:rPr>
          <w:rFonts w:hint="eastAsia" w:ascii="仿宋" w:hAnsi="仿宋" w:eastAsia="仿宋" w:cs="仿宋"/>
          <w:color w:val="auto"/>
          <w:sz w:val="24"/>
          <w:szCs w:val="24"/>
          <w:lang w:val="en-US" w:eastAsia="zh-Hans"/>
        </w:rPr>
        <w:t>年</w:t>
      </w:r>
      <w:r>
        <w:rPr>
          <w:rFonts w:hint="eastAsia" w:ascii="仿宋" w:hAnsi="仿宋" w:eastAsia="仿宋" w:cs="仿宋"/>
          <w:color w:val="auto"/>
          <w:sz w:val="24"/>
          <w:szCs w:val="24"/>
          <w:lang w:val="en-US" w:eastAsia="zh-CN"/>
        </w:rPr>
        <w:t>6</w:t>
      </w:r>
      <w:r>
        <w:rPr>
          <w:rFonts w:hint="eastAsia" w:ascii="仿宋" w:hAnsi="仿宋" w:eastAsia="仿宋" w:cs="仿宋"/>
          <w:color w:val="auto"/>
          <w:sz w:val="24"/>
          <w:szCs w:val="24"/>
          <w:lang w:val="en-US" w:eastAsia="zh-Hans"/>
        </w:rPr>
        <w:t>月</w:t>
      </w:r>
    </w:p>
    <w:p w14:paraId="43FF3782">
      <w:pPr>
        <w:pStyle w:val="90"/>
        <w:bidi w:val="0"/>
        <w:rPr>
          <w:rFonts w:hint="eastAsia"/>
          <w:b/>
          <w:bCs/>
          <w:lang w:val="en-US" w:eastAsia="zh-CN"/>
        </w:rPr>
      </w:pPr>
    </w:p>
    <w:p w14:paraId="5984A6B6">
      <w:pPr>
        <w:pStyle w:val="90"/>
        <w:bidi w:val="0"/>
        <w:rPr>
          <w:rFonts w:hint="eastAsia"/>
          <w:lang w:val="en-US" w:eastAsia="zh-CN"/>
        </w:rPr>
      </w:pPr>
    </w:p>
    <w:p w14:paraId="5D904B78">
      <w:pPr>
        <w:pStyle w:val="90"/>
        <w:bidi w:val="0"/>
        <w:ind w:left="0" w:leftChars="0" w:firstLine="0" w:firstLineChars="0"/>
        <w:rPr>
          <w:rFonts w:hint="default"/>
          <w:color w:val="0000FF"/>
          <w:lang w:val="en-US" w:eastAsia="zh-CN"/>
        </w:rPr>
      </w:pPr>
    </w:p>
    <w:sectPr>
      <w:headerReference r:id="rId3" w:type="default"/>
      <w:footerReference r:id="rId4" w:type="default"/>
      <w:type w:val="continuous"/>
      <w:pgSz w:w="11906" w:h="16838"/>
      <w:pgMar w:top="1440" w:right="1797" w:bottom="1497" w:left="1797"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仿宋">
    <w:altName w:val="方正仿宋_GBK"/>
    <w:panose1 w:val="02010609060101010101"/>
    <w:charset w:val="86"/>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Verdana">
    <w:panose1 w:val="020B0804030504040204"/>
    <w:charset w:val="00"/>
    <w:family w:val="swiss"/>
    <w:pitch w:val="default"/>
    <w:sig w:usb0="A10006FF" w:usb1="4000205B" w:usb2="00000010" w:usb3="00000000" w:csb0="2000019F" w:csb1="00000000"/>
  </w:font>
  <w:font w:name="DengXian">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Arial">
    <w:panose1 w:val="020B06040202020902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仿宋">
    <w:altName w:val="方正仿宋_GBK"/>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3F563">
    <w:pPr>
      <w:pStyle w:val="16"/>
    </w:pPr>
    <w:r>
      <mc:AlternateContent>
        <mc:Choice Requires="wps">
          <w:drawing>
            <wp:anchor distT="0" distB="0" distL="114300" distR="114300" simplePos="0" relativeHeight="251661312" behindDoc="0" locked="0" layoutInCell="1" allowOverlap="1">
              <wp:simplePos x="0" y="0"/>
              <wp:positionH relativeFrom="margin">
                <wp:posOffset>2584450</wp:posOffset>
              </wp:positionH>
              <wp:positionV relativeFrom="paragraph">
                <wp:posOffset>-1905</wp:posOffset>
              </wp:positionV>
              <wp:extent cx="317500" cy="190500"/>
              <wp:effectExtent l="0" t="0" r="6350" b="0"/>
              <wp:wrapNone/>
              <wp:docPr id="1210333096" name="文本框 1210333096"/>
              <wp:cNvGraphicFramePr/>
              <a:graphic xmlns:a="http://schemas.openxmlformats.org/drawingml/2006/main">
                <a:graphicData uri="http://schemas.microsoft.com/office/word/2010/wordprocessingShape">
                  <wps:wsp>
                    <wps:cNvSpPr txBox="1"/>
                    <wps:spPr>
                      <a:xfrm>
                        <a:off x="0" y="0"/>
                        <a:ext cx="317500" cy="1905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FA67E2">
                          <w:pPr>
                            <w:pStyle w:val="16"/>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3.5pt;margin-top:-0.15pt;height:15pt;width:25pt;mso-position-horizontal-relative:margin;z-index:251661312;mso-width-relative:page;mso-height-relative:page;" filled="f" stroked="f" coordsize="21600,21600" o:gfxdata="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mhAb7XAAAACAEAAA8AAAAAAAAAAQAgAAAAIgAAAGRycy9kb3du&#10;cmV2LnhtbFBLAQIUABQAAAAIAIdO4kCgqxF5OQIAAGcEAAAOAAAAAAAAAAEAIAAAACYBAABkcnMv&#10;ZTJvRG9jLnhtbFBLBQYAAAAABgAGAFkBAADRBQAAAAA=&#10;">
              <v:fill on="f" focussize="0,0"/>
              <v:stroke on="f" weight="0.5pt"/>
              <v:imagedata o:title=""/>
              <o:lock v:ext="edit" aspectratio="f"/>
              <v:textbox inset="0mm,0mm,0mm,0mm">
                <w:txbxContent>
                  <w:p w14:paraId="76FA67E2">
                    <w:pPr>
                      <w:pStyle w:val="16"/>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E70C6">
    <w:pPr>
      <w:spacing w:line="14" w:lineRule="auto"/>
    </w:pPr>
    <w:r>
      <mc:AlternateContent>
        <mc:Choice Requires="wps">
          <w:drawing>
            <wp:anchor distT="0" distB="0" distL="114300" distR="114300" simplePos="0" relativeHeight="251660288" behindDoc="1" locked="0" layoutInCell="1" allowOverlap="1">
              <wp:simplePos x="0" y="0"/>
              <wp:positionH relativeFrom="page">
                <wp:posOffset>1124585</wp:posOffset>
              </wp:positionH>
              <wp:positionV relativeFrom="page">
                <wp:posOffset>696595</wp:posOffset>
              </wp:positionV>
              <wp:extent cx="5313680" cy="0"/>
              <wp:effectExtent l="0" t="0" r="0" b="0"/>
              <wp:wrapNone/>
              <wp:docPr id="8" name="直接连接符 8"/>
              <wp:cNvGraphicFramePr/>
              <a:graphic xmlns:a="http://schemas.openxmlformats.org/drawingml/2006/main">
                <a:graphicData uri="http://schemas.microsoft.com/office/word/2010/wordprocessingShape">
                  <wps:wsp>
                    <wps:cNvCnPr>
                      <a:cxnSpLocks noChangeShapeType="1"/>
                    </wps:cNvCnPr>
                    <wps:spPr bwMode="auto">
                      <a:xfrm>
                        <a:off x="0" y="0"/>
                        <a:ext cx="531368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88.55pt;margin-top:54.85pt;height:0pt;width:418.4pt;mso-position-horizontal-relative:page;mso-position-vertical-relative:page;z-index:-251656192;mso-width-relative:page;mso-height-relative:page;" filled="f" stroked="t" coordsize="21600,21600" o:gfxdata="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VroZItcAAAAM&#10;AQAADwAAAAAAAAABACAAAAAiAAAAZHJzL2Rvd25yZXYueG1sUEsBAhQAFAAAAAgAh07iQLuYzOTk&#10;AQAAqgMAAA4AAAAAAAAAAQAgAAAAJgEAAGRycy9lMm9Eb2MueG1sUEsFBgAAAAAGAAYAWQEAAHwF&#10;AAAAAA==&#10;">
              <v:fill on="f" focussize="0,0"/>
              <v:stroke color="#000000" joinstyle="round"/>
              <v:imagedata o:title=""/>
              <o:lock v:ext="edit" aspectratio="f"/>
            </v:line>
          </w:pict>
        </mc:Fallback>
      </mc:AlternateContent>
    </w:r>
  </w:p>
  <w:p w14:paraId="1CF93938">
    <w:pPr>
      <w:pStyle w:val="17"/>
      <w:jc w:val="center"/>
    </w:pPr>
    <w:r>
      <w:rPr>
        <w:rFonts w:hint="eastAsia"/>
      </w:rPr>
      <w:t>浙江赛</w:t>
    </w:r>
    <w:r>
      <w:t>智</w:t>
    </w:r>
    <w:r>
      <w:rPr>
        <w:rFonts w:hint="eastAsia"/>
      </w:rPr>
      <w:t>伯乐投资管理有限公司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F63B7D"/>
    <w:multiLevelType w:val="singleLevel"/>
    <w:tmpl w:val="B3F63B7D"/>
    <w:lvl w:ilvl="0" w:tentative="0">
      <w:start w:val="1"/>
      <w:numFmt w:val="decimal"/>
      <w:pStyle w:val="45"/>
      <w:lvlText w:val="%1）"/>
      <w:lvlJc w:val="left"/>
      <w:pPr>
        <w:ind w:left="6197" w:hanging="440"/>
      </w:pPr>
      <w:rPr>
        <w:rFonts w:hint="default"/>
      </w:rPr>
    </w:lvl>
  </w:abstractNum>
  <w:abstractNum w:abstractNumId="1">
    <w:nsid w:val="FDBE51EB"/>
    <w:multiLevelType w:val="singleLevel"/>
    <w:tmpl w:val="FDBE51EB"/>
    <w:lvl w:ilvl="0" w:tentative="0">
      <w:start w:val="1"/>
      <w:numFmt w:val="decimal"/>
      <w:pStyle w:val="121"/>
      <w:suff w:val="space"/>
      <w:lvlText w:val="（%1）"/>
      <w:lvlJc w:val="left"/>
    </w:lvl>
  </w:abstractNum>
  <w:abstractNum w:abstractNumId="2">
    <w:nsid w:val="15DD69F8"/>
    <w:multiLevelType w:val="multilevel"/>
    <w:tmpl w:val="15DD69F8"/>
    <w:lvl w:ilvl="0" w:tentative="0">
      <w:start w:val="1"/>
      <w:numFmt w:val="upperRoman"/>
      <w:pStyle w:val="2"/>
      <w:lvlText w:val="第 %1 条"/>
      <w:lvlJc w:val="left"/>
      <w:pPr>
        <w:tabs>
          <w:tab w:val="left" w:pos="1440"/>
        </w:tabs>
      </w:pPr>
      <w:rPr>
        <w:rFonts w:cs="Times New Roman"/>
      </w:rPr>
    </w:lvl>
    <w:lvl w:ilvl="1" w:tentative="0">
      <w:start w:val="1"/>
      <w:numFmt w:val="decimalZero"/>
      <w:isLgl/>
      <w:lvlText w:val="节 %1.%2"/>
      <w:lvlJc w:val="left"/>
      <w:pPr>
        <w:tabs>
          <w:tab w:val="left" w:pos="720"/>
        </w:tabs>
      </w:pPr>
      <w:rPr>
        <w:rFonts w:cs="Times New Roman"/>
      </w:rPr>
    </w:lvl>
    <w:lvl w:ilvl="2" w:tentative="0">
      <w:start w:val="1"/>
      <w:numFmt w:val="lowerLetter"/>
      <w:lvlText w:val="(%3)"/>
      <w:lvlJc w:val="left"/>
      <w:pPr>
        <w:tabs>
          <w:tab w:val="left" w:pos="720"/>
        </w:tabs>
        <w:ind w:left="720" w:hanging="432"/>
      </w:pPr>
      <w:rPr>
        <w:rFonts w:cs="Times New Roman"/>
      </w:rPr>
    </w:lvl>
    <w:lvl w:ilvl="3" w:tentative="0">
      <w:start w:val="1"/>
      <w:numFmt w:val="lowerRoman"/>
      <w:lvlText w:val="(%4)"/>
      <w:lvlJc w:val="right"/>
      <w:pPr>
        <w:tabs>
          <w:tab w:val="left" w:pos="864"/>
        </w:tabs>
        <w:ind w:left="864" w:hanging="144"/>
      </w:pPr>
      <w:rPr>
        <w:rFonts w:cs="Times New Roman"/>
      </w:rPr>
    </w:lvl>
    <w:lvl w:ilvl="4" w:tentative="0">
      <w:start w:val="1"/>
      <w:numFmt w:val="decimal"/>
      <w:lvlText w:val="%5)"/>
      <w:lvlJc w:val="left"/>
      <w:pPr>
        <w:tabs>
          <w:tab w:val="left" w:pos="1008"/>
        </w:tabs>
        <w:ind w:left="1008" w:hanging="432"/>
      </w:pPr>
      <w:rPr>
        <w:rFonts w:cs="Times New Roman"/>
      </w:rPr>
    </w:lvl>
    <w:lvl w:ilvl="5" w:tentative="0">
      <w:start w:val="1"/>
      <w:numFmt w:val="lowerLetter"/>
      <w:lvlText w:val="%6)"/>
      <w:lvlJc w:val="left"/>
      <w:pPr>
        <w:tabs>
          <w:tab w:val="left" w:pos="1152"/>
        </w:tabs>
        <w:ind w:left="1152" w:hanging="432"/>
      </w:pPr>
      <w:rPr>
        <w:rFonts w:cs="Times New Roman"/>
      </w:rPr>
    </w:lvl>
    <w:lvl w:ilvl="6" w:tentative="0">
      <w:start w:val="1"/>
      <w:numFmt w:val="lowerRoman"/>
      <w:lvlText w:val="%7)"/>
      <w:lvlJc w:val="right"/>
      <w:pPr>
        <w:tabs>
          <w:tab w:val="left" w:pos="1296"/>
        </w:tabs>
        <w:ind w:left="1296" w:hanging="288"/>
      </w:pPr>
      <w:rPr>
        <w:rFonts w:cs="Times New Roman"/>
      </w:rPr>
    </w:lvl>
    <w:lvl w:ilvl="7" w:tentative="0">
      <w:start w:val="1"/>
      <w:numFmt w:val="lowerLetter"/>
      <w:lvlText w:val="%8."/>
      <w:lvlJc w:val="left"/>
      <w:pPr>
        <w:tabs>
          <w:tab w:val="left" w:pos="1440"/>
        </w:tabs>
        <w:ind w:left="1440" w:hanging="432"/>
      </w:pPr>
      <w:rPr>
        <w:rFonts w:cs="Times New Roman"/>
      </w:rPr>
    </w:lvl>
    <w:lvl w:ilvl="8" w:tentative="0">
      <w:start w:val="1"/>
      <w:numFmt w:val="lowerRoman"/>
      <w:lvlText w:val="%9."/>
      <w:lvlJc w:val="right"/>
      <w:pPr>
        <w:tabs>
          <w:tab w:val="left" w:pos="1584"/>
        </w:tabs>
        <w:ind w:left="1584" w:hanging="144"/>
      </w:pPr>
      <w:rPr>
        <w:rFonts w:cs="Times New Roman"/>
      </w:rPr>
    </w:lvl>
  </w:abstractNum>
  <w:abstractNum w:abstractNumId="3">
    <w:nsid w:val="1FB9329A"/>
    <w:multiLevelType w:val="multilevel"/>
    <w:tmpl w:val="1FB9329A"/>
    <w:lvl w:ilvl="0" w:tentative="0">
      <w:start w:val="1"/>
      <w:numFmt w:val="decimal"/>
      <w:pStyle w:val="87"/>
      <w:suff w:val="space"/>
      <w:lvlText w:val="%1."/>
      <w:lvlJc w:val="left"/>
      <w:pPr>
        <w:ind w:left="400" w:firstLine="80"/>
      </w:pPr>
      <w:rPr>
        <w:rFonts w:hint="eastAsia"/>
      </w:rPr>
    </w:lvl>
    <w:lvl w:ilvl="1" w:tentative="0">
      <w:start w:val="1"/>
      <w:numFmt w:val="lowerLetter"/>
      <w:lvlText w:val="%2)"/>
      <w:lvlJc w:val="left"/>
      <w:pPr>
        <w:ind w:left="960" w:firstLine="0"/>
      </w:pPr>
      <w:rPr>
        <w:rFonts w:hint="eastAsia"/>
      </w:rPr>
    </w:lvl>
    <w:lvl w:ilvl="2" w:tentative="0">
      <w:start w:val="1"/>
      <w:numFmt w:val="lowerRoman"/>
      <w:lvlText w:val="%3."/>
      <w:lvlJc w:val="right"/>
      <w:pPr>
        <w:ind w:left="1440" w:firstLine="0"/>
      </w:pPr>
      <w:rPr>
        <w:rFonts w:hint="eastAsia"/>
      </w:rPr>
    </w:lvl>
    <w:lvl w:ilvl="3" w:tentative="0">
      <w:start w:val="1"/>
      <w:numFmt w:val="decimal"/>
      <w:lvlText w:val="%4."/>
      <w:lvlJc w:val="left"/>
      <w:pPr>
        <w:ind w:left="1920" w:firstLine="0"/>
      </w:pPr>
      <w:rPr>
        <w:rFonts w:hint="eastAsia"/>
      </w:rPr>
    </w:lvl>
    <w:lvl w:ilvl="4" w:tentative="0">
      <w:start w:val="1"/>
      <w:numFmt w:val="lowerLetter"/>
      <w:lvlText w:val="%5)"/>
      <w:lvlJc w:val="left"/>
      <w:pPr>
        <w:ind w:left="2400" w:firstLine="0"/>
      </w:pPr>
      <w:rPr>
        <w:rFonts w:hint="eastAsia"/>
      </w:rPr>
    </w:lvl>
    <w:lvl w:ilvl="5" w:tentative="0">
      <w:start w:val="1"/>
      <w:numFmt w:val="lowerRoman"/>
      <w:lvlText w:val="%6."/>
      <w:lvlJc w:val="right"/>
      <w:pPr>
        <w:ind w:left="2880" w:firstLine="0"/>
      </w:pPr>
      <w:rPr>
        <w:rFonts w:hint="eastAsia"/>
      </w:rPr>
    </w:lvl>
    <w:lvl w:ilvl="6" w:tentative="0">
      <w:start w:val="1"/>
      <w:numFmt w:val="decimal"/>
      <w:lvlText w:val="%7."/>
      <w:lvlJc w:val="left"/>
      <w:pPr>
        <w:ind w:left="3360" w:firstLine="0"/>
      </w:pPr>
      <w:rPr>
        <w:rFonts w:hint="eastAsia"/>
      </w:rPr>
    </w:lvl>
    <w:lvl w:ilvl="7" w:tentative="0">
      <w:start w:val="1"/>
      <w:numFmt w:val="lowerLetter"/>
      <w:lvlText w:val="%8)"/>
      <w:lvlJc w:val="left"/>
      <w:pPr>
        <w:ind w:left="3840" w:firstLine="0"/>
      </w:pPr>
      <w:rPr>
        <w:rFonts w:hint="eastAsia"/>
      </w:rPr>
    </w:lvl>
    <w:lvl w:ilvl="8" w:tentative="0">
      <w:start w:val="1"/>
      <w:numFmt w:val="lowerRoman"/>
      <w:lvlText w:val="%9."/>
      <w:lvlJc w:val="right"/>
      <w:pPr>
        <w:ind w:left="4320" w:firstLine="0"/>
      </w:pPr>
      <w:rPr>
        <w:rFonts w:hint="eastAsia"/>
      </w:rPr>
    </w:lvl>
  </w:abstractNum>
  <w:abstractNum w:abstractNumId="4">
    <w:nsid w:val="48EC3C02"/>
    <w:multiLevelType w:val="multilevel"/>
    <w:tmpl w:val="48EC3C02"/>
    <w:lvl w:ilvl="0" w:tentative="0">
      <w:start w:val="1"/>
      <w:numFmt w:val="decimal"/>
      <w:lvlText w:val="%1."/>
      <w:lvlJc w:val="left"/>
      <w:pPr>
        <w:ind w:left="420" w:hanging="420"/>
      </w:pPr>
      <w:rPr>
        <w:rFonts w:hint="default" w:ascii="Times New Roman" w:hAnsi="Times New Roman" w:cs="Times New Roman"/>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DF5023A"/>
    <w:multiLevelType w:val="multilevel"/>
    <w:tmpl w:val="4DF5023A"/>
    <w:lvl w:ilvl="0" w:tentative="0">
      <w:start w:val="1"/>
      <w:numFmt w:val="chineseCountingThousand"/>
      <w:pStyle w:val="78"/>
      <w:suff w:val="space"/>
      <w:lvlText w:val="%1、"/>
      <w:lvlJc w:val="left"/>
      <w:pPr>
        <w:ind w:left="400" w:firstLine="162"/>
      </w:pPr>
      <w:rPr>
        <w:rFonts w:hint="eastAsia"/>
      </w:rPr>
    </w:lvl>
    <w:lvl w:ilvl="1" w:tentative="0">
      <w:start w:val="1"/>
      <w:numFmt w:val="lowerLetter"/>
      <w:lvlText w:val="%2)"/>
      <w:lvlJc w:val="left"/>
      <w:pPr>
        <w:ind w:left="1442" w:hanging="440"/>
      </w:pPr>
    </w:lvl>
    <w:lvl w:ilvl="2" w:tentative="0">
      <w:start w:val="1"/>
      <w:numFmt w:val="lowerRoman"/>
      <w:lvlText w:val="%3."/>
      <w:lvlJc w:val="right"/>
      <w:pPr>
        <w:ind w:left="1882" w:hanging="440"/>
      </w:pPr>
    </w:lvl>
    <w:lvl w:ilvl="3" w:tentative="0">
      <w:start w:val="1"/>
      <w:numFmt w:val="decimal"/>
      <w:lvlText w:val="%4."/>
      <w:lvlJc w:val="left"/>
      <w:pPr>
        <w:ind w:left="2322" w:hanging="440"/>
      </w:pPr>
    </w:lvl>
    <w:lvl w:ilvl="4" w:tentative="0">
      <w:start w:val="1"/>
      <w:numFmt w:val="lowerLetter"/>
      <w:lvlText w:val="%5)"/>
      <w:lvlJc w:val="left"/>
      <w:pPr>
        <w:ind w:left="2762" w:hanging="440"/>
      </w:pPr>
    </w:lvl>
    <w:lvl w:ilvl="5" w:tentative="0">
      <w:start w:val="1"/>
      <w:numFmt w:val="lowerRoman"/>
      <w:lvlText w:val="%6."/>
      <w:lvlJc w:val="right"/>
      <w:pPr>
        <w:ind w:left="3202" w:hanging="440"/>
      </w:pPr>
    </w:lvl>
    <w:lvl w:ilvl="6" w:tentative="0">
      <w:start w:val="1"/>
      <w:numFmt w:val="decimal"/>
      <w:lvlText w:val="%7."/>
      <w:lvlJc w:val="left"/>
      <w:pPr>
        <w:ind w:left="3642" w:hanging="440"/>
      </w:pPr>
    </w:lvl>
    <w:lvl w:ilvl="7" w:tentative="0">
      <w:start w:val="1"/>
      <w:numFmt w:val="lowerLetter"/>
      <w:lvlText w:val="%8)"/>
      <w:lvlJc w:val="left"/>
      <w:pPr>
        <w:ind w:left="4082" w:hanging="440"/>
      </w:pPr>
    </w:lvl>
    <w:lvl w:ilvl="8" w:tentative="0">
      <w:start w:val="1"/>
      <w:numFmt w:val="lowerRoman"/>
      <w:lvlText w:val="%9."/>
      <w:lvlJc w:val="right"/>
      <w:pPr>
        <w:ind w:left="4522" w:hanging="440"/>
      </w:pPr>
    </w:lvl>
  </w:abstractNum>
  <w:abstractNum w:abstractNumId="6">
    <w:nsid w:val="72770C3D"/>
    <w:multiLevelType w:val="multilevel"/>
    <w:tmpl w:val="72770C3D"/>
    <w:lvl w:ilvl="0" w:tentative="0">
      <w:start w:val="1"/>
      <w:numFmt w:val="chineseCountingThousand"/>
      <w:pStyle w:val="85"/>
      <w:suff w:val="space"/>
      <w:lvlText w:val="(%1)"/>
      <w:lvlJc w:val="left"/>
      <w:pPr>
        <w:ind w:left="400" w:firstLine="160"/>
      </w:pPr>
      <w:rPr>
        <w:rFonts w:hint="eastAsia"/>
        <w:lang w:eastAsia="zh-CN"/>
      </w:rPr>
    </w:lvl>
    <w:lvl w:ilvl="1" w:tentative="0">
      <w:start w:val="1"/>
      <w:numFmt w:val="decimalEnclosedCircle"/>
      <w:lvlText w:val="%2"/>
      <w:lvlJc w:val="left"/>
      <w:pPr>
        <w:ind w:left="1360" w:hanging="360"/>
      </w:pPr>
      <w:rPr>
        <w:rFonts w:hint="default"/>
      </w:r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num w:numId="1">
    <w:abstractNumId w:val="2"/>
  </w:num>
  <w:num w:numId="2">
    <w:abstractNumId w:val="0"/>
  </w:num>
  <w:num w:numId="3">
    <w:abstractNumId w:val="5"/>
  </w:num>
  <w:num w:numId="4">
    <w:abstractNumId w:val="6"/>
  </w:num>
  <w:num w:numId="5">
    <w:abstractNumId w:val="3"/>
  </w:num>
  <w:num w:numId="6">
    <w:abstractNumId w:val="1"/>
  </w:num>
  <w:num w:numId="7">
    <w:abstractNumId w:val="4"/>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IyNzQ1MzRkZDQ4MDQ0ZDg5NmZiOGNmYjMzMjM3ZjQifQ=="/>
  </w:docVars>
  <w:rsids>
    <w:rsidRoot w:val="00172A27"/>
    <w:rsid w:val="00003EF9"/>
    <w:rsid w:val="00013ABF"/>
    <w:rsid w:val="00015D2A"/>
    <w:rsid w:val="00017E74"/>
    <w:rsid w:val="00020983"/>
    <w:rsid w:val="00025132"/>
    <w:rsid w:val="0002573B"/>
    <w:rsid w:val="00027DF3"/>
    <w:rsid w:val="00032256"/>
    <w:rsid w:val="00033EE3"/>
    <w:rsid w:val="00036430"/>
    <w:rsid w:val="00036AA3"/>
    <w:rsid w:val="000409CD"/>
    <w:rsid w:val="00040D57"/>
    <w:rsid w:val="0004100D"/>
    <w:rsid w:val="000424B7"/>
    <w:rsid w:val="00042567"/>
    <w:rsid w:val="00047DB6"/>
    <w:rsid w:val="000506A1"/>
    <w:rsid w:val="000507C5"/>
    <w:rsid w:val="00050D0E"/>
    <w:rsid w:val="00050DAB"/>
    <w:rsid w:val="00064041"/>
    <w:rsid w:val="00064A4A"/>
    <w:rsid w:val="00067A98"/>
    <w:rsid w:val="00072FEA"/>
    <w:rsid w:val="00084E38"/>
    <w:rsid w:val="0009306D"/>
    <w:rsid w:val="0009323F"/>
    <w:rsid w:val="000937A9"/>
    <w:rsid w:val="000949C6"/>
    <w:rsid w:val="000A061E"/>
    <w:rsid w:val="000A1CFD"/>
    <w:rsid w:val="000A2DD6"/>
    <w:rsid w:val="000A4B82"/>
    <w:rsid w:val="000A4D27"/>
    <w:rsid w:val="000A7872"/>
    <w:rsid w:val="000B169F"/>
    <w:rsid w:val="000B6A8B"/>
    <w:rsid w:val="000B732E"/>
    <w:rsid w:val="000B7642"/>
    <w:rsid w:val="000C0518"/>
    <w:rsid w:val="000C178C"/>
    <w:rsid w:val="000C5558"/>
    <w:rsid w:val="000C6BB6"/>
    <w:rsid w:val="000D05D4"/>
    <w:rsid w:val="000D331D"/>
    <w:rsid w:val="000D73A1"/>
    <w:rsid w:val="000E1DEE"/>
    <w:rsid w:val="000F0031"/>
    <w:rsid w:val="000F3486"/>
    <w:rsid w:val="000F35A5"/>
    <w:rsid w:val="000F41FB"/>
    <w:rsid w:val="000F4C65"/>
    <w:rsid w:val="000F57BB"/>
    <w:rsid w:val="000F67DF"/>
    <w:rsid w:val="00100869"/>
    <w:rsid w:val="00103542"/>
    <w:rsid w:val="001065CB"/>
    <w:rsid w:val="00120486"/>
    <w:rsid w:val="0012647A"/>
    <w:rsid w:val="00127454"/>
    <w:rsid w:val="00136124"/>
    <w:rsid w:val="0014016C"/>
    <w:rsid w:val="00143CE8"/>
    <w:rsid w:val="00145EEC"/>
    <w:rsid w:val="00154321"/>
    <w:rsid w:val="001601D0"/>
    <w:rsid w:val="00161C3F"/>
    <w:rsid w:val="00164572"/>
    <w:rsid w:val="00165918"/>
    <w:rsid w:val="0017227B"/>
    <w:rsid w:val="001723E7"/>
    <w:rsid w:val="00172A27"/>
    <w:rsid w:val="00175805"/>
    <w:rsid w:val="001772EC"/>
    <w:rsid w:val="00177F44"/>
    <w:rsid w:val="00180F1B"/>
    <w:rsid w:val="001813B1"/>
    <w:rsid w:val="0018632B"/>
    <w:rsid w:val="001901FF"/>
    <w:rsid w:val="00192A5C"/>
    <w:rsid w:val="00195A60"/>
    <w:rsid w:val="001A16E5"/>
    <w:rsid w:val="001A18BB"/>
    <w:rsid w:val="001A5122"/>
    <w:rsid w:val="001A67A0"/>
    <w:rsid w:val="001A6D46"/>
    <w:rsid w:val="001B2972"/>
    <w:rsid w:val="001B5755"/>
    <w:rsid w:val="001C373C"/>
    <w:rsid w:val="001D274D"/>
    <w:rsid w:val="001D458E"/>
    <w:rsid w:val="001D58A7"/>
    <w:rsid w:val="001E28AC"/>
    <w:rsid w:val="001E3279"/>
    <w:rsid w:val="001E3D01"/>
    <w:rsid w:val="001F0094"/>
    <w:rsid w:val="001F149C"/>
    <w:rsid w:val="001F1B22"/>
    <w:rsid w:val="001F34DB"/>
    <w:rsid w:val="001F49C1"/>
    <w:rsid w:val="001F4B59"/>
    <w:rsid w:val="00202E27"/>
    <w:rsid w:val="0020476D"/>
    <w:rsid w:val="00207702"/>
    <w:rsid w:val="0021267D"/>
    <w:rsid w:val="0021391C"/>
    <w:rsid w:val="00216627"/>
    <w:rsid w:val="002173EA"/>
    <w:rsid w:val="00221CEB"/>
    <w:rsid w:val="00226414"/>
    <w:rsid w:val="00226C4A"/>
    <w:rsid w:val="00231691"/>
    <w:rsid w:val="0023536E"/>
    <w:rsid w:val="002403AD"/>
    <w:rsid w:val="00246CAB"/>
    <w:rsid w:val="00252CED"/>
    <w:rsid w:val="00252D8C"/>
    <w:rsid w:val="0025611F"/>
    <w:rsid w:val="00260DEF"/>
    <w:rsid w:val="002613DA"/>
    <w:rsid w:val="0026159A"/>
    <w:rsid w:val="00261BA6"/>
    <w:rsid w:val="00262909"/>
    <w:rsid w:val="00263E4A"/>
    <w:rsid w:val="002641FC"/>
    <w:rsid w:val="0026429F"/>
    <w:rsid w:val="00266278"/>
    <w:rsid w:val="00272EF7"/>
    <w:rsid w:val="002733F5"/>
    <w:rsid w:val="00282AA3"/>
    <w:rsid w:val="002843F7"/>
    <w:rsid w:val="00292273"/>
    <w:rsid w:val="00295F40"/>
    <w:rsid w:val="002B59BE"/>
    <w:rsid w:val="002B6056"/>
    <w:rsid w:val="002B6ED4"/>
    <w:rsid w:val="002C0ACE"/>
    <w:rsid w:val="002C1D09"/>
    <w:rsid w:val="002C6D49"/>
    <w:rsid w:val="002C7809"/>
    <w:rsid w:val="002D0B95"/>
    <w:rsid w:val="002D13CC"/>
    <w:rsid w:val="002D1611"/>
    <w:rsid w:val="002D2258"/>
    <w:rsid w:val="002D55BE"/>
    <w:rsid w:val="002D72B0"/>
    <w:rsid w:val="002E23A8"/>
    <w:rsid w:val="002E2467"/>
    <w:rsid w:val="002E603F"/>
    <w:rsid w:val="002F325E"/>
    <w:rsid w:val="002F50A6"/>
    <w:rsid w:val="002F767A"/>
    <w:rsid w:val="003022CA"/>
    <w:rsid w:val="00306CA0"/>
    <w:rsid w:val="003102C4"/>
    <w:rsid w:val="00312EB7"/>
    <w:rsid w:val="0031570A"/>
    <w:rsid w:val="00317DD5"/>
    <w:rsid w:val="00325FC7"/>
    <w:rsid w:val="00326BD0"/>
    <w:rsid w:val="00331E0B"/>
    <w:rsid w:val="00333939"/>
    <w:rsid w:val="00335E70"/>
    <w:rsid w:val="0033699A"/>
    <w:rsid w:val="00337845"/>
    <w:rsid w:val="00343C75"/>
    <w:rsid w:val="0034525F"/>
    <w:rsid w:val="00346AA6"/>
    <w:rsid w:val="00347511"/>
    <w:rsid w:val="003478D7"/>
    <w:rsid w:val="00350C8D"/>
    <w:rsid w:val="003540BB"/>
    <w:rsid w:val="00356CC1"/>
    <w:rsid w:val="00362EFC"/>
    <w:rsid w:val="003638CC"/>
    <w:rsid w:val="00366B86"/>
    <w:rsid w:val="0037146B"/>
    <w:rsid w:val="0037283B"/>
    <w:rsid w:val="00373372"/>
    <w:rsid w:val="0037589D"/>
    <w:rsid w:val="003773BA"/>
    <w:rsid w:val="00381CC7"/>
    <w:rsid w:val="00390FF5"/>
    <w:rsid w:val="00392EFC"/>
    <w:rsid w:val="00394B59"/>
    <w:rsid w:val="00394EE3"/>
    <w:rsid w:val="00397412"/>
    <w:rsid w:val="003A03CB"/>
    <w:rsid w:val="003A0F61"/>
    <w:rsid w:val="003A32BE"/>
    <w:rsid w:val="003A43A3"/>
    <w:rsid w:val="003B0351"/>
    <w:rsid w:val="003B06CE"/>
    <w:rsid w:val="003B33F6"/>
    <w:rsid w:val="003B4DBF"/>
    <w:rsid w:val="003C2526"/>
    <w:rsid w:val="003C29A2"/>
    <w:rsid w:val="003C3AA7"/>
    <w:rsid w:val="003C5CFB"/>
    <w:rsid w:val="003C6FA1"/>
    <w:rsid w:val="003D2124"/>
    <w:rsid w:val="003D3672"/>
    <w:rsid w:val="003D6906"/>
    <w:rsid w:val="003D70B6"/>
    <w:rsid w:val="003E2B4C"/>
    <w:rsid w:val="003E7091"/>
    <w:rsid w:val="003F207F"/>
    <w:rsid w:val="003F6F1D"/>
    <w:rsid w:val="004034D1"/>
    <w:rsid w:val="004045DC"/>
    <w:rsid w:val="004047C9"/>
    <w:rsid w:val="004061A0"/>
    <w:rsid w:val="004068B5"/>
    <w:rsid w:val="00412125"/>
    <w:rsid w:val="004129E5"/>
    <w:rsid w:val="00412DAC"/>
    <w:rsid w:val="00414E36"/>
    <w:rsid w:val="004178A5"/>
    <w:rsid w:val="004245AB"/>
    <w:rsid w:val="00424F68"/>
    <w:rsid w:val="00426AA7"/>
    <w:rsid w:val="00430C64"/>
    <w:rsid w:val="00431B9E"/>
    <w:rsid w:val="0043295A"/>
    <w:rsid w:val="00433651"/>
    <w:rsid w:val="00435A07"/>
    <w:rsid w:val="004402BF"/>
    <w:rsid w:val="004420E1"/>
    <w:rsid w:val="004433D5"/>
    <w:rsid w:val="004433DA"/>
    <w:rsid w:val="00451EFB"/>
    <w:rsid w:val="00452349"/>
    <w:rsid w:val="00452869"/>
    <w:rsid w:val="004533A5"/>
    <w:rsid w:val="0045561A"/>
    <w:rsid w:val="00456985"/>
    <w:rsid w:val="0046199D"/>
    <w:rsid w:val="00467AD5"/>
    <w:rsid w:val="00473405"/>
    <w:rsid w:val="00477061"/>
    <w:rsid w:val="0048410A"/>
    <w:rsid w:val="00493133"/>
    <w:rsid w:val="00493E9E"/>
    <w:rsid w:val="004968D6"/>
    <w:rsid w:val="004971B8"/>
    <w:rsid w:val="004A0A2E"/>
    <w:rsid w:val="004A108D"/>
    <w:rsid w:val="004A4A8E"/>
    <w:rsid w:val="004B39AD"/>
    <w:rsid w:val="004B4E5F"/>
    <w:rsid w:val="004B5E05"/>
    <w:rsid w:val="004C00E1"/>
    <w:rsid w:val="004C2086"/>
    <w:rsid w:val="004C44BB"/>
    <w:rsid w:val="004C5963"/>
    <w:rsid w:val="004D0A38"/>
    <w:rsid w:val="004D2F05"/>
    <w:rsid w:val="004D3FED"/>
    <w:rsid w:val="004D6A10"/>
    <w:rsid w:val="004D7087"/>
    <w:rsid w:val="004E1218"/>
    <w:rsid w:val="004E175E"/>
    <w:rsid w:val="004E400F"/>
    <w:rsid w:val="004E482D"/>
    <w:rsid w:val="004E5FA7"/>
    <w:rsid w:val="004E6F0C"/>
    <w:rsid w:val="004F20F1"/>
    <w:rsid w:val="00500B47"/>
    <w:rsid w:val="00500B52"/>
    <w:rsid w:val="00505CF1"/>
    <w:rsid w:val="005065DA"/>
    <w:rsid w:val="0050688A"/>
    <w:rsid w:val="00506C16"/>
    <w:rsid w:val="00511679"/>
    <w:rsid w:val="00516131"/>
    <w:rsid w:val="005201EF"/>
    <w:rsid w:val="00525AFB"/>
    <w:rsid w:val="0052643F"/>
    <w:rsid w:val="005313B6"/>
    <w:rsid w:val="00533CFB"/>
    <w:rsid w:val="00535096"/>
    <w:rsid w:val="00535D91"/>
    <w:rsid w:val="00535FA4"/>
    <w:rsid w:val="00541578"/>
    <w:rsid w:val="0054249F"/>
    <w:rsid w:val="005450AA"/>
    <w:rsid w:val="00546354"/>
    <w:rsid w:val="005469F6"/>
    <w:rsid w:val="00553411"/>
    <w:rsid w:val="005560BF"/>
    <w:rsid w:val="00560061"/>
    <w:rsid w:val="005614EF"/>
    <w:rsid w:val="005737C6"/>
    <w:rsid w:val="00573DE1"/>
    <w:rsid w:val="00574B66"/>
    <w:rsid w:val="00580A35"/>
    <w:rsid w:val="00581865"/>
    <w:rsid w:val="00583FBA"/>
    <w:rsid w:val="0058555B"/>
    <w:rsid w:val="00592FD1"/>
    <w:rsid w:val="00594E77"/>
    <w:rsid w:val="005A069B"/>
    <w:rsid w:val="005A2C92"/>
    <w:rsid w:val="005A59A0"/>
    <w:rsid w:val="005B20E3"/>
    <w:rsid w:val="005B23D2"/>
    <w:rsid w:val="005B7409"/>
    <w:rsid w:val="005C1344"/>
    <w:rsid w:val="005C2B60"/>
    <w:rsid w:val="005C615B"/>
    <w:rsid w:val="005D0B60"/>
    <w:rsid w:val="005D18C2"/>
    <w:rsid w:val="005D2EB9"/>
    <w:rsid w:val="005E5D19"/>
    <w:rsid w:val="005F20DF"/>
    <w:rsid w:val="005F262A"/>
    <w:rsid w:val="005F2B7A"/>
    <w:rsid w:val="005F4DC0"/>
    <w:rsid w:val="0060487C"/>
    <w:rsid w:val="00604A43"/>
    <w:rsid w:val="00612DA8"/>
    <w:rsid w:val="00616B9C"/>
    <w:rsid w:val="00616C32"/>
    <w:rsid w:val="006201B6"/>
    <w:rsid w:val="00620A5F"/>
    <w:rsid w:val="006212D4"/>
    <w:rsid w:val="00621523"/>
    <w:rsid w:val="006227AF"/>
    <w:rsid w:val="00627162"/>
    <w:rsid w:val="006279B3"/>
    <w:rsid w:val="00631F89"/>
    <w:rsid w:val="0063214D"/>
    <w:rsid w:val="0063373E"/>
    <w:rsid w:val="006363CF"/>
    <w:rsid w:val="00637615"/>
    <w:rsid w:val="00643586"/>
    <w:rsid w:val="0064713A"/>
    <w:rsid w:val="00665780"/>
    <w:rsid w:val="0067604B"/>
    <w:rsid w:val="00677FB9"/>
    <w:rsid w:val="00681B30"/>
    <w:rsid w:val="00682D15"/>
    <w:rsid w:val="006851DD"/>
    <w:rsid w:val="00685D4B"/>
    <w:rsid w:val="00693778"/>
    <w:rsid w:val="006A057F"/>
    <w:rsid w:val="006A1EAD"/>
    <w:rsid w:val="006A3A4F"/>
    <w:rsid w:val="006A5E4A"/>
    <w:rsid w:val="006B5E3C"/>
    <w:rsid w:val="006B6E20"/>
    <w:rsid w:val="006B722C"/>
    <w:rsid w:val="006C4A5E"/>
    <w:rsid w:val="006C6D0B"/>
    <w:rsid w:val="006D1B59"/>
    <w:rsid w:val="006D2CB7"/>
    <w:rsid w:val="006D4BF6"/>
    <w:rsid w:val="006D65CD"/>
    <w:rsid w:val="006E046A"/>
    <w:rsid w:val="006E1DF0"/>
    <w:rsid w:val="006E2940"/>
    <w:rsid w:val="006E3ADD"/>
    <w:rsid w:val="006E47E0"/>
    <w:rsid w:val="006F162A"/>
    <w:rsid w:val="006F33B3"/>
    <w:rsid w:val="006F354F"/>
    <w:rsid w:val="006F5212"/>
    <w:rsid w:val="006F6F29"/>
    <w:rsid w:val="006F7200"/>
    <w:rsid w:val="006F7542"/>
    <w:rsid w:val="007002B1"/>
    <w:rsid w:val="007002E9"/>
    <w:rsid w:val="00701ADF"/>
    <w:rsid w:val="007045BD"/>
    <w:rsid w:val="00707F90"/>
    <w:rsid w:val="00710615"/>
    <w:rsid w:val="007137BB"/>
    <w:rsid w:val="00721F8A"/>
    <w:rsid w:val="007222BF"/>
    <w:rsid w:val="0072253D"/>
    <w:rsid w:val="00722605"/>
    <w:rsid w:val="00723EDD"/>
    <w:rsid w:val="00724A4A"/>
    <w:rsid w:val="00731CCB"/>
    <w:rsid w:val="00733F4E"/>
    <w:rsid w:val="007363D6"/>
    <w:rsid w:val="00737587"/>
    <w:rsid w:val="00740BE0"/>
    <w:rsid w:val="00742EE9"/>
    <w:rsid w:val="007433F4"/>
    <w:rsid w:val="00743C49"/>
    <w:rsid w:val="00753A87"/>
    <w:rsid w:val="00753FA5"/>
    <w:rsid w:val="0075655D"/>
    <w:rsid w:val="00764C52"/>
    <w:rsid w:val="00770713"/>
    <w:rsid w:val="007762D2"/>
    <w:rsid w:val="00776479"/>
    <w:rsid w:val="007826EF"/>
    <w:rsid w:val="007874FF"/>
    <w:rsid w:val="00793CAB"/>
    <w:rsid w:val="007943C9"/>
    <w:rsid w:val="00794590"/>
    <w:rsid w:val="007956C7"/>
    <w:rsid w:val="00796BF8"/>
    <w:rsid w:val="007A47F0"/>
    <w:rsid w:val="007A4805"/>
    <w:rsid w:val="007A7387"/>
    <w:rsid w:val="007A7959"/>
    <w:rsid w:val="007B0D3A"/>
    <w:rsid w:val="007B3B1C"/>
    <w:rsid w:val="007B4122"/>
    <w:rsid w:val="007C0A65"/>
    <w:rsid w:val="007C2906"/>
    <w:rsid w:val="007C678D"/>
    <w:rsid w:val="007D0618"/>
    <w:rsid w:val="007D0CA7"/>
    <w:rsid w:val="007D49DA"/>
    <w:rsid w:val="007E1AB6"/>
    <w:rsid w:val="007E26D4"/>
    <w:rsid w:val="007E5950"/>
    <w:rsid w:val="007E6456"/>
    <w:rsid w:val="00800168"/>
    <w:rsid w:val="008030ED"/>
    <w:rsid w:val="00810B67"/>
    <w:rsid w:val="00814841"/>
    <w:rsid w:val="00824950"/>
    <w:rsid w:val="00825B8C"/>
    <w:rsid w:val="00825D6B"/>
    <w:rsid w:val="00831D56"/>
    <w:rsid w:val="00834658"/>
    <w:rsid w:val="0083735A"/>
    <w:rsid w:val="00843962"/>
    <w:rsid w:val="00843EC1"/>
    <w:rsid w:val="00853290"/>
    <w:rsid w:val="008543BC"/>
    <w:rsid w:val="008548E6"/>
    <w:rsid w:val="00863BCF"/>
    <w:rsid w:val="00864B56"/>
    <w:rsid w:val="00867181"/>
    <w:rsid w:val="008712D5"/>
    <w:rsid w:val="0088021E"/>
    <w:rsid w:val="0088391D"/>
    <w:rsid w:val="00883EEF"/>
    <w:rsid w:val="00885856"/>
    <w:rsid w:val="00885FD0"/>
    <w:rsid w:val="00892990"/>
    <w:rsid w:val="00893364"/>
    <w:rsid w:val="0089385E"/>
    <w:rsid w:val="008963B9"/>
    <w:rsid w:val="00897421"/>
    <w:rsid w:val="00897BB5"/>
    <w:rsid w:val="008A0566"/>
    <w:rsid w:val="008A4042"/>
    <w:rsid w:val="008A4AAB"/>
    <w:rsid w:val="008A5E6C"/>
    <w:rsid w:val="008A7C06"/>
    <w:rsid w:val="008B01D3"/>
    <w:rsid w:val="008B062F"/>
    <w:rsid w:val="008B0F51"/>
    <w:rsid w:val="008B4960"/>
    <w:rsid w:val="008B4CF3"/>
    <w:rsid w:val="008B66A8"/>
    <w:rsid w:val="008B680C"/>
    <w:rsid w:val="008C2E09"/>
    <w:rsid w:val="008C4ADF"/>
    <w:rsid w:val="008E12CB"/>
    <w:rsid w:val="008E2D2E"/>
    <w:rsid w:val="008E3424"/>
    <w:rsid w:val="008E599B"/>
    <w:rsid w:val="008E7920"/>
    <w:rsid w:val="008F0A17"/>
    <w:rsid w:val="008F0F46"/>
    <w:rsid w:val="008F2FC4"/>
    <w:rsid w:val="008F38A3"/>
    <w:rsid w:val="008F5620"/>
    <w:rsid w:val="008F5B97"/>
    <w:rsid w:val="008F6565"/>
    <w:rsid w:val="008F719C"/>
    <w:rsid w:val="00901334"/>
    <w:rsid w:val="00902C85"/>
    <w:rsid w:val="00902D09"/>
    <w:rsid w:val="00910CF2"/>
    <w:rsid w:val="00913099"/>
    <w:rsid w:val="00917CCD"/>
    <w:rsid w:val="00920037"/>
    <w:rsid w:val="00920A71"/>
    <w:rsid w:val="009246C8"/>
    <w:rsid w:val="00924F16"/>
    <w:rsid w:val="00932692"/>
    <w:rsid w:val="009372A6"/>
    <w:rsid w:val="00941359"/>
    <w:rsid w:val="0094554C"/>
    <w:rsid w:val="009475CF"/>
    <w:rsid w:val="00954839"/>
    <w:rsid w:val="00960A05"/>
    <w:rsid w:val="00963A2A"/>
    <w:rsid w:val="00964A50"/>
    <w:rsid w:val="00972106"/>
    <w:rsid w:val="0097304C"/>
    <w:rsid w:val="0097758B"/>
    <w:rsid w:val="00980F2E"/>
    <w:rsid w:val="00983822"/>
    <w:rsid w:val="0098398C"/>
    <w:rsid w:val="009872F0"/>
    <w:rsid w:val="00991336"/>
    <w:rsid w:val="00993139"/>
    <w:rsid w:val="009A0B44"/>
    <w:rsid w:val="009A3BE7"/>
    <w:rsid w:val="009A71C5"/>
    <w:rsid w:val="009A7353"/>
    <w:rsid w:val="009B47AC"/>
    <w:rsid w:val="009B7B8D"/>
    <w:rsid w:val="009C3390"/>
    <w:rsid w:val="009C39EE"/>
    <w:rsid w:val="009C73CA"/>
    <w:rsid w:val="009D5FF6"/>
    <w:rsid w:val="009D6E26"/>
    <w:rsid w:val="009D710A"/>
    <w:rsid w:val="009D7258"/>
    <w:rsid w:val="009D7525"/>
    <w:rsid w:val="009E06AC"/>
    <w:rsid w:val="009E0C23"/>
    <w:rsid w:val="009E28C6"/>
    <w:rsid w:val="009E745E"/>
    <w:rsid w:val="009F120A"/>
    <w:rsid w:val="009F1F7B"/>
    <w:rsid w:val="009F6E04"/>
    <w:rsid w:val="00A02A94"/>
    <w:rsid w:val="00A0310A"/>
    <w:rsid w:val="00A043D3"/>
    <w:rsid w:val="00A052A5"/>
    <w:rsid w:val="00A05605"/>
    <w:rsid w:val="00A06572"/>
    <w:rsid w:val="00A107F2"/>
    <w:rsid w:val="00A109EA"/>
    <w:rsid w:val="00A1199D"/>
    <w:rsid w:val="00A13D68"/>
    <w:rsid w:val="00A1531E"/>
    <w:rsid w:val="00A22132"/>
    <w:rsid w:val="00A26FA5"/>
    <w:rsid w:val="00A27C99"/>
    <w:rsid w:val="00A338E5"/>
    <w:rsid w:val="00A347DD"/>
    <w:rsid w:val="00A37D6A"/>
    <w:rsid w:val="00A4438B"/>
    <w:rsid w:val="00A470F5"/>
    <w:rsid w:val="00A510E2"/>
    <w:rsid w:val="00A528A7"/>
    <w:rsid w:val="00A558B3"/>
    <w:rsid w:val="00A6011D"/>
    <w:rsid w:val="00A612AE"/>
    <w:rsid w:val="00A6144F"/>
    <w:rsid w:val="00A67758"/>
    <w:rsid w:val="00A67C01"/>
    <w:rsid w:val="00A67D07"/>
    <w:rsid w:val="00A73B33"/>
    <w:rsid w:val="00A743D7"/>
    <w:rsid w:val="00A762E6"/>
    <w:rsid w:val="00A77CCA"/>
    <w:rsid w:val="00A83C4A"/>
    <w:rsid w:val="00A84774"/>
    <w:rsid w:val="00A93D37"/>
    <w:rsid w:val="00A9533A"/>
    <w:rsid w:val="00A97C89"/>
    <w:rsid w:val="00AA09FD"/>
    <w:rsid w:val="00AA2C2F"/>
    <w:rsid w:val="00AA479F"/>
    <w:rsid w:val="00AA6478"/>
    <w:rsid w:val="00AA6C46"/>
    <w:rsid w:val="00AB1B4B"/>
    <w:rsid w:val="00AB4437"/>
    <w:rsid w:val="00AB4885"/>
    <w:rsid w:val="00AB5B98"/>
    <w:rsid w:val="00AB713C"/>
    <w:rsid w:val="00AB75DA"/>
    <w:rsid w:val="00AC0C28"/>
    <w:rsid w:val="00AC1F05"/>
    <w:rsid w:val="00AC300B"/>
    <w:rsid w:val="00AC3589"/>
    <w:rsid w:val="00AC7A4B"/>
    <w:rsid w:val="00AD35EC"/>
    <w:rsid w:val="00AD4256"/>
    <w:rsid w:val="00AD468A"/>
    <w:rsid w:val="00AD576B"/>
    <w:rsid w:val="00AD5A8F"/>
    <w:rsid w:val="00AD5E51"/>
    <w:rsid w:val="00AD60FE"/>
    <w:rsid w:val="00AD6D87"/>
    <w:rsid w:val="00AE0C39"/>
    <w:rsid w:val="00AF288A"/>
    <w:rsid w:val="00AF2E69"/>
    <w:rsid w:val="00AF372F"/>
    <w:rsid w:val="00AF4BF1"/>
    <w:rsid w:val="00AF7A17"/>
    <w:rsid w:val="00B00CEB"/>
    <w:rsid w:val="00B03EF9"/>
    <w:rsid w:val="00B11707"/>
    <w:rsid w:val="00B12862"/>
    <w:rsid w:val="00B129AE"/>
    <w:rsid w:val="00B13441"/>
    <w:rsid w:val="00B13C3C"/>
    <w:rsid w:val="00B15E85"/>
    <w:rsid w:val="00B214E1"/>
    <w:rsid w:val="00B22195"/>
    <w:rsid w:val="00B24BD3"/>
    <w:rsid w:val="00B2730B"/>
    <w:rsid w:val="00B337FE"/>
    <w:rsid w:val="00B349BE"/>
    <w:rsid w:val="00B40681"/>
    <w:rsid w:val="00B40FD3"/>
    <w:rsid w:val="00B415C0"/>
    <w:rsid w:val="00B42834"/>
    <w:rsid w:val="00B42B5B"/>
    <w:rsid w:val="00B50C4C"/>
    <w:rsid w:val="00B51B87"/>
    <w:rsid w:val="00B57810"/>
    <w:rsid w:val="00B63155"/>
    <w:rsid w:val="00B63414"/>
    <w:rsid w:val="00B63ABF"/>
    <w:rsid w:val="00B7615F"/>
    <w:rsid w:val="00B76852"/>
    <w:rsid w:val="00BA1FE3"/>
    <w:rsid w:val="00BA5DF9"/>
    <w:rsid w:val="00BA5F41"/>
    <w:rsid w:val="00BB0643"/>
    <w:rsid w:val="00BB219E"/>
    <w:rsid w:val="00BB33AD"/>
    <w:rsid w:val="00BB34B3"/>
    <w:rsid w:val="00BC0605"/>
    <w:rsid w:val="00BC47C1"/>
    <w:rsid w:val="00BC6C26"/>
    <w:rsid w:val="00BC6D68"/>
    <w:rsid w:val="00BD12CC"/>
    <w:rsid w:val="00BD168F"/>
    <w:rsid w:val="00BD46F3"/>
    <w:rsid w:val="00BD530A"/>
    <w:rsid w:val="00BE0060"/>
    <w:rsid w:val="00BE2ED2"/>
    <w:rsid w:val="00BE4C66"/>
    <w:rsid w:val="00BE4EE9"/>
    <w:rsid w:val="00BE6803"/>
    <w:rsid w:val="00BF32CC"/>
    <w:rsid w:val="00BF3D31"/>
    <w:rsid w:val="00BF549B"/>
    <w:rsid w:val="00C00578"/>
    <w:rsid w:val="00C005E8"/>
    <w:rsid w:val="00C03891"/>
    <w:rsid w:val="00C04104"/>
    <w:rsid w:val="00C04BDA"/>
    <w:rsid w:val="00C04D6C"/>
    <w:rsid w:val="00C1277D"/>
    <w:rsid w:val="00C15059"/>
    <w:rsid w:val="00C16CBD"/>
    <w:rsid w:val="00C17DCC"/>
    <w:rsid w:val="00C2242D"/>
    <w:rsid w:val="00C24B2D"/>
    <w:rsid w:val="00C24EE7"/>
    <w:rsid w:val="00C36D7F"/>
    <w:rsid w:val="00C4233D"/>
    <w:rsid w:val="00C4315F"/>
    <w:rsid w:val="00C43649"/>
    <w:rsid w:val="00C4503E"/>
    <w:rsid w:val="00C456B8"/>
    <w:rsid w:val="00C56C3F"/>
    <w:rsid w:val="00C57788"/>
    <w:rsid w:val="00C6308C"/>
    <w:rsid w:val="00C634D9"/>
    <w:rsid w:val="00C64637"/>
    <w:rsid w:val="00C64C27"/>
    <w:rsid w:val="00C65BA2"/>
    <w:rsid w:val="00C6684E"/>
    <w:rsid w:val="00C71D7E"/>
    <w:rsid w:val="00C7295F"/>
    <w:rsid w:val="00C76B0E"/>
    <w:rsid w:val="00C82A69"/>
    <w:rsid w:val="00C82D48"/>
    <w:rsid w:val="00C86085"/>
    <w:rsid w:val="00C86A8F"/>
    <w:rsid w:val="00C87057"/>
    <w:rsid w:val="00C8755F"/>
    <w:rsid w:val="00C914C2"/>
    <w:rsid w:val="00C926C6"/>
    <w:rsid w:val="00C92752"/>
    <w:rsid w:val="00C92914"/>
    <w:rsid w:val="00C94097"/>
    <w:rsid w:val="00C94591"/>
    <w:rsid w:val="00C95967"/>
    <w:rsid w:val="00C96380"/>
    <w:rsid w:val="00CA0590"/>
    <w:rsid w:val="00CA193D"/>
    <w:rsid w:val="00CA4161"/>
    <w:rsid w:val="00CA6F7B"/>
    <w:rsid w:val="00CB0DA3"/>
    <w:rsid w:val="00CB2335"/>
    <w:rsid w:val="00CB4EED"/>
    <w:rsid w:val="00CB50B3"/>
    <w:rsid w:val="00CB5533"/>
    <w:rsid w:val="00CC039E"/>
    <w:rsid w:val="00CC0F1F"/>
    <w:rsid w:val="00CC1C02"/>
    <w:rsid w:val="00CC2C0B"/>
    <w:rsid w:val="00CC48C2"/>
    <w:rsid w:val="00CC5091"/>
    <w:rsid w:val="00CC728B"/>
    <w:rsid w:val="00CC7692"/>
    <w:rsid w:val="00CD02AC"/>
    <w:rsid w:val="00CD1A6C"/>
    <w:rsid w:val="00CD3A2C"/>
    <w:rsid w:val="00CD606D"/>
    <w:rsid w:val="00CE02B1"/>
    <w:rsid w:val="00CE3AD4"/>
    <w:rsid w:val="00CE5304"/>
    <w:rsid w:val="00CE6B30"/>
    <w:rsid w:val="00CE7AD9"/>
    <w:rsid w:val="00CF0715"/>
    <w:rsid w:val="00CF26CA"/>
    <w:rsid w:val="00CF4D06"/>
    <w:rsid w:val="00CF6A4D"/>
    <w:rsid w:val="00CF6F29"/>
    <w:rsid w:val="00CF7A6F"/>
    <w:rsid w:val="00D049BC"/>
    <w:rsid w:val="00D067DC"/>
    <w:rsid w:val="00D1311C"/>
    <w:rsid w:val="00D20E11"/>
    <w:rsid w:val="00D215CF"/>
    <w:rsid w:val="00D22477"/>
    <w:rsid w:val="00D2660D"/>
    <w:rsid w:val="00D360DE"/>
    <w:rsid w:val="00D408D0"/>
    <w:rsid w:val="00D474B0"/>
    <w:rsid w:val="00D505A0"/>
    <w:rsid w:val="00D54ED9"/>
    <w:rsid w:val="00D565F7"/>
    <w:rsid w:val="00D56CE3"/>
    <w:rsid w:val="00D605CF"/>
    <w:rsid w:val="00D615CB"/>
    <w:rsid w:val="00D63D5D"/>
    <w:rsid w:val="00D72E6B"/>
    <w:rsid w:val="00D8022E"/>
    <w:rsid w:val="00D80BB7"/>
    <w:rsid w:val="00D84A66"/>
    <w:rsid w:val="00D84AFB"/>
    <w:rsid w:val="00D870B3"/>
    <w:rsid w:val="00D8792C"/>
    <w:rsid w:val="00D87968"/>
    <w:rsid w:val="00D9364B"/>
    <w:rsid w:val="00D948F6"/>
    <w:rsid w:val="00DA1D8D"/>
    <w:rsid w:val="00DA7302"/>
    <w:rsid w:val="00DC236C"/>
    <w:rsid w:val="00DC27B6"/>
    <w:rsid w:val="00DC3769"/>
    <w:rsid w:val="00DC38E4"/>
    <w:rsid w:val="00DC3DCB"/>
    <w:rsid w:val="00DC6BFD"/>
    <w:rsid w:val="00DD1C37"/>
    <w:rsid w:val="00DD517B"/>
    <w:rsid w:val="00DD5F31"/>
    <w:rsid w:val="00DE0CF8"/>
    <w:rsid w:val="00DF11DF"/>
    <w:rsid w:val="00DF27E3"/>
    <w:rsid w:val="00DF2E5F"/>
    <w:rsid w:val="00DF4A33"/>
    <w:rsid w:val="00E0636B"/>
    <w:rsid w:val="00E13739"/>
    <w:rsid w:val="00E201EC"/>
    <w:rsid w:val="00E23840"/>
    <w:rsid w:val="00E26BA7"/>
    <w:rsid w:val="00E273AE"/>
    <w:rsid w:val="00E300C3"/>
    <w:rsid w:val="00E300E1"/>
    <w:rsid w:val="00E329B0"/>
    <w:rsid w:val="00E359CD"/>
    <w:rsid w:val="00E4020E"/>
    <w:rsid w:val="00E411EA"/>
    <w:rsid w:val="00E42AEC"/>
    <w:rsid w:val="00E44B76"/>
    <w:rsid w:val="00E4591F"/>
    <w:rsid w:val="00E46605"/>
    <w:rsid w:val="00E46A81"/>
    <w:rsid w:val="00E56C3E"/>
    <w:rsid w:val="00E64A92"/>
    <w:rsid w:val="00E65FDF"/>
    <w:rsid w:val="00E7254C"/>
    <w:rsid w:val="00E738AE"/>
    <w:rsid w:val="00E74026"/>
    <w:rsid w:val="00E77B48"/>
    <w:rsid w:val="00E829B1"/>
    <w:rsid w:val="00E92A58"/>
    <w:rsid w:val="00E92E2E"/>
    <w:rsid w:val="00E93A31"/>
    <w:rsid w:val="00E94F61"/>
    <w:rsid w:val="00E95300"/>
    <w:rsid w:val="00E973A3"/>
    <w:rsid w:val="00EA0954"/>
    <w:rsid w:val="00EA1CB2"/>
    <w:rsid w:val="00EA1E6B"/>
    <w:rsid w:val="00EA477D"/>
    <w:rsid w:val="00EB08F5"/>
    <w:rsid w:val="00EB1E93"/>
    <w:rsid w:val="00EB3C42"/>
    <w:rsid w:val="00EB4B95"/>
    <w:rsid w:val="00EC09D3"/>
    <w:rsid w:val="00EC2887"/>
    <w:rsid w:val="00EC4229"/>
    <w:rsid w:val="00EE0011"/>
    <w:rsid w:val="00EF1776"/>
    <w:rsid w:val="00EF2217"/>
    <w:rsid w:val="00EF257F"/>
    <w:rsid w:val="00EF276E"/>
    <w:rsid w:val="00EF77EB"/>
    <w:rsid w:val="00F146C3"/>
    <w:rsid w:val="00F24EA4"/>
    <w:rsid w:val="00F2735E"/>
    <w:rsid w:val="00F27C7C"/>
    <w:rsid w:val="00F30D7D"/>
    <w:rsid w:val="00F41DC8"/>
    <w:rsid w:val="00F43FE3"/>
    <w:rsid w:val="00F44A56"/>
    <w:rsid w:val="00F63FF8"/>
    <w:rsid w:val="00F67127"/>
    <w:rsid w:val="00F70B98"/>
    <w:rsid w:val="00F71203"/>
    <w:rsid w:val="00F72293"/>
    <w:rsid w:val="00F72B25"/>
    <w:rsid w:val="00F72EEA"/>
    <w:rsid w:val="00F7452A"/>
    <w:rsid w:val="00F81B4F"/>
    <w:rsid w:val="00F82755"/>
    <w:rsid w:val="00F829C8"/>
    <w:rsid w:val="00F83906"/>
    <w:rsid w:val="00F863A8"/>
    <w:rsid w:val="00F932F6"/>
    <w:rsid w:val="00F94CFF"/>
    <w:rsid w:val="00F97141"/>
    <w:rsid w:val="00FA0554"/>
    <w:rsid w:val="00FA220D"/>
    <w:rsid w:val="00FA385E"/>
    <w:rsid w:val="00FA4A13"/>
    <w:rsid w:val="00FA598D"/>
    <w:rsid w:val="00FA6635"/>
    <w:rsid w:val="00FA7658"/>
    <w:rsid w:val="00FB1290"/>
    <w:rsid w:val="00FB22AD"/>
    <w:rsid w:val="00FB76D3"/>
    <w:rsid w:val="00FC0D8F"/>
    <w:rsid w:val="00FC186D"/>
    <w:rsid w:val="00FC215E"/>
    <w:rsid w:val="00FC2D64"/>
    <w:rsid w:val="00FC7200"/>
    <w:rsid w:val="00FC7CCB"/>
    <w:rsid w:val="00FD432D"/>
    <w:rsid w:val="00FD73FE"/>
    <w:rsid w:val="00FE1972"/>
    <w:rsid w:val="00FE57C1"/>
    <w:rsid w:val="00FF246A"/>
    <w:rsid w:val="00FF4E1D"/>
    <w:rsid w:val="01DD59FB"/>
    <w:rsid w:val="050F6813"/>
    <w:rsid w:val="059E268B"/>
    <w:rsid w:val="06387543"/>
    <w:rsid w:val="06705AD1"/>
    <w:rsid w:val="0997117F"/>
    <w:rsid w:val="09FF25AB"/>
    <w:rsid w:val="0AFB6682"/>
    <w:rsid w:val="0B9B3303"/>
    <w:rsid w:val="0B9F01C5"/>
    <w:rsid w:val="0C58169B"/>
    <w:rsid w:val="0DB7714B"/>
    <w:rsid w:val="0E93727A"/>
    <w:rsid w:val="10EF574B"/>
    <w:rsid w:val="12FE6834"/>
    <w:rsid w:val="13E52432"/>
    <w:rsid w:val="14C55B5B"/>
    <w:rsid w:val="157EB915"/>
    <w:rsid w:val="195417FF"/>
    <w:rsid w:val="1B4A2C53"/>
    <w:rsid w:val="1BE24B32"/>
    <w:rsid w:val="1BFF0E88"/>
    <w:rsid w:val="1D40494A"/>
    <w:rsid w:val="1E786332"/>
    <w:rsid w:val="1F65F180"/>
    <w:rsid w:val="1FFB9888"/>
    <w:rsid w:val="21515A1B"/>
    <w:rsid w:val="22523F14"/>
    <w:rsid w:val="22873A35"/>
    <w:rsid w:val="23F92711"/>
    <w:rsid w:val="26CB4D9D"/>
    <w:rsid w:val="27A72484"/>
    <w:rsid w:val="27FF0337"/>
    <w:rsid w:val="29BF0CED"/>
    <w:rsid w:val="2A053C91"/>
    <w:rsid w:val="2AFBD187"/>
    <w:rsid w:val="2BCC4267"/>
    <w:rsid w:val="2DE34168"/>
    <w:rsid w:val="2F9D285D"/>
    <w:rsid w:val="2FFA4CD0"/>
    <w:rsid w:val="304856EF"/>
    <w:rsid w:val="31310C4D"/>
    <w:rsid w:val="317E249C"/>
    <w:rsid w:val="31901787"/>
    <w:rsid w:val="352F4A42"/>
    <w:rsid w:val="353A66E5"/>
    <w:rsid w:val="36B83D65"/>
    <w:rsid w:val="379CA6BA"/>
    <w:rsid w:val="37EAA378"/>
    <w:rsid w:val="37FB2686"/>
    <w:rsid w:val="37FEA3B6"/>
    <w:rsid w:val="39392275"/>
    <w:rsid w:val="39D3055D"/>
    <w:rsid w:val="3A607FFD"/>
    <w:rsid w:val="3B310231"/>
    <w:rsid w:val="3D6AF1CA"/>
    <w:rsid w:val="3E19C0F1"/>
    <w:rsid w:val="3E4E2989"/>
    <w:rsid w:val="3F6A2888"/>
    <w:rsid w:val="3FBF29DC"/>
    <w:rsid w:val="3FEB75D4"/>
    <w:rsid w:val="40677844"/>
    <w:rsid w:val="42220A0F"/>
    <w:rsid w:val="422C3859"/>
    <w:rsid w:val="42B52C93"/>
    <w:rsid w:val="437BE2A7"/>
    <w:rsid w:val="442E690C"/>
    <w:rsid w:val="472D60AA"/>
    <w:rsid w:val="490E3CB9"/>
    <w:rsid w:val="491C4628"/>
    <w:rsid w:val="494F6901"/>
    <w:rsid w:val="49AD79B6"/>
    <w:rsid w:val="4A165DF1"/>
    <w:rsid w:val="4BD034A7"/>
    <w:rsid w:val="4FA42C81"/>
    <w:rsid w:val="5019541D"/>
    <w:rsid w:val="55C203E5"/>
    <w:rsid w:val="57B632EA"/>
    <w:rsid w:val="57FF8CAA"/>
    <w:rsid w:val="5AFFB963"/>
    <w:rsid w:val="5B7E910E"/>
    <w:rsid w:val="5BFCFC06"/>
    <w:rsid w:val="5E3D2C1E"/>
    <w:rsid w:val="5EBCD6F8"/>
    <w:rsid w:val="5EEE484B"/>
    <w:rsid w:val="5EFE5CF5"/>
    <w:rsid w:val="5FEB7DB9"/>
    <w:rsid w:val="62CF4C72"/>
    <w:rsid w:val="65A70A68"/>
    <w:rsid w:val="65B205BB"/>
    <w:rsid w:val="66B72781"/>
    <w:rsid w:val="67172093"/>
    <w:rsid w:val="67F56318"/>
    <w:rsid w:val="68ED6FEF"/>
    <w:rsid w:val="69937B96"/>
    <w:rsid w:val="69E71C90"/>
    <w:rsid w:val="6A5C0D00"/>
    <w:rsid w:val="6A9F210B"/>
    <w:rsid w:val="6DDE8A07"/>
    <w:rsid w:val="6DDFF586"/>
    <w:rsid w:val="6EBA03E0"/>
    <w:rsid w:val="6ED59ED3"/>
    <w:rsid w:val="6F9E9A03"/>
    <w:rsid w:val="6FB7B71D"/>
    <w:rsid w:val="6FDDF923"/>
    <w:rsid w:val="6FF6B673"/>
    <w:rsid w:val="6FFEA51A"/>
    <w:rsid w:val="7034793E"/>
    <w:rsid w:val="7372CCAD"/>
    <w:rsid w:val="75AD1FE0"/>
    <w:rsid w:val="75FF9F38"/>
    <w:rsid w:val="76337AC7"/>
    <w:rsid w:val="7634287A"/>
    <w:rsid w:val="776963DA"/>
    <w:rsid w:val="777CA185"/>
    <w:rsid w:val="77ADE359"/>
    <w:rsid w:val="77AF9A5B"/>
    <w:rsid w:val="77E56AC3"/>
    <w:rsid w:val="77EAEECF"/>
    <w:rsid w:val="783E2916"/>
    <w:rsid w:val="797B3CCB"/>
    <w:rsid w:val="79E386CB"/>
    <w:rsid w:val="7B0D99BB"/>
    <w:rsid w:val="7B4E68CF"/>
    <w:rsid w:val="7B7EE601"/>
    <w:rsid w:val="7BBFCD31"/>
    <w:rsid w:val="7BD47803"/>
    <w:rsid w:val="7BEA4DAB"/>
    <w:rsid w:val="7BFD5657"/>
    <w:rsid w:val="7C022F2F"/>
    <w:rsid w:val="7C7E223F"/>
    <w:rsid w:val="7C9C225B"/>
    <w:rsid w:val="7CDC3EC6"/>
    <w:rsid w:val="7CF13002"/>
    <w:rsid w:val="7D56143B"/>
    <w:rsid w:val="7DE32436"/>
    <w:rsid w:val="7DEF6D9D"/>
    <w:rsid w:val="7E304161"/>
    <w:rsid w:val="7E9F2C21"/>
    <w:rsid w:val="7EB7628E"/>
    <w:rsid w:val="7EBBDA13"/>
    <w:rsid w:val="7EBE6809"/>
    <w:rsid w:val="7F3F9090"/>
    <w:rsid w:val="7F3FFAD4"/>
    <w:rsid w:val="7F5D9FFB"/>
    <w:rsid w:val="7F7EFE26"/>
    <w:rsid w:val="7FCCE17A"/>
    <w:rsid w:val="7FDA0C95"/>
    <w:rsid w:val="7FF578CB"/>
    <w:rsid w:val="7FFEA5E1"/>
    <w:rsid w:val="7FFF5AEC"/>
    <w:rsid w:val="7FFFEEC3"/>
    <w:rsid w:val="86FFB62A"/>
    <w:rsid w:val="8EFEEE24"/>
    <w:rsid w:val="8FFC7A3E"/>
    <w:rsid w:val="93DD4303"/>
    <w:rsid w:val="97ED6346"/>
    <w:rsid w:val="9E7E3BCF"/>
    <w:rsid w:val="A6AEA0A4"/>
    <w:rsid w:val="AF3A3D13"/>
    <w:rsid w:val="AF3FCE76"/>
    <w:rsid w:val="AFED997C"/>
    <w:rsid w:val="AFFE006F"/>
    <w:rsid w:val="B377D870"/>
    <w:rsid w:val="B7FF82AB"/>
    <w:rsid w:val="B9E520E1"/>
    <w:rsid w:val="BBEBE1F9"/>
    <w:rsid w:val="BCFFECBE"/>
    <w:rsid w:val="BD5D2BBD"/>
    <w:rsid w:val="BE7B8FD0"/>
    <w:rsid w:val="BEBD4258"/>
    <w:rsid w:val="BEE70612"/>
    <w:rsid w:val="BF9F433E"/>
    <w:rsid w:val="BFBFC4ED"/>
    <w:rsid w:val="BFE9C615"/>
    <w:rsid w:val="BFF6C788"/>
    <w:rsid w:val="BFF76FE7"/>
    <w:rsid w:val="BFFFCE09"/>
    <w:rsid w:val="C56E41C0"/>
    <w:rsid w:val="CBAEAB36"/>
    <w:rsid w:val="CEFB9DB8"/>
    <w:rsid w:val="CF3FA040"/>
    <w:rsid w:val="CF8F1E66"/>
    <w:rsid w:val="CFFF350B"/>
    <w:rsid w:val="D37F978C"/>
    <w:rsid w:val="D5DFCA3A"/>
    <w:rsid w:val="D7F71FD1"/>
    <w:rsid w:val="D7FF781C"/>
    <w:rsid w:val="D9FFC3FB"/>
    <w:rsid w:val="DB551FB9"/>
    <w:rsid w:val="DB5FAC48"/>
    <w:rsid w:val="DDBB4AB8"/>
    <w:rsid w:val="DEEF94D7"/>
    <w:rsid w:val="DF6F28AE"/>
    <w:rsid w:val="DFCE5C34"/>
    <w:rsid w:val="E5FF6326"/>
    <w:rsid w:val="E6DE229D"/>
    <w:rsid w:val="E7E9C7B7"/>
    <w:rsid w:val="E7FB1AE5"/>
    <w:rsid w:val="E9FFF6CC"/>
    <w:rsid w:val="EDE2634F"/>
    <w:rsid w:val="EDFD2BA7"/>
    <w:rsid w:val="EF73BCBB"/>
    <w:rsid w:val="EF7D52B4"/>
    <w:rsid w:val="F3FE4936"/>
    <w:rsid w:val="F3FF835F"/>
    <w:rsid w:val="F69EA396"/>
    <w:rsid w:val="F71DE57A"/>
    <w:rsid w:val="F7571CC5"/>
    <w:rsid w:val="F7BF7EDB"/>
    <w:rsid w:val="F7FB01F5"/>
    <w:rsid w:val="F7FE6249"/>
    <w:rsid w:val="F7FF234D"/>
    <w:rsid w:val="F7FFE2D7"/>
    <w:rsid w:val="F9F9CCE8"/>
    <w:rsid w:val="FA5729CE"/>
    <w:rsid w:val="FB557E58"/>
    <w:rsid w:val="FB977915"/>
    <w:rsid w:val="FBAB6741"/>
    <w:rsid w:val="FBDFF716"/>
    <w:rsid w:val="FBFFCAD9"/>
    <w:rsid w:val="FCFE31BF"/>
    <w:rsid w:val="FD7D6EC3"/>
    <w:rsid w:val="FD9B819F"/>
    <w:rsid w:val="FD9F57DE"/>
    <w:rsid w:val="FDB72D7D"/>
    <w:rsid w:val="FDCFA876"/>
    <w:rsid w:val="FDDDBF70"/>
    <w:rsid w:val="FE7F97A4"/>
    <w:rsid w:val="FF7FBFA4"/>
    <w:rsid w:val="FFBB2DB5"/>
    <w:rsid w:val="FFBD1B91"/>
    <w:rsid w:val="FFF559AB"/>
    <w:rsid w:val="FFF5D858"/>
    <w:rsid w:val="FFF7B910"/>
    <w:rsid w:val="FFFDD7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2">
    <w:name w:val="heading 1"/>
    <w:basedOn w:val="1"/>
    <w:next w:val="1"/>
    <w:link w:val="37"/>
    <w:qFormat/>
    <w:uiPriority w:val="99"/>
    <w:pPr>
      <w:keepNext/>
      <w:numPr>
        <w:ilvl w:val="0"/>
        <w:numId w:val="1"/>
      </w:numPr>
      <w:spacing w:line="360" w:lineRule="auto"/>
      <w:ind w:firstLine="562" w:firstLineChars="200"/>
      <w:jc w:val="center"/>
      <w:outlineLvl w:val="0"/>
    </w:pPr>
    <w:rPr>
      <w:b/>
      <w:bCs/>
      <w:sz w:val="28"/>
      <w:szCs w:val="28"/>
    </w:rPr>
  </w:style>
  <w:style w:type="paragraph" w:styleId="3">
    <w:name w:val="heading 2"/>
    <w:basedOn w:val="1"/>
    <w:next w:val="1"/>
    <w:link w:val="63"/>
    <w:unhideWhenUsed/>
    <w:qFormat/>
    <w:uiPriority w:val="0"/>
    <w:pPr>
      <w:keepNext/>
      <w:keepLines/>
      <w:spacing w:before="260" w:after="260" w:line="416" w:lineRule="auto"/>
      <w:ind w:firstLine="200" w:firstLineChars="200"/>
      <w:jc w:val="both"/>
      <w:outlineLvl w:val="1"/>
    </w:pPr>
    <w:rPr>
      <w:rFonts w:asciiTheme="majorHAnsi" w:hAnsiTheme="majorHAnsi" w:eastAsiaTheme="majorEastAsia" w:cstheme="majorBidi"/>
      <w:b/>
      <w:bCs/>
      <w:kern w:val="2"/>
      <w:sz w:val="32"/>
      <w:szCs w:val="32"/>
    </w:rPr>
  </w:style>
  <w:style w:type="paragraph" w:styleId="4">
    <w:name w:val="heading 3"/>
    <w:basedOn w:val="1"/>
    <w:next w:val="1"/>
    <w:link w:val="104"/>
    <w:qFormat/>
    <w:uiPriority w:val="0"/>
    <w:pPr>
      <w:outlineLvl w:val="2"/>
    </w:pPr>
  </w:style>
  <w:style w:type="paragraph" w:styleId="5">
    <w:name w:val="heading 4"/>
    <w:basedOn w:val="1"/>
    <w:next w:val="1"/>
    <w:link w:val="73"/>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8">
    <w:name w:val="Default Paragraph Font"/>
    <w:semiHidden/>
    <w:unhideWhenUsed/>
    <w:uiPriority w:val="1"/>
  </w:style>
  <w:style w:type="table" w:default="1" w:styleId="26">
    <w:name w:val="Normal Table"/>
    <w:semiHidden/>
    <w:unhideWhenUsed/>
    <w:uiPriority w:val="99"/>
    <w:tblPr>
      <w:tblCellMar>
        <w:top w:w="0" w:type="dxa"/>
        <w:left w:w="108" w:type="dxa"/>
        <w:bottom w:w="0" w:type="dxa"/>
        <w:right w:w="108" w:type="dxa"/>
      </w:tblCellMar>
    </w:tblPr>
  </w:style>
  <w:style w:type="paragraph" w:styleId="6">
    <w:name w:val="toc 7"/>
    <w:basedOn w:val="1"/>
    <w:next w:val="1"/>
    <w:unhideWhenUsed/>
    <w:qFormat/>
    <w:uiPriority w:val="39"/>
    <w:pPr>
      <w:widowControl w:val="0"/>
      <w:ind w:left="2520" w:leftChars="1200"/>
      <w:jc w:val="both"/>
    </w:pPr>
    <w:rPr>
      <w:rFonts w:asciiTheme="minorHAnsi" w:hAnsiTheme="minorHAnsi" w:eastAsiaTheme="minorEastAsia" w:cstheme="minorBidi"/>
      <w:kern w:val="2"/>
      <w:sz w:val="21"/>
      <w:szCs w:val="22"/>
    </w:rPr>
  </w:style>
  <w:style w:type="paragraph" w:styleId="7">
    <w:name w:val="Normal Indent"/>
    <w:basedOn w:val="1"/>
    <w:qFormat/>
    <w:uiPriority w:val="0"/>
    <w:pPr>
      <w:spacing w:before="120" w:after="120" w:line="360" w:lineRule="atLeast"/>
      <w:ind w:left="2336"/>
      <w:jc w:val="both"/>
    </w:pPr>
    <w:rPr>
      <w:sz w:val="21"/>
      <w:szCs w:val="20"/>
    </w:rPr>
  </w:style>
  <w:style w:type="paragraph" w:styleId="8">
    <w:name w:val="caption"/>
    <w:basedOn w:val="1"/>
    <w:next w:val="1"/>
    <w:link w:val="93"/>
    <w:unhideWhenUsed/>
    <w:qFormat/>
    <w:uiPriority w:val="0"/>
    <w:rPr>
      <w:rFonts w:ascii="Arial" w:hAnsi="Arial" w:eastAsia="黑体"/>
      <w:sz w:val="20"/>
    </w:rPr>
  </w:style>
  <w:style w:type="paragraph" w:styleId="9">
    <w:name w:val="annotation text"/>
    <w:basedOn w:val="1"/>
    <w:link w:val="56"/>
    <w:qFormat/>
    <w:uiPriority w:val="0"/>
  </w:style>
  <w:style w:type="paragraph" w:styleId="10">
    <w:name w:val="Body Text"/>
    <w:basedOn w:val="1"/>
    <w:link w:val="105"/>
    <w:qFormat/>
    <w:uiPriority w:val="1"/>
    <w:pPr>
      <w:spacing w:line="360" w:lineRule="auto"/>
      <w:ind w:left="896" w:right="896" w:firstLine="480" w:firstLineChars="200"/>
    </w:pPr>
  </w:style>
  <w:style w:type="paragraph" w:styleId="11">
    <w:name w:val="toc 5"/>
    <w:basedOn w:val="1"/>
    <w:next w:val="1"/>
    <w:unhideWhenUsed/>
    <w:qFormat/>
    <w:uiPriority w:val="39"/>
    <w:pPr>
      <w:widowControl w:val="0"/>
      <w:ind w:left="1680" w:leftChars="800"/>
      <w:jc w:val="both"/>
    </w:pPr>
    <w:rPr>
      <w:rFonts w:asciiTheme="minorHAnsi" w:hAnsiTheme="minorHAnsi" w:eastAsiaTheme="minorEastAsia" w:cstheme="minorBidi"/>
      <w:kern w:val="2"/>
      <w:sz w:val="21"/>
      <w:szCs w:val="22"/>
    </w:rPr>
  </w:style>
  <w:style w:type="paragraph" w:styleId="12">
    <w:name w:val="toc 3"/>
    <w:basedOn w:val="1"/>
    <w:next w:val="1"/>
    <w:qFormat/>
    <w:uiPriority w:val="39"/>
    <w:pPr>
      <w:ind w:left="840" w:leftChars="400"/>
    </w:pPr>
  </w:style>
  <w:style w:type="paragraph" w:styleId="13">
    <w:name w:val="Plain Text"/>
    <w:basedOn w:val="1"/>
    <w:link w:val="77"/>
    <w:qFormat/>
    <w:uiPriority w:val="0"/>
    <w:pPr>
      <w:widowControl w:val="0"/>
      <w:adjustRightInd w:val="0"/>
      <w:jc w:val="both"/>
      <w:textAlignment w:val="baseline"/>
    </w:pPr>
    <w:rPr>
      <w:rFonts w:hAnsi="Courier New" w:eastAsiaTheme="minorEastAsia"/>
      <w:kern w:val="2"/>
      <w:sz w:val="21"/>
    </w:rPr>
  </w:style>
  <w:style w:type="paragraph" w:styleId="14">
    <w:name w:val="toc 8"/>
    <w:basedOn w:val="1"/>
    <w:next w:val="1"/>
    <w:unhideWhenUsed/>
    <w:qFormat/>
    <w:uiPriority w:val="39"/>
    <w:pPr>
      <w:widowControl w:val="0"/>
      <w:ind w:left="2940" w:leftChars="1400"/>
      <w:jc w:val="both"/>
    </w:pPr>
    <w:rPr>
      <w:rFonts w:asciiTheme="minorHAnsi" w:hAnsiTheme="minorHAnsi" w:eastAsiaTheme="minorEastAsia" w:cstheme="minorBidi"/>
      <w:kern w:val="2"/>
      <w:sz w:val="21"/>
      <w:szCs w:val="22"/>
    </w:rPr>
  </w:style>
  <w:style w:type="paragraph" w:styleId="15">
    <w:name w:val="Date"/>
    <w:basedOn w:val="1"/>
    <w:next w:val="1"/>
    <w:link w:val="52"/>
    <w:qFormat/>
    <w:uiPriority w:val="0"/>
    <w:pPr>
      <w:ind w:left="100" w:leftChars="2500"/>
    </w:pPr>
  </w:style>
  <w:style w:type="paragraph" w:styleId="16">
    <w:name w:val="footer"/>
    <w:basedOn w:val="1"/>
    <w:link w:val="54"/>
    <w:unhideWhenUsed/>
    <w:qFormat/>
    <w:uiPriority w:val="99"/>
    <w:pPr>
      <w:tabs>
        <w:tab w:val="center" w:pos="4153"/>
        <w:tab w:val="right" w:pos="8306"/>
      </w:tabs>
      <w:snapToGrid w:val="0"/>
    </w:pPr>
    <w:rPr>
      <w:sz w:val="18"/>
      <w:szCs w:val="18"/>
    </w:rPr>
  </w:style>
  <w:style w:type="paragraph" w:styleId="17">
    <w:name w:val="header"/>
    <w:basedOn w:val="1"/>
    <w:link w:val="59"/>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8">
    <w:name w:val="toc 1"/>
    <w:basedOn w:val="1"/>
    <w:next w:val="1"/>
    <w:qFormat/>
    <w:uiPriority w:val="39"/>
  </w:style>
  <w:style w:type="paragraph" w:styleId="19">
    <w:name w:val="toc 4"/>
    <w:basedOn w:val="1"/>
    <w:next w:val="1"/>
    <w:unhideWhenUsed/>
    <w:qFormat/>
    <w:uiPriority w:val="39"/>
    <w:pPr>
      <w:widowControl w:val="0"/>
      <w:ind w:left="1260" w:leftChars="600"/>
      <w:jc w:val="both"/>
    </w:pPr>
    <w:rPr>
      <w:rFonts w:asciiTheme="minorHAnsi" w:hAnsiTheme="minorHAnsi" w:eastAsiaTheme="minorEastAsia" w:cstheme="minorBidi"/>
      <w:kern w:val="2"/>
      <w:sz w:val="21"/>
      <w:szCs w:val="22"/>
    </w:rPr>
  </w:style>
  <w:style w:type="paragraph" w:styleId="20">
    <w:name w:val="footnote text"/>
    <w:basedOn w:val="1"/>
    <w:link w:val="106"/>
    <w:unhideWhenUsed/>
    <w:qFormat/>
    <w:uiPriority w:val="99"/>
    <w:pPr>
      <w:snapToGrid w:val="0"/>
    </w:pPr>
    <w:rPr>
      <w:sz w:val="18"/>
      <w:szCs w:val="18"/>
    </w:rPr>
  </w:style>
  <w:style w:type="paragraph" w:styleId="21">
    <w:name w:val="toc 6"/>
    <w:basedOn w:val="1"/>
    <w:next w:val="1"/>
    <w:unhideWhenUsed/>
    <w:qFormat/>
    <w:uiPriority w:val="39"/>
    <w:pPr>
      <w:widowControl w:val="0"/>
      <w:ind w:left="2100" w:leftChars="1000"/>
      <w:jc w:val="both"/>
    </w:pPr>
    <w:rPr>
      <w:rFonts w:asciiTheme="minorHAnsi" w:hAnsiTheme="minorHAnsi" w:eastAsiaTheme="minorEastAsia" w:cstheme="minorBidi"/>
      <w:kern w:val="2"/>
      <w:sz w:val="21"/>
      <w:szCs w:val="22"/>
    </w:rPr>
  </w:style>
  <w:style w:type="paragraph" w:styleId="22">
    <w:name w:val="toc 2"/>
    <w:basedOn w:val="1"/>
    <w:next w:val="1"/>
    <w:qFormat/>
    <w:uiPriority w:val="39"/>
    <w:pPr>
      <w:ind w:left="420" w:leftChars="200"/>
    </w:pPr>
  </w:style>
  <w:style w:type="paragraph" w:styleId="23">
    <w:name w:val="toc 9"/>
    <w:basedOn w:val="1"/>
    <w:next w:val="1"/>
    <w:unhideWhenUsed/>
    <w:qFormat/>
    <w:uiPriority w:val="39"/>
    <w:pPr>
      <w:widowControl w:val="0"/>
      <w:ind w:left="3360" w:leftChars="1600"/>
      <w:jc w:val="both"/>
    </w:pPr>
    <w:rPr>
      <w:rFonts w:asciiTheme="minorHAnsi" w:hAnsiTheme="minorHAnsi" w:eastAsiaTheme="minorEastAsia" w:cstheme="minorBidi"/>
      <w:kern w:val="2"/>
      <w:sz w:val="21"/>
      <w:szCs w:val="22"/>
    </w:rPr>
  </w:style>
  <w:style w:type="paragraph" w:styleId="24">
    <w:name w:val="Normal (Web)"/>
    <w:basedOn w:val="1"/>
    <w:qFormat/>
    <w:uiPriority w:val="99"/>
    <w:pPr>
      <w:spacing w:beforeAutospacing="1" w:afterAutospacing="1"/>
    </w:pPr>
    <w:rPr>
      <w:rFonts w:asciiTheme="minorHAnsi" w:hAnsiTheme="minorHAnsi" w:eastAsiaTheme="minorEastAsia"/>
    </w:rPr>
  </w:style>
  <w:style w:type="paragraph" w:styleId="25">
    <w:name w:val="annotation subject"/>
    <w:basedOn w:val="9"/>
    <w:next w:val="9"/>
    <w:link w:val="5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uiPriority w:val="0"/>
    <w:rPr>
      <w:b/>
    </w:rPr>
  </w:style>
  <w:style w:type="character" w:styleId="30">
    <w:name w:val="page number"/>
    <w:basedOn w:val="28"/>
    <w:uiPriority w:val="0"/>
  </w:style>
  <w:style w:type="character" w:styleId="31">
    <w:name w:val="Emphasis"/>
    <w:basedOn w:val="28"/>
    <w:qFormat/>
    <w:uiPriority w:val="0"/>
    <w:rPr>
      <w:i/>
    </w:rPr>
  </w:style>
  <w:style w:type="character" w:styleId="32">
    <w:name w:val="Hyperlink"/>
    <w:basedOn w:val="28"/>
    <w:unhideWhenUsed/>
    <w:qFormat/>
    <w:uiPriority w:val="99"/>
    <w:rPr>
      <w:color w:val="0026E5" w:themeColor="hyperlink"/>
      <w:u w:val="single"/>
      <w14:textFill>
        <w14:solidFill>
          <w14:schemeClr w14:val="hlink"/>
        </w14:solidFill>
      </w14:textFill>
    </w:rPr>
  </w:style>
  <w:style w:type="character" w:styleId="33">
    <w:name w:val="annotation reference"/>
    <w:basedOn w:val="28"/>
    <w:qFormat/>
    <w:uiPriority w:val="0"/>
    <w:rPr>
      <w:sz w:val="21"/>
      <w:szCs w:val="21"/>
    </w:rPr>
  </w:style>
  <w:style w:type="character" w:styleId="34">
    <w:name w:val="footnote reference"/>
    <w:unhideWhenUsed/>
    <w:qFormat/>
    <w:uiPriority w:val="99"/>
    <w:rPr>
      <w:vertAlign w:val="superscript"/>
    </w:rPr>
  </w:style>
  <w:style w:type="paragraph" w:customStyle="1" w:styleId="35">
    <w:name w:val="样式1"/>
    <w:basedOn w:val="1"/>
    <w:link w:val="68"/>
    <w:qFormat/>
    <w:uiPriority w:val="0"/>
    <w:pPr>
      <w:keepNext/>
      <w:keepLines/>
      <w:widowControl w:val="0"/>
      <w:ind w:left="140" w:firstLine="420"/>
      <w:contextualSpacing/>
      <w:jc w:val="both"/>
      <w:outlineLvl w:val="1"/>
    </w:pPr>
    <w:rPr>
      <w:rFonts w:ascii="Arial" w:hAnsi="Arial" w:cs="Arial"/>
      <w:b/>
      <w:bCs/>
      <w:color w:val="000000"/>
      <w:sz w:val="28"/>
      <w:szCs w:val="28"/>
    </w:rPr>
  </w:style>
  <w:style w:type="paragraph" w:customStyle="1" w:styleId="36">
    <w:name w:val="【正文】"/>
    <w:link w:val="58"/>
    <w:qFormat/>
    <w:uiPriority w:val="0"/>
    <w:pPr>
      <w:spacing w:line="288" w:lineRule="auto"/>
      <w:ind w:firstLine="560" w:firstLineChars="200"/>
      <w:contextualSpacing/>
      <w:jc w:val="both"/>
    </w:pPr>
    <w:rPr>
      <w:rFonts w:ascii="宋体" w:hAnsi="宋体" w:eastAsia="宋体" w:cs="宋体"/>
      <w:sz w:val="28"/>
      <w:szCs w:val="28"/>
      <w:lang w:val="en-US" w:eastAsia="zh-Hans" w:bidi="ar-SA"/>
    </w:rPr>
  </w:style>
  <w:style w:type="character" w:customStyle="1" w:styleId="37">
    <w:name w:val="标题 1 字符"/>
    <w:link w:val="2"/>
    <w:qFormat/>
    <w:uiPriority w:val="99"/>
    <w:rPr>
      <w:rFonts w:ascii="宋体" w:hAnsi="宋体" w:cs="宋体"/>
      <w:b/>
      <w:bCs/>
      <w:sz w:val="28"/>
      <w:szCs w:val="28"/>
    </w:rPr>
  </w:style>
  <w:style w:type="paragraph" w:customStyle="1" w:styleId="38">
    <w:name w:val="【标题-1级】"/>
    <w:basedOn w:val="39"/>
    <w:next w:val="36"/>
    <w:link w:val="80"/>
    <w:qFormat/>
    <w:uiPriority w:val="0"/>
    <w:pPr>
      <w:ind w:left="0" w:firstLine="562" w:firstLineChars="200"/>
      <w:jc w:val="both"/>
      <w:outlineLvl w:val="0"/>
    </w:pPr>
    <w:rPr>
      <w:rFonts w:ascii="Arial" w:hAnsi="Arial" w:cs="Arial" w:eastAsiaTheme="minorEastAsia"/>
      <w:b/>
      <w:bCs/>
      <w:color w:val="000000" w:themeColor="text1"/>
      <w:sz w:val="28"/>
      <w:szCs w:val="28"/>
      <w14:textFill>
        <w14:solidFill>
          <w14:schemeClr w14:val="tx1"/>
        </w14:solidFill>
      </w14:textFill>
    </w:rPr>
  </w:style>
  <w:style w:type="paragraph" w:styleId="39">
    <w:name w:val="List Paragraph"/>
    <w:basedOn w:val="1"/>
    <w:link w:val="79"/>
    <w:qFormat/>
    <w:uiPriority w:val="34"/>
    <w:pPr>
      <w:ind w:left="720"/>
      <w:contextualSpacing/>
    </w:pPr>
  </w:style>
  <w:style w:type="paragraph" w:customStyle="1" w:styleId="40">
    <w:name w:val="【标题-2级】"/>
    <w:basedOn w:val="1"/>
    <w:next w:val="36"/>
    <w:link w:val="43"/>
    <w:qFormat/>
    <w:uiPriority w:val="0"/>
    <w:pPr>
      <w:keepNext/>
      <w:keepLines/>
      <w:widowControl w:val="0"/>
      <w:ind w:left="140" w:firstLine="420"/>
      <w:contextualSpacing/>
      <w:jc w:val="both"/>
      <w:outlineLvl w:val="1"/>
    </w:pPr>
    <w:rPr>
      <w:rFonts w:ascii="Arial" w:hAnsi="Arial" w:cs="Arial"/>
      <w:b/>
      <w:bCs/>
      <w:color w:val="000000"/>
      <w:sz w:val="28"/>
      <w:szCs w:val="28"/>
    </w:rPr>
  </w:style>
  <w:style w:type="paragraph" w:customStyle="1" w:styleId="41">
    <w:name w:val="【正文-表内】"/>
    <w:basedOn w:val="36"/>
    <w:qFormat/>
    <w:uiPriority w:val="0"/>
    <w:pPr>
      <w:spacing w:line="240" w:lineRule="auto"/>
      <w:ind w:firstLine="0" w:firstLineChars="0"/>
      <w:textAlignment w:val="center"/>
    </w:pPr>
    <w:rPr>
      <w:sz w:val="24"/>
    </w:rPr>
  </w:style>
  <w:style w:type="table" w:customStyle="1" w:styleId="42">
    <w:name w:val="Table Normal1"/>
    <w:semiHidden/>
    <w:unhideWhenUsed/>
    <w:qFormat/>
    <w:uiPriority w:val="2"/>
    <w:tblPr>
      <w:tblCellMar>
        <w:top w:w="0" w:type="dxa"/>
        <w:left w:w="0" w:type="dxa"/>
        <w:bottom w:w="0" w:type="dxa"/>
        <w:right w:w="0" w:type="dxa"/>
      </w:tblCellMar>
    </w:tblPr>
  </w:style>
  <w:style w:type="character" w:customStyle="1" w:styleId="43">
    <w:name w:val="【标题-2级】 Char"/>
    <w:link w:val="40"/>
    <w:qFormat/>
    <w:uiPriority w:val="0"/>
    <w:rPr>
      <w:rFonts w:ascii="Arial" w:hAnsi="Arial" w:cs="Arial"/>
      <w:b/>
      <w:bCs/>
      <w:color w:val="000000"/>
      <w:sz w:val="28"/>
      <w:szCs w:val="28"/>
    </w:rPr>
  </w:style>
  <w:style w:type="paragraph" w:customStyle="1" w:styleId="44">
    <w:name w:val="【标题-3级】"/>
    <w:basedOn w:val="1"/>
    <w:link w:val="88"/>
    <w:qFormat/>
    <w:uiPriority w:val="0"/>
    <w:pPr>
      <w:spacing w:line="288" w:lineRule="auto"/>
      <w:ind w:firstLine="562" w:firstLineChars="200"/>
      <w:contextualSpacing/>
      <w:jc w:val="both"/>
      <w:outlineLvl w:val="2"/>
    </w:pPr>
    <w:rPr>
      <w:rFonts w:ascii="Arial" w:hAnsi="Arial" w:cs="Arial"/>
      <w:b/>
      <w:bCs/>
      <w:color w:val="000000"/>
      <w:sz w:val="28"/>
      <w:szCs w:val="28"/>
    </w:rPr>
  </w:style>
  <w:style w:type="paragraph" w:customStyle="1" w:styleId="45">
    <w:name w:val="【标题-4级】"/>
    <w:basedOn w:val="46"/>
    <w:next w:val="36"/>
    <w:qFormat/>
    <w:uiPriority w:val="0"/>
    <w:pPr>
      <w:numPr>
        <w:ilvl w:val="0"/>
        <w:numId w:val="2"/>
      </w:numPr>
      <w:spacing w:before="312" w:beforeLines="100" w:line="240" w:lineRule="auto"/>
      <w:ind w:left="720" w:leftChars="300" w:firstLine="0" w:firstLineChars="0"/>
    </w:pPr>
  </w:style>
  <w:style w:type="paragraph" w:customStyle="1" w:styleId="46">
    <w:name w:val="【正文-小编号】"/>
    <w:basedOn w:val="36"/>
    <w:qFormat/>
    <w:uiPriority w:val="0"/>
    <w:pPr>
      <w:ind w:firstLine="0"/>
    </w:pPr>
  </w:style>
  <w:style w:type="character" w:customStyle="1" w:styleId="47">
    <w:name w:val="font11"/>
    <w:basedOn w:val="28"/>
    <w:qFormat/>
    <w:uiPriority w:val="0"/>
    <w:rPr>
      <w:rFonts w:hint="eastAsia" w:ascii="宋体" w:hAnsi="宋体" w:eastAsia="宋体" w:cs="宋体"/>
      <w:color w:val="000000"/>
      <w:sz w:val="21"/>
      <w:szCs w:val="21"/>
      <w:u w:val="none"/>
    </w:rPr>
  </w:style>
  <w:style w:type="character" w:customStyle="1" w:styleId="48">
    <w:name w:val="font21"/>
    <w:basedOn w:val="28"/>
    <w:qFormat/>
    <w:uiPriority w:val="0"/>
    <w:rPr>
      <w:rFonts w:hint="eastAsia" w:ascii="宋体" w:hAnsi="宋体" w:eastAsia="宋体" w:cs="宋体"/>
      <w:b/>
      <w:bCs/>
      <w:color w:val="000000"/>
      <w:sz w:val="21"/>
      <w:szCs w:val="21"/>
      <w:u w:val="none"/>
    </w:rPr>
  </w:style>
  <w:style w:type="paragraph" w:customStyle="1" w:styleId="49">
    <w:name w:val="【图例-图表说明】"/>
    <w:basedOn w:val="41"/>
    <w:qFormat/>
    <w:uiPriority w:val="0"/>
    <w:pPr>
      <w:jc w:val="right"/>
    </w:pPr>
    <w:rPr>
      <w:rFonts w:ascii="仿宋" w:hAnsi="仿宋" w:eastAsia="仿宋"/>
      <w:szCs w:val="24"/>
    </w:rPr>
  </w:style>
  <w:style w:type="paragraph" w:styleId="50">
    <w:name w:val="No Spacing"/>
    <w:link w:val="51"/>
    <w:qFormat/>
    <w:uiPriority w:val="1"/>
    <w:rPr>
      <w:rFonts w:asciiTheme="minorHAnsi" w:hAnsiTheme="minorHAnsi" w:eastAsiaTheme="minorEastAsia" w:cstheme="minorBidi"/>
      <w:sz w:val="22"/>
      <w:szCs w:val="22"/>
      <w:lang w:val="en-US" w:eastAsia="zh-CN" w:bidi="ar-SA"/>
    </w:rPr>
  </w:style>
  <w:style w:type="character" w:customStyle="1" w:styleId="51">
    <w:name w:val="无间隔 字符"/>
    <w:basedOn w:val="28"/>
    <w:link w:val="50"/>
    <w:qFormat/>
    <w:uiPriority w:val="1"/>
    <w:rPr>
      <w:rFonts w:asciiTheme="minorHAnsi" w:hAnsiTheme="minorHAnsi" w:eastAsiaTheme="minorEastAsia" w:cstheme="minorBidi"/>
      <w:sz w:val="22"/>
      <w:szCs w:val="22"/>
    </w:rPr>
  </w:style>
  <w:style w:type="character" w:customStyle="1" w:styleId="52">
    <w:name w:val="日期 字符"/>
    <w:basedOn w:val="28"/>
    <w:link w:val="15"/>
    <w:qFormat/>
    <w:uiPriority w:val="0"/>
    <w:rPr>
      <w:rFonts w:ascii="宋体" w:hAnsi="宋体" w:cs="宋体"/>
      <w:sz w:val="24"/>
      <w:szCs w:val="24"/>
    </w:rPr>
  </w:style>
  <w:style w:type="character" w:customStyle="1" w:styleId="53">
    <w:name w:val="未处理的提及1"/>
    <w:basedOn w:val="28"/>
    <w:semiHidden/>
    <w:unhideWhenUsed/>
    <w:qFormat/>
    <w:uiPriority w:val="99"/>
    <w:rPr>
      <w:color w:val="605E5C"/>
      <w:shd w:val="clear" w:color="auto" w:fill="E1DFDD"/>
    </w:rPr>
  </w:style>
  <w:style w:type="character" w:customStyle="1" w:styleId="54">
    <w:name w:val="页脚 字符"/>
    <w:basedOn w:val="28"/>
    <w:link w:val="16"/>
    <w:qFormat/>
    <w:uiPriority w:val="99"/>
    <w:rPr>
      <w:rFonts w:ascii="宋体" w:hAnsi="宋体" w:cs="宋体"/>
      <w:sz w:val="18"/>
      <w:szCs w:val="18"/>
    </w:rPr>
  </w:style>
  <w:style w:type="character" w:customStyle="1" w:styleId="55">
    <w:name w:val="未处理的提及2"/>
    <w:basedOn w:val="28"/>
    <w:semiHidden/>
    <w:unhideWhenUsed/>
    <w:qFormat/>
    <w:uiPriority w:val="99"/>
    <w:rPr>
      <w:color w:val="605E5C"/>
      <w:shd w:val="clear" w:color="auto" w:fill="E1DFDD"/>
    </w:rPr>
  </w:style>
  <w:style w:type="character" w:customStyle="1" w:styleId="56">
    <w:name w:val="批注文字 字符"/>
    <w:basedOn w:val="28"/>
    <w:link w:val="9"/>
    <w:qFormat/>
    <w:uiPriority w:val="0"/>
    <w:rPr>
      <w:rFonts w:ascii="宋体" w:hAnsi="宋体" w:eastAsia="宋体" w:cs="宋体"/>
      <w:sz w:val="24"/>
      <w:szCs w:val="24"/>
    </w:rPr>
  </w:style>
  <w:style w:type="character" w:customStyle="1" w:styleId="57">
    <w:name w:val="批注主题 字符"/>
    <w:basedOn w:val="56"/>
    <w:link w:val="25"/>
    <w:qFormat/>
    <w:uiPriority w:val="0"/>
    <w:rPr>
      <w:rFonts w:ascii="宋体" w:hAnsi="宋体" w:eastAsia="宋体" w:cs="宋体"/>
      <w:b/>
      <w:bCs/>
      <w:sz w:val="24"/>
      <w:szCs w:val="24"/>
    </w:rPr>
  </w:style>
  <w:style w:type="character" w:customStyle="1" w:styleId="58">
    <w:name w:val="【正文】 Char"/>
    <w:link w:val="36"/>
    <w:qFormat/>
    <w:uiPriority w:val="0"/>
    <w:rPr>
      <w:rFonts w:ascii="宋体" w:hAnsi="宋体" w:eastAsia="宋体" w:cs="宋体"/>
      <w:sz w:val="28"/>
      <w:szCs w:val="28"/>
      <w:lang w:eastAsia="zh-Hans"/>
    </w:rPr>
  </w:style>
  <w:style w:type="character" w:customStyle="1" w:styleId="59">
    <w:name w:val="页眉 字符"/>
    <w:basedOn w:val="28"/>
    <w:link w:val="17"/>
    <w:qFormat/>
    <w:uiPriority w:val="99"/>
    <w:rPr>
      <w:rFonts w:ascii="宋体" w:hAnsi="宋体" w:eastAsia="宋体" w:cs="宋体"/>
      <w:sz w:val="18"/>
      <w:szCs w:val="24"/>
    </w:rPr>
  </w:style>
  <w:style w:type="paragraph" w:customStyle="1" w:styleId="60">
    <w:name w:val="表格内文字"/>
    <w:basedOn w:val="1"/>
    <w:qFormat/>
    <w:uiPriority w:val="0"/>
    <w:pPr>
      <w:adjustRightInd w:val="0"/>
      <w:textAlignment w:val="center"/>
    </w:pPr>
    <w:rPr>
      <w:rFonts w:hint="eastAsia" w:cs="Times New Roman"/>
      <w:b/>
      <w:bCs/>
      <w:color w:val="000000"/>
      <w:sz w:val="22"/>
      <w:szCs w:val="21"/>
    </w:rPr>
  </w:style>
  <w:style w:type="character" w:customStyle="1" w:styleId="61">
    <w:name w:val="font31"/>
    <w:basedOn w:val="28"/>
    <w:qFormat/>
    <w:uiPriority w:val="0"/>
    <w:rPr>
      <w:rFonts w:hint="default" w:ascii="Times New Roman" w:hAnsi="Times New Roman" w:cs="Times New Roman"/>
      <w:color w:val="000000"/>
      <w:sz w:val="20"/>
      <w:szCs w:val="20"/>
      <w:u w:val="none"/>
    </w:rPr>
  </w:style>
  <w:style w:type="character" w:customStyle="1" w:styleId="62">
    <w:name w:val="未处理的提及3"/>
    <w:basedOn w:val="28"/>
    <w:semiHidden/>
    <w:unhideWhenUsed/>
    <w:qFormat/>
    <w:uiPriority w:val="99"/>
    <w:rPr>
      <w:color w:val="605E5C"/>
      <w:shd w:val="clear" w:color="auto" w:fill="E1DFDD"/>
    </w:rPr>
  </w:style>
  <w:style w:type="character" w:customStyle="1" w:styleId="63">
    <w:name w:val="标题 2 字符"/>
    <w:basedOn w:val="28"/>
    <w:link w:val="3"/>
    <w:qFormat/>
    <w:uiPriority w:val="0"/>
    <w:rPr>
      <w:rFonts w:asciiTheme="majorHAnsi" w:hAnsiTheme="majorHAnsi" w:eastAsiaTheme="majorEastAsia" w:cstheme="majorBidi"/>
      <w:b/>
      <w:bCs/>
      <w:kern w:val="2"/>
      <w:sz w:val="32"/>
      <w:szCs w:val="32"/>
    </w:rPr>
  </w:style>
  <w:style w:type="paragraph" w:customStyle="1" w:styleId="64">
    <w:name w:val="修订1"/>
    <w:hidden/>
    <w:unhideWhenUsed/>
    <w:qFormat/>
    <w:uiPriority w:val="99"/>
    <w:rPr>
      <w:rFonts w:ascii="宋体" w:hAnsi="宋体" w:eastAsia="宋体" w:cs="宋体"/>
      <w:sz w:val="24"/>
      <w:szCs w:val="24"/>
      <w:lang w:val="en-US" w:eastAsia="zh-CN" w:bidi="ar-SA"/>
    </w:rPr>
  </w:style>
  <w:style w:type="paragraph" w:customStyle="1" w:styleId="65">
    <w:name w:val="访谈正文"/>
    <w:basedOn w:val="41"/>
    <w:qFormat/>
    <w:uiPriority w:val="0"/>
    <w:pPr>
      <w:adjustRightInd w:val="0"/>
      <w:ind w:firstLine="883" w:firstLineChars="200"/>
      <w:jc w:val="left"/>
    </w:pPr>
    <w:rPr>
      <w:rFonts w:hint="eastAsia" w:cs="Times New Roman"/>
      <w:bCs/>
      <w:color w:val="000000"/>
      <w:szCs w:val="21"/>
    </w:rPr>
  </w:style>
  <w:style w:type="character" w:customStyle="1" w:styleId="66">
    <w:name w:val="未处理的提及4"/>
    <w:basedOn w:val="28"/>
    <w:semiHidden/>
    <w:unhideWhenUsed/>
    <w:qFormat/>
    <w:uiPriority w:val="99"/>
    <w:rPr>
      <w:color w:val="605E5C"/>
      <w:shd w:val="clear" w:color="auto" w:fill="E1DFDD"/>
    </w:rPr>
  </w:style>
  <w:style w:type="table" w:customStyle="1" w:styleId="67">
    <w:name w:val="网格型1"/>
    <w:basedOn w:val="26"/>
    <w:qFormat/>
    <w:uiPriority w:val="9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8">
    <w:name w:val="样式1 字符"/>
    <w:basedOn w:val="28"/>
    <w:link w:val="35"/>
    <w:qFormat/>
    <w:uiPriority w:val="0"/>
    <w:rPr>
      <w:rFonts w:ascii="Arial" w:hAnsi="Arial" w:cs="Arial"/>
      <w:b/>
      <w:bCs/>
      <w:color w:val="000000"/>
      <w:sz w:val="28"/>
      <w:szCs w:val="28"/>
    </w:rPr>
  </w:style>
  <w:style w:type="character" w:customStyle="1" w:styleId="69">
    <w:name w:val="未处理的提及5"/>
    <w:basedOn w:val="28"/>
    <w:semiHidden/>
    <w:unhideWhenUsed/>
    <w:qFormat/>
    <w:uiPriority w:val="99"/>
    <w:rPr>
      <w:color w:val="605E5C"/>
      <w:shd w:val="clear" w:color="auto" w:fill="E1DFDD"/>
    </w:rPr>
  </w:style>
  <w:style w:type="character" w:customStyle="1" w:styleId="70">
    <w:name w:val="智能超链接1"/>
    <w:basedOn w:val="28"/>
    <w:semiHidden/>
    <w:unhideWhenUsed/>
    <w:qFormat/>
    <w:uiPriority w:val="99"/>
    <w:rPr>
      <w:u w:val="dotted"/>
    </w:rPr>
  </w:style>
  <w:style w:type="character" w:customStyle="1" w:styleId="71">
    <w:name w:val="智能链接1"/>
    <w:basedOn w:val="28"/>
    <w:semiHidden/>
    <w:unhideWhenUsed/>
    <w:qFormat/>
    <w:uiPriority w:val="99"/>
    <w:rPr>
      <w:color w:val="0000FF"/>
      <w:u w:val="single"/>
      <w:shd w:val="clear" w:color="auto" w:fill="F3F2F1"/>
    </w:rPr>
  </w:style>
  <w:style w:type="paragraph" w:customStyle="1" w:styleId="72">
    <w:name w:val="Revision"/>
    <w:hidden/>
    <w:unhideWhenUsed/>
    <w:uiPriority w:val="99"/>
    <w:rPr>
      <w:rFonts w:ascii="宋体" w:hAnsi="宋体" w:eastAsia="宋体" w:cs="宋体"/>
      <w:sz w:val="24"/>
      <w:szCs w:val="24"/>
      <w:lang w:val="en-US" w:eastAsia="zh-CN" w:bidi="ar-SA"/>
    </w:rPr>
  </w:style>
  <w:style w:type="character" w:customStyle="1" w:styleId="73">
    <w:name w:val="标题 4 字符"/>
    <w:basedOn w:val="28"/>
    <w:link w:val="5"/>
    <w:semiHidden/>
    <w:qFormat/>
    <w:uiPriority w:val="0"/>
    <w:rPr>
      <w:rFonts w:asciiTheme="majorHAnsi" w:hAnsiTheme="majorHAnsi" w:eastAsiaTheme="majorEastAsia" w:cstheme="majorBidi"/>
      <w:b/>
      <w:bCs/>
      <w:sz w:val="28"/>
      <w:szCs w:val="28"/>
    </w:rPr>
  </w:style>
  <w:style w:type="character" w:customStyle="1" w:styleId="74">
    <w:name w:val="font01"/>
    <w:basedOn w:val="28"/>
    <w:qFormat/>
    <w:uiPriority w:val="0"/>
    <w:rPr>
      <w:rFonts w:hint="eastAsia" w:ascii="宋体" w:hAnsi="宋体" w:eastAsia="宋体" w:cs="宋体"/>
      <w:color w:val="000000"/>
      <w:sz w:val="22"/>
      <w:szCs w:val="22"/>
      <w:u w:val="none"/>
    </w:rPr>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pPr>
      <w:widowControl w:val="0"/>
      <w:jc w:val="both"/>
    </w:pPr>
    <w:rPr>
      <w:kern w:val="2"/>
      <w:sz w:val="21"/>
      <w:szCs w:val="21"/>
      <w:lang w:eastAsia="en-US"/>
    </w:rPr>
  </w:style>
  <w:style w:type="character" w:customStyle="1" w:styleId="77">
    <w:name w:val="纯文本 字符"/>
    <w:basedOn w:val="28"/>
    <w:link w:val="13"/>
    <w:qFormat/>
    <w:uiPriority w:val="99"/>
    <w:rPr>
      <w:rFonts w:ascii="宋体" w:hAnsi="Courier New" w:cs="宋体" w:eastAsiaTheme="minorEastAsia"/>
      <w:kern w:val="2"/>
      <w:sz w:val="21"/>
      <w:szCs w:val="24"/>
    </w:rPr>
  </w:style>
  <w:style w:type="paragraph" w:customStyle="1" w:styleId="78">
    <w:name w:val="星实-一标"/>
    <w:basedOn w:val="38"/>
    <w:next w:val="1"/>
    <w:link w:val="81"/>
    <w:qFormat/>
    <w:uiPriority w:val="0"/>
    <w:pPr>
      <w:widowControl w:val="0"/>
      <w:numPr>
        <w:ilvl w:val="0"/>
        <w:numId w:val="3"/>
      </w:numPr>
      <w:spacing w:line="360" w:lineRule="auto"/>
      <w:ind w:firstLine="0" w:firstLineChars="0"/>
      <w:jc w:val="left"/>
    </w:pPr>
    <w:rPr>
      <w:rFonts w:ascii="黑体" w:hAnsi="黑体" w:eastAsia="黑体"/>
    </w:rPr>
  </w:style>
  <w:style w:type="character" w:customStyle="1" w:styleId="79">
    <w:name w:val="列表段落 字符"/>
    <w:basedOn w:val="28"/>
    <w:link w:val="39"/>
    <w:qFormat/>
    <w:uiPriority w:val="34"/>
    <w:rPr>
      <w:rFonts w:ascii="宋体" w:hAnsi="宋体" w:cs="宋体"/>
      <w:sz w:val="24"/>
      <w:szCs w:val="24"/>
    </w:rPr>
  </w:style>
  <w:style w:type="character" w:customStyle="1" w:styleId="80">
    <w:name w:val="【标题-1级】 字符"/>
    <w:basedOn w:val="79"/>
    <w:link w:val="38"/>
    <w:qFormat/>
    <w:uiPriority w:val="0"/>
    <w:rPr>
      <w:rFonts w:ascii="Arial" w:hAnsi="Arial" w:cs="Arial" w:eastAsiaTheme="minorEastAsia"/>
      <w:b/>
      <w:bCs/>
      <w:color w:val="000000" w:themeColor="text1"/>
      <w:sz w:val="28"/>
      <w:szCs w:val="28"/>
      <w14:textFill>
        <w14:solidFill>
          <w14:schemeClr w14:val="tx1"/>
        </w14:solidFill>
      </w14:textFill>
    </w:rPr>
  </w:style>
  <w:style w:type="character" w:customStyle="1" w:styleId="81">
    <w:name w:val="星实-一标 字符"/>
    <w:basedOn w:val="80"/>
    <w:link w:val="78"/>
    <w:uiPriority w:val="0"/>
    <w:rPr>
      <w:rFonts w:ascii="黑体" w:hAnsi="黑体" w:eastAsia="黑体" w:cs="Arial"/>
      <w:color w:val="000000" w:themeColor="text1"/>
      <w:sz w:val="28"/>
      <w:szCs w:val="28"/>
      <w14:textFill>
        <w14:solidFill>
          <w14:schemeClr w14:val="tx1"/>
        </w14:solidFill>
      </w14:textFill>
    </w:rPr>
  </w:style>
  <w:style w:type="paragraph" w:customStyle="1" w:styleId="82">
    <w:name w:val="星实-题目"/>
    <w:basedOn w:val="1"/>
    <w:next w:val="1"/>
    <w:link w:val="83"/>
    <w:qFormat/>
    <w:uiPriority w:val="0"/>
    <w:pPr>
      <w:widowControl w:val="0"/>
      <w:spacing w:line="360" w:lineRule="auto"/>
      <w:jc w:val="center"/>
    </w:pPr>
    <w:rPr>
      <w:rFonts w:ascii="Arial" w:hAnsi="Arial" w:cs="Arial"/>
      <w:b/>
      <w:bCs/>
      <w:sz w:val="44"/>
      <w:szCs w:val="44"/>
    </w:rPr>
  </w:style>
  <w:style w:type="character" w:customStyle="1" w:styleId="83">
    <w:name w:val="星实-题目 字符"/>
    <w:basedOn w:val="28"/>
    <w:link w:val="82"/>
    <w:qFormat/>
    <w:uiPriority w:val="0"/>
    <w:rPr>
      <w:rFonts w:ascii="Arial" w:hAnsi="Arial" w:cs="Arial"/>
      <w:b/>
      <w:bCs/>
      <w:sz w:val="44"/>
      <w:szCs w:val="44"/>
    </w:rPr>
  </w:style>
  <w:style w:type="paragraph" w:customStyle="1" w:styleId="84">
    <w:name w:val="星实-版号"/>
    <w:basedOn w:val="1"/>
    <w:autoRedefine/>
    <w:qFormat/>
    <w:uiPriority w:val="0"/>
    <w:pPr>
      <w:widowControl w:val="0"/>
      <w:spacing w:line="360" w:lineRule="auto"/>
      <w:ind w:firstLine="420" w:firstLineChars="200"/>
      <w:jc w:val="right"/>
    </w:pPr>
    <w:rPr>
      <w:rFonts w:ascii="仿宋" w:hAnsi="仿宋" w:eastAsia="仿宋" w:cs="Arial"/>
      <w:sz w:val="21"/>
      <w:szCs w:val="21"/>
    </w:rPr>
  </w:style>
  <w:style w:type="paragraph" w:customStyle="1" w:styleId="85">
    <w:name w:val="星实-二标"/>
    <w:basedOn w:val="40"/>
    <w:link w:val="86"/>
    <w:qFormat/>
    <w:uiPriority w:val="0"/>
    <w:pPr>
      <w:numPr>
        <w:ilvl w:val="0"/>
        <w:numId w:val="4"/>
      </w:numPr>
      <w:spacing w:line="360" w:lineRule="auto"/>
      <w:jc w:val="left"/>
    </w:pPr>
    <w:rPr>
      <w:rFonts w:ascii="楷体" w:hAnsi="楷体" w:eastAsia="楷体"/>
    </w:rPr>
  </w:style>
  <w:style w:type="character" w:customStyle="1" w:styleId="86">
    <w:name w:val="星实-二标 字符"/>
    <w:basedOn w:val="43"/>
    <w:link w:val="85"/>
    <w:qFormat/>
    <w:uiPriority w:val="0"/>
    <w:rPr>
      <w:rFonts w:ascii="楷体" w:hAnsi="楷体" w:eastAsia="楷体" w:cs="Arial"/>
      <w:color w:val="000000"/>
      <w:sz w:val="28"/>
      <w:szCs w:val="28"/>
    </w:rPr>
  </w:style>
  <w:style w:type="paragraph" w:customStyle="1" w:styleId="87">
    <w:name w:val="星实-三标"/>
    <w:basedOn w:val="44"/>
    <w:link w:val="89"/>
    <w:qFormat/>
    <w:uiPriority w:val="0"/>
    <w:pPr>
      <w:numPr>
        <w:ilvl w:val="0"/>
        <w:numId w:val="5"/>
      </w:numPr>
      <w:spacing w:line="360" w:lineRule="auto"/>
      <w:ind w:firstLine="0" w:firstLineChars="0"/>
      <w:jc w:val="left"/>
    </w:pPr>
    <w:rPr>
      <w:rFonts w:ascii="仿宋" w:hAnsi="仿宋" w:eastAsia="仿宋"/>
    </w:rPr>
  </w:style>
  <w:style w:type="character" w:customStyle="1" w:styleId="88">
    <w:name w:val="【标题-3级】 字符"/>
    <w:basedOn w:val="28"/>
    <w:link w:val="44"/>
    <w:qFormat/>
    <w:uiPriority w:val="0"/>
    <w:rPr>
      <w:rFonts w:ascii="Arial" w:hAnsi="Arial" w:cs="Arial"/>
      <w:b/>
      <w:bCs/>
      <w:color w:val="000000"/>
      <w:sz w:val="28"/>
      <w:szCs w:val="28"/>
    </w:rPr>
  </w:style>
  <w:style w:type="character" w:customStyle="1" w:styleId="89">
    <w:name w:val="星实-三标 字符"/>
    <w:basedOn w:val="88"/>
    <w:link w:val="87"/>
    <w:qFormat/>
    <w:uiPriority w:val="0"/>
    <w:rPr>
      <w:rFonts w:ascii="仿宋" w:hAnsi="仿宋" w:eastAsia="仿宋" w:cs="Arial"/>
      <w:color w:val="000000"/>
      <w:sz w:val="28"/>
      <w:szCs w:val="28"/>
    </w:rPr>
  </w:style>
  <w:style w:type="paragraph" w:customStyle="1" w:styleId="90">
    <w:name w:val="星实-正文"/>
    <w:basedOn w:val="1"/>
    <w:link w:val="91"/>
    <w:qFormat/>
    <w:uiPriority w:val="0"/>
    <w:pPr>
      <w:widowControl w:val="0"/>
      <w:spacing w:line="360" w:lineRule="auto"/>
      <w:ind w:firstLine="560" w:firstLineChars="200"/>
      <w:jc w:val="both"/>
    </w:pPr>
    <w:rPr>
      <w:rFonts w:ascii="仿宋" w:hAnsi="仿宋" w:eastAsia="仿宋" w:cs="Arial"/>
      <w:sz w:val="28"/>
      <w:szCs w:val="28"/>
    </w:rPr>
  </w:style>
  <w:style w:type="character" w:customStyle="1" w:styleId="91">
    <w:name w:val="星实-正文 字符"/>
    <w:basedOn w:val="28"/>
    <w:link w:val="90"/>
    <w:qFormat/>
    <w:uiPriority w:val="0"/>
    <w:rPr>
      <w:rFonts w:ascii="仿宋" w:hAnsi="仿宋" w:eastAsia="仿宋" w:cs="Arial"/>
      <w:sz w:val="28"/>
      <w:szCs w:val="28"/>
    </w:rPr>
  </w:style>
  <w:style w:type="paragraph" w:customStyle="1" w:styleId="92">
    <w:name w:val="星实表标题"/>
    <w:basedOn w:val="8"/>
    <w:link w:val="94"/>
    <w:qFormat/>
    <w:uiPriority w:val="0"/>
    <w:pPr>
      <w:widowControl w:val="0"/>
      <w:jc w:val="center"/>
    </w:pPr>
    <w:rPr>
      <w:rFonts w:ascii="仿宋" w:hAnsi="仿宋" w:eastAsia="仿宋" w:cs="Arial"/>
      <w:b/>
      <w:bCs/>
      <w:sz w:val="28"/>
      <w:szCs w:val="28"/>
    </w:rPr>
  </w:style>
  <w:style w:type="character" w:customStyle="1" w:styleId="93">
    <w:name w:val="题注 字符"/>
    <w:basedOn w:val="28"/>
    <w:link w:val="8"/>
    <w:qFormat/>
    <w:uiPriority w:val="0"/>
    <w:rPr>
      <w:rFonts w:ascii="Arial" w:hAnsi="Arial" w:eastAsia="黑体" w:cs="宋体"/>
      <w:szCs w:val="24"/>
    </w:rPr>
  </w:style>
  <w:style w:type="character" w:customStyle="1" w:styleId="94">
    <w:name w:val="星实表标题 字符"/>
    <w:basedOn w:val="93"/>
    <w:link w:val="92"/>
    <w:qFormat/>
    <w:uiPriority w:val="0"/>
    <w:rPr>
      <w:rFonts w:ascii="仿宋" w:hAnsi="仿宋" w:eastAsia="仿宋" w:cs="Arial"/>
      <w:b/>
      <w:bCs/>
      <w:sz w:val="28"/>
      <w:szCs w:val="28"/>
    </w:rPr>
  </w:style>
  <w:style w:type="paragraph" w:customStyle="1" w:styleId="95">
    <w:name w:val="星实表表头"/>
    <w:basedOn w:val="1"/>
    <w:link w:val="96"/>
    <w:qFormat/>
    <w:uiPriority w:val="0"/>
    <w:pPr>
      <w:keepNext/>
      <w:framePr w:hSpace="180" w:wrap="around" w:vAnchor="text" w:hAnchor="margin" w:xAlign="center" w:y="218"/>
      <w:widowControl w:val="0"/>
      <w:jc w:val="both"/>
    </w:pPr>
    <w:rPr>
      <w:rFonts w:ascii="仿宋" w:hAnsi="仿宋" w:eastAsia="仿宋" w:cs="Arial"/>
      <w:b/>
      <w:bCs/>
      <w:color w:val="000000"/>
      <w:sz w:val="21"/>
      <w:szCs w:val="21"/>
    </w:rPr>
  </w:style>
  <w:style w:type="character" w:customStyle="1" w:styleId="96">
    <w:name w:val="星实表表头 字符"/>
    <w:basedOn w:val="28"/>
    <w:link w:val="95"/>
    <w:qFormat/>
    <w:uiPriority w:val="0"/>
    <w:rPr>
      <w:rFonts w:ascii="仿宋" w:hAnsi="仿宋" w:eastAsia="仿宋" w:cs="Arial"/>
      <w:b/>
      <w:bCs/>
      <w:color w:val="000000"/>
      <w:sz w:val="21"/>
      <w:szCs w:val="21"/>
    </w:rPr>
  </w:style>
  <w:style w:type="table" w:customStyle="1" w:styleId="97">
    <w:name w:val="星实表格"/>
    <w:basedOn w:val="26"/>
    <w:uiPriority w:val="99"/>
    <w:rPr>
      <w:rFonts w:eastAsia="仿宋"/>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eastAsia="楷体"/>
        <w:b/>
        <w:sz w:val="21"/>
      </w:rPr>
      <w:tcPr>
        <w:shd w:val="clear" w:color="auto" w:fill="D9D9D9"/>
      </w:tcPr>
    </w:tblStylePr>
  </w:style>
  <w:style w:type="paragraph" w:customStyle="1" w:styleId="98">
    <w:name w:val="星实表正文"/>
    <w:basedOn w:val="1"/>
    <w:link w:val="99"/>
    <w:qFormat/>
    <w:uiPriority w:val="0"/>
    <w:pPr>
      <w:framePr w:hSpace="180" w:wrap="around" w:vAnchor="text" w:hAnchor="margin" w:xAlign="center" w:y="218"/>
      <w:widowControl w:val="0"/>
      <w:jc w:val="both"/>
    </w:pPr>
    <w:rPr>
      <w:rFonts w:ascii="仿宋" w:hAnsi="仿宋" w:eastAsia="仿宋" w:cs="Arial"/>
      <w:color w:val="000000"/>
      <w:sz w:val="21"/>
      <w:szCs w:val="21"/>
    </w:rPr>
  </w:style>
  <w:style w:type="character" w:customStyle="1" w:styleId="99">
    <w:name w:val="星实表正文 字符"/>
    <w:basedOn w:val="28"/>
    <w:link w:val="98"/>
    <w:qFormat/>
    <w:uiPriority w:val="0"/>
    <w:rPr>
      <w:rFonts w:ascii="仿宋" w:hAnsi="仿宋" w:eastAsia="仿宋" w:cs="Arial"/>
      <w:color w:val="000000"/>
      <w:sz w:val="21"/>
      <w:szCs w:val="21"/>
    </w:rPr>
  </w:style>
  <w:style w:type="paragraph" w:customStyle="1" w:styleId="100">
    <w:name w:val="星实表批注"/>
    <w:basedOn w:val="1"/>
    <w:link w:val="101"/>
    <w:qFormat/>
    <w:uiPriority w:val="0"/>
    <w:pPr>
      <w:widowControl w:val="0"/>
      <w:jc w:val="both"/>
    </w:pPr>
    <w:rPr>
      <w:rFonts w:ascii="仿宋" w:hAnsi="仿宋" w:eastAsia="仿宋" w:cs="Arial"/>
      <w:sz w:val="21"/>
      <w:szCs w:val="21"/>
    </w:rPr>
  </w:style>
  <w:style w:type="character" w:customStyle="1" w:styleId="101">
    <w:name w:val="星实表批注 字符"/>
    <w:basedOn w:val="28"/>
    <w:link w:val="100"/>
    <w:qFormat/>
    <w:uiPriority w:val="0"/>
    <w:rPr>
      <w:rFonts w:ascii="仿宋" w:hAnsi="仿宋" w:eastAsia="仿宋" w:cs="Arial"/>
      <w:sz w:val="21"/>
      <w:szCs w:val="21"/>
    </w:rPr>
  </w:style>
  <w:style w:type="paragraph" w:customStyle="1" w:styleId="102">
    <w:name w:val="星实表单位"/>
    <w:basedOn w:val="100"/>
    <w:link w:val="103"/>
    <w:qFormat/>
    <w:uiPriority w:val="0"/>
    <w:pPr>
      <w:jc w:val="right"/>
    </w:pPr>
  </w:style>
  <w:style w:type="character" w:customStyle="1" w:styleId="103">
    <w:name w:val="星实表单位 字符"/>
    <w:basedOn w:val="101"/>
    <w:link w:val="102"/>
    <w:qFormat/>
    <w:uiPriority w:val="0"/>
    <w:rPr>
      <w:rFonts w:ascii="仿宋" w:hAnsi="仿宋" w:eastAsia="仿宋" w:cs="Arial"/>
      <w:sz w:val="21"/>
      <w:szCs w:val="21"/>
    </w:rPr>
  </w:style>
  <w:style w:type="character" w:customStyle="1" w:styleId="104">
    <w:name w:val="标题 3 字符"/>
    <w:basedOn w:val="28"/>
    <w:link w:val="4"/>
    <w:uiPriority w:val="0"/>
    <w:rPr>
      <w:rFonts w:ascii="Arial" w:hAnsi="Arial" w:cs="Arial"/>
      <w:b/>
      <w:bCs/>
      <w:color w:val="000000"/>
      <w:sz w:val="28"/>
      <w:szCs w:val="28"/>
    </w:rPr>
  </w:style>
  <w:style w:type="character" w:customStyle="1" w:styleId="105">
    <w:name w:val="正文文本 字符"/>
    <w:basedOn w:val="28"/>
    <w:link w:val="10"/>
    <w:uiPriority w:val="1"/>
    <w:rPr>
      <w:rFonts w:ascii="宋体" w:hAnsi="宋体" w:cs="宋体"/>
      <w:sz w:val="24"/>
      <w:szCs w:val="24"/>
    </w:rPr>
  </w:style>
  <w:style w:type="character" w:customStyle="1" w:styleId="106">
    <w:name w:val="脚注文本 字符"/>
    <w:basedOn w:val="28"/>
    <w:link w:val="20"/>
    <w:uiPriority w:val="99"/>
    <w:rPr>
      <w:rFonts w:ascii="宋体" w:hAnsi="宋体" w:cs="宋体"/>
      <w:sz w:val="18"/>
      <w:szCs w:val="18"/>
    </w:rPr>
  </w:style>
  <w:style w:type="paragraph" w:customStyle="1" w:styleId="107">
    <w:name w:val="msonormal"/>
    <w:basedOn w:val="1"/>
    <w:qFormat/>
    <w:uiPriority w:val="0"/>
    <w:pPr>
      <w:spacing w:before="100" w:beforeAutospacing="1" w:after="100" w:afterAutospacing="1"/>
    </w:pPr>
  </w:style>
  <w:style w:type="paragraph" w:customStyle="1" w:styleId="108">
    <w:name w:val="列表段落1"/>
    <w:basedOn w:val="1"/>
    <w:qFormat/>
    <w:uiPriority w:val="0"/>
    <w:pPr>
      <w:spacing w:line="440" w:lineRule="exact"/>
      <w:ind w:firstLine="420" w:firstLineChars="200"/>
      <w:jc w:val="both"/>
    </w:pPr>
    <w:rPr>
      <w:rFonts w:ascii="Verdana" w:hAnsi="Verdana"/>
      <w:color w:val="000000"/>
      <w:kern w:val="28"/>
      <w:sz w:val="21"/>
      <w:szCs w:val="21"/>
    </w:rPr>
  </w:style>
  <w:style w:type="character" w:customStyle="1" w:styleId="109">
    <w:name w:val="10"/>
    <w:basedOn w:val="28"/>
    <w:qFormat/>
    <w:uiPriority w:val="0"/>
    <w:rPr>
      <w:rFonts w:hint="default" w:ascii="Calibri" w:hAnsi="Calibri" w:cs="Calibri"/>
    </w:rPr>
  </w:style>
  <w:style w:type="character" w:customStyle="1" w:styleId="110">
    <w:name w:val="15"/>
    <w:basedOn w:val="28"/>
    <w:uiPriority w:val="0"/>
    <w:rPr>
      <w:rFonts w:hint="eastAsia" w:ascii="宋体" w:hAnsi="宋体" w:eastAsia="宋体"/>
      <w:color w:val="000000"/>
      <w:sz w:val="22"/>
      <w:szCs w:val="22"/>
    </w:rPr>
  </w:style>
  <w:style w:type="character" w:customStyle="1" w:styleId="111">
    <w:name w:val="font41"/>
    <w:basedOn w:val="28"/>
    <w:uiPriority w:val="0"/>
    <w:rPr>
      <w:rFonts w:hint="eastAsia" w:ascii="宋体" w:hAnsi="宋体" w:eastAsia="宋体"/>
      <w:color w:val="000000"/>
      <w:sz w:val="24"/>
      <w:szCs w:val="24"/>
      <w:u w:val="none"/>
    </w:rPr>
  </w:style>
  <w:style w:type="character" w:customStyle="1" w:styleId="112">
    <w:name w:val="font51"/>
    <w:basedOn w:val="28"/>
    <w:qFormat/>
    <w:uiPriority w:val="0"/>
    <w:rPr>
      <w:rFonts w:hint="eastAsia" w:ascii="宋体" w:hAnsi="宋体" w:eastAsia="宋体"/>
      <w:b/>
      <w:bCs/>
      <w:color w:val="000000"/>
      <w:sz w:val="24"/>
      <w:szCs w:val="24"/>
      <w:u w:val="none"/>
    </w:rPr>
  </w:style>
  <w:style w:type="character" w:customStyle="1" w:styleId="113">
    <w:name w:val="font61"/>
    <w:basedOn w:val="28"/>
    <w:uiPriority w:val="0"/>
    <w:rPr>
      <w:rFonts w:hint="eastAsia" w:ascii="宋体" w:hAnsi="宋体" w:eastAsia="宋体"/>
      <w:color w:val="000000"/>
      <w:sz w:val="24"/>
      <w:szCs w:val="24"/>
      <w:u w:val="none"/>
    </w:rPr>
  </w:style>
  <w:style w:type="paragraph" w:customStyle="1" w:styleId="114">
    <w:name w:val="修订2"/>
    <w:hidden/>
    <w:unhideWhenUsed/>
    <w:qFormat/>
    <w:uiPriority w:val="99"/>
    <w:rPr>
      <w:rFonts w:ascii="宋体" w:hAnsi="宋体" w:eastAsia="宋体" w:cs="宋体"/>
      <w:sz w:val="24"/>
      <w:szCs w:val="24"/>
      <w:lang w:val="en-US" w:eastAsia="zh-CN" w:bidi="ar-SA"/>
    </w:rPr>
  </w:style>
  <w:style w:type="character" w:customStyle="1" w:styleId="115">
    <w:name w:val="font71"/>
    <w:basedOn w:val="28"/>
    <w:qFormat/>
    <w:uiPriority w:val="0"/>
    <w:rPr>
      <w:rFonts w:hint="eastAsia" w:ascii="宋体" w:hAnsi="宋体" w:eastAsia="宋体"/>
      <w:color w:val="000000"/>
      <w:sz w:val="22"/>
      <w:szCs w:val="22"/>
      <w:u w:val="none"/>
    </w:rPr>
  </w:style>
  <w:style w:type="character" w:customStyle="1" w:styleId="116">
    <w:name w:val="font91"/>
    <w:basedOn w:val="28"/>
    <w:qFormat/>
    <w:uiPriority w:val="0"/>
    <w:rPr>
      <w:rFonts w:hint="eastAsia" w:ascii="宋体" w:hAnsi="宋体" w:eastAsia="宋体"/>
      <w:b/>
      <w:bCs/>
      <w:color w:val="000000"/>
      <w:sz w:val="22"/>
      <w:szCs w:val="22"/>
      <w:u w:val="none"/>
    </w:rPr>
  </w:style>
  <w:style w:type="character" w:customStyle="1" w:styleId="117">
    <w:name w:val="Unresolved Mention"/>
    <w:basedOn w:val="28"/>
    <w:semiHidden/>
    <w:unhideWhenUsed/>
    <w:uiPriority w:val="99"/>
    <w:rPr>
      <w:color w:val="605E5C"/>
      <w:shd w:val="clear" w:color="auto" w:fill="E1DFDD"/>
    </w:rPr>
  </w:style>
  <w:style w:type="paragraph" w:customStyle="1" w:styleId="118">
    <w:name w:val="2"/>
    <w:uiPriority w:val="0"/>
    <w:pPr>
      <w:spacing w:before="120" w:after="120" w:line="288" w:lineRule="auto"/>
    </w:pPr>
    <w:rPr>
      <w:rFonts w:ascii="Arial" w:hAnsi="Arial" w:eastAsia="DengXian" w:cs="Arial"/>
      <w:sz w:val="22"/>
      <w:szCs w:val="22"/>
      <w:lang w:val="en-US" w:eastAsia="zh-CN" w:bidi="ar-SA"/>
    </w:rPr>
  </w:style>
  <w:style w:type="character" w:customStyle="1" w:styleId="119">
    <w:name w:val="lb"/>
    <w:basedOn w:val="28"/>
    <w:uiPriority w:val="0"/>
  </w:style>
  <w:style w:type="table" w:customStyle="1" w:styleId="120">
    <w:name w:val="星实表格1"/>
    <w:basedOn w:val="26"/>
    <w:qFormat/>
    <w:uiPriority w:val="99"/>
    <w:rPr>
      <w:rFonts w:eastAsia="仿宋"/>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eastAsia="仿宋"/>
        <w:b/>
        <w:sz w:val="21"/>
      </w:rPr>
      <w:tcPr>
        <w:shd w:val="clear" w:color="auto" w:fill="D9D9D9"/>
      </w:tcPr>
    </w:tblStylePr>
  </w:style>
  <w:style w:type="paragraph" w:customStyle="1" w:styleId="121">
    <w:name w:val="星实-四标"/>
    <w:basedOn w:val="1"/>
    <w:uiPriority w:val="0"/>
    <w:pPr>
      <w:numPr>
        <w:ilvl w:val="0"/>
        <w:numId w:val="6"/>
      </w:numPr>
      <w:spacing w:line="360" w:lineRule="auto"/>
      <w:ind w:left="400"/>
      <w:contextualSpacing/>
      <w:outlineLvl w:val="2"/>
    </w:pPr>
    <w:rPr>
      <w:rFonts w:hint="eastAsia" w:ascii="仿宋" w:hAnsi="仿宋" w:eastAsia="仿宋" w:cs="Arial"/>
      <w:b/>
      <w:bCs/>
      <w:color w:val="000000"/>
      <w:sz w:val="28"/>
      <w:szCs w:val="2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A1A5C33-751D-4BFA-939E-1F229668A475}">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7295</Words>
  <Characters>41583</Characters>
  <Lines>346</Lines>
  <Paragraphs>97</Paragraphs>
  <TotalTime>16</TotalTime>
  <ScaleCrop>false</ScaleCrop>
  <LinksUpToDate>false</LinksUpToDate>
  <CharactersWithSpaces>48781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2025-08-04T18:13:00Z</dcterms:created>
  <dc:creator>Administrator</dc:creator>
  <cp:lastModifiedBy>吴襄</cp:lastModifiedBy>
  <cp:lastPrinted>2024-07-04T18:30:00Z</cp:lastPrinted>
  <dcterms:modified xsi:type="dcterms:W3CDTF">2026-06-22T15:40:28Z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782179CB8A8A4DD0937F774D15A33812_13</vt:lpwstr>
  </property>
  <property fmtid="{D5CDD505-2E9C-101B-9397-08002B2CF9AE}" pid="4" name="KSOTemplateDocerSaveRecord">
    <vt:lpwstr>eyJoZGlkIjoiMDljYzUzMWQ4OWI0YzBkYjYzMDRhZTY5ZjZkYmFmYTgiLCJ1c2VySWQiOiI4MjAxMTAwNDcifQ==</vt:lpwstr>
  </property>
</Properties>
</file>