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rPr>
          <w:rFonts w:ascii="STHeiti" w:hAnsi="STHeiti" w:eastAsia="STHeiti" w:cs="STHeiti"/>
          <w:b w:val="0"/>
          <w:bCs w:val="0"/>
          <w:sz w:val="28"/>
          <w:szCs w:val="28"/>
          <w:color w:val="000000"/>
        </w:rPr>
      </w:pPr>
      <w:r>
        <w:rPr>
          <w:rFonts w:ascii="STHeiti" w:cs="STHeiti" w:eastAsia="STHeiti" w:hAnsi="STHeiti"/>
          <w:color w:val="000000"/>
          <w:sz w:val="28"/>
          <w:szCs w:val="28"/>
          <w:b w:val="0"/>
          <w:bCs w:val="0"/>
        </w:rPr>
        <w:t xml:space="preserve">关于智灵动力项目投资合规性的说明</w:t>
      </w:r>
    </w:p>
    <w:p>
      <w:pPr>
        <w:pStyle w:val="13"/>
        <w:numPr>
          <w:ilvl w:val="0"/>
          <w:numId w:val="1"/>
        </w:numPr>
        <w:spacing w:after="0" w:before="240" w:line="360" w:lineRule="auto"/>
        <w:keepNext/>
        <w:keepLines/>
        <w:jc w:val="left"/>
        <w:ind w:firstLine="0" w:firstLineChars="0"/>
        <w:rPr>
          <w:rFonts w:ascii="Songti SC" w:hAnsi="Songti SC" w:eastAsia="Songti SC" w:cs="Songti SC"/>
          <w:b/>
          <w:bCs/>
          <w:sz w:val="24"/>
          <w:szCs w:val="24"/>
          <w:color w:val="000000"/>
        </w:rPr>
      </w:pPr>
      <w:r>
        <w:rPr>
          <w:rFonts w:ascii="Songti SC" w:cs="Songti SC" w:eastAsia="Songti SC" w:hAnsi="Songti SC"/>
          <w:color w:val="000000"/>
          <w:sz w:val="24"/>
          <w:szCs w:val="24"/>
          <w:b/>
          <w:bCs/>
        </w:rPr>
        <w:t xml:space="preserve">公司情况介绍</w:t>
      </w:r>
    </w:p>
    <w:p>
      <w:pPr>
        <w:pStyle w:val="13"/>
        <w:numPr>
          <w:ilvl w:val="0"/>
          <w:numId w:val="2"/>
        </w:numPr>
        <w:spacing w:after="0" w:before="0" w:line="360" w:lineRule="auto"/>
        <w:keepNext/>
        <w:keepLines/>
        <w:jc w:val="left"/>
        <w:ind w:left="0" w:firstLine="482"/>
        <w:rPr>
          <w:rFonts w:ascii="Songti SC" w:hAnsi="Songti SC" w:eastAsia="Songti SC" w:cs="Songti SC"/>
          <w:b/>
          <w:bCs/>
          <w:sz w:val="24"/>
          <w:szCs w:val="24"/>
          <w:color w:val="000000"/>
        </w:rPr>
      </w:pPr>
      <w:r>
        <w:rPr>
          <w:rFonts w:ascii="Songti SC" w:cs="Songti SC" w:eastAsia="Songti SC" w:hAnsi="Songti SC"/>
          <w:color w:val="000000"/>
          <w:sz w:val="24"/>
          <w:szCs w:val="24"/>
          <w:b/>
          <w:bCs/>
        </w:rPr>
        <w:t xml:space="preserve">公司简介</w:t>
      </w:r>
    </w:p>
    <w:p>
      <w:pPr>
        <w:spacing w:after="0" w:before="0" w:line="360"/>
        <w:ind w:firstLine="480"/>
        <w:jc w:val="both"/>
      </w:pPr>
      <w:r>
        <w:rPr>
          <w:rFonts w:ascii="Songti SC" w:cs="Songti SC" w:eastAsia="Songti SC" w:hAnsi="Songti SC"/>
          <w:color w:val="000000"/>
          <w:sz w:val="24"/>
          <w:szCs w:val="24"/>
        </w:rPr>
        <w:t xml:space="preserve">智灵动力成立初期承接了清博相关技术及部分商务人员，2025年曾利用AI进行多个方向的业务尝试，并在2025年下半年将短剧识别为较明确的商业化方向；目前业务运营主体存在由合肥全资子公司元娲承接相关业务、与北京主体拆分的安排，现有材料将该安排表述为用于规避业务重合与合规风险。</w:t>
      </w:r>
    </w:p>
    <w:p>
      <w:pPr>
        <w:spacing w:after="0" w:before="0" w:line="360"/>
        <w:ind w:firstLine="480"/>
        <w:jc w:val="both"/>
      </w:pPr>
      <w:r>
        <w:rPr>
          <w:rFonts w:ascii="Songti SC" w:cs="Songti SC" w:eastAsia="Songti SC" w:hAnsi="Songti SC"/>
          <w:color w:val="000000"/>
          <w:sz w:val="24"/>
          <w:szCs w:val="24"/>
        </w:rPr>
        <w:t xml:space="preserve">从现有业务进展看，智灵动力当前处于多业务线验证及优化阶段：一方面推进项目获取、PPT生成、数据表格整理、投后权益分析等轻量智能体，并计划搭建整体智能办公系统框架；另一方面开展TikTok转绘、短剧自营、教育视频及营销视频等AI内容生成业务，其中TikTok转绘业务被记录为当前人效最高的业务线，短剧团队已申请相关牌照并预计由代工向自营发布延伸。</w:t>
      </w:r>
    </w:p>
    <w:p>
      <w:pPr>
        <w:pStyle w:val="13"/>
        <w:numPr>
          <w:ilvl w:val="0"/>
          <w:numId w:val="2"/>
        </w:numPr>
        <w:spacing w:after="0" w:before="0" w:line="360" w:lineRule="auto"/>
        <w:keepNext/>
        <w:keepLines/>
        <w:jc w:val="left"/>
        <w:ind w:left="0" w:firstLine="482"/>
        <w:rPr>
          <w:rFonts w:ascii="Songti SC" w:hAnsi="Songti SC" w:eastAsia="Songti SC" w:cs="Songti SC"/>
          <w:b/>
          <w:bCs/>
          <w:sz w:val="24"/>
          <w:szCs w:val="24"/>
          <w:color w:val="000000"/>
        </w:rPr>
      </w:pPr>
      <w:r>
        <w:rPr>
          <w:rFonts w:ascii="Songti SC" w:cs="Songti SC" w:eastAsia="Songti SC" w:hAnsi="Songti SC"/>
          <w:color w:val="000000"/>
          <w:sz w:val="24"/>
          <w:szCs w:val="24"/>
          <w:b/>
          <w:bCs/>
        </w:rPr>
        <w:t xml:space="preserve">核心团队</w:t>
      </w:r>
    </w:p>
    <w:p>
      <w:pPr>
        <w:spacing w:after="0" w:before="0" w:line="360"/>
        <w:ind w:firstLine="480"/>
        <w:jc w:val="both"/>
      </w:pPr>
      <w:r>
        <w:rPr>
          <w:rFonts w:ascii="Songti SC" w:cs="Songti SC" w:eastAsia="Songti SC" w:hAnsi="Songti SC"/>
          <w:color w:val="000000"/>
          <w:sz w:val="24"/>
          <w:szCs w:val="24"/>
        </w:rPr>
        <w:t xml:space="preserve">沈教授带领的清华学生团队负责前沿技术研究与论文产出，纪要同时记载该学术团队为零人力成本；该信息仅能支持其学术研究相关职责，尚不能确认其完整姓名、正式任职关系、履历背景及与智灵动力的合作安排。</w:t>
      </w:r>
    </w:p>
    <w:p>
      <w:pPr>
        <w:spacing w:after="0" w:before="0" w:line="360"/>
        <w:ind w:firstLine="480"/>
        <w:jc w:val="both"/>
      </w:pPr>
      <w:r>
        <w:rPr>
          <w:rFonts w:ascii="Songti SC" w:cs="Songti SC" w:eastAsia="Songti SC" w:hAnsi="Songti SC"/>
          <w:color w:val="000000"/>
          <w:sz w:val="24"/>
          <w:szCs w:val="24"/>
        </w:rPr>
        <w:t xml:space="preserve">沈阳被列为2026年6月30日与智灵FDE团队交流的参会人员；纪要未载明其在智灵动力或智灵FDE团队中的职务、过往经历、项目职责及是否属于核心团队成员，需取得会议签到表、项目访谈确认记录或公司团队介绍材料后完成身份核验。</w:t>
      </w:r>
    </w:p>
    <w:p>
      <w:pPr>
        <w:spacing w:after="0" w:before="0" w:line="360"/>
        <w:ind w:firstLine="480"/>
        <w:jc w:val="both"/>
      </w:pPr>
      <w:r>
        <w:rPr>
          <w:rFonts w:ascii="Songti SC" w:cs="Songti SC" w:eastAsia="Songti SC" w:hAnsi="Songti SC"/>
          <w:color w:val="000000"/>
          <w:sz w:val="24"/>
          <w:szCs w:val="24"/>
        </w:rPr>
        <w:t xml:space="preserve">黄昕被列为2026年6月30日与智灵FDE团队交流的参会人员；纪要未载明其职务、履历、与智灵动力的任职或合作关系及项目职责，需取得参会人员身份说明、公司组织架构或访谈纪要后完成核验。</w:t>
      </w:r>
    </w:p>
    <w:p>
      <w:pPr>
        <w:pStyle w:val="13"/>
        <w:numPr>
          <w:ilvl w:val="0"/>
          <w:numId w:val="2"/>
        </w:numPr>
        <w:spacing w:after="0" w:before="0" w:line="360" w:lineRule="auto"/>
        <w:keepNext/>
        <w:keepLines/>
        <w:jc w:val="left"/>
        <w:ind w:left="0" w:firstLine="482"/>
        <w:rPr>
          <w:rFonts w:ascii="Songti SC" w:hAnsi="Songti SC" w:eastAsia="Songti SC" w:cs="Songti SC"/>
          <w:b/>
          <w:bCs/>
          <w:sz w:val="24"/>
          <w:szCs w:val="24"/>
          <w:color w:val="000000"/>
        </w:rPr>
      </w:pPr>
      <w:r>
        <w:rPr>
          <w:rFonts w:ascii="Songti SC" w:cs="Songti SC" w:eastAsia="Songti SC" w:hAnsi="Songti SC"/>
          <w:color w:val="000000"/>
          <w:sz w:val="24"/>
          <w:szCs w:val="24"/>
          <w:b/>
          <w:bCs/>
        </w:rPr>
        <w:t xml:space="preserve">产品及技术</w:t>
      </w:r>
    </w:p>
    <w:p>
      <w:pPr>
        <w:spacing w:after="0" w:before="0" w:line="360"/>
        <w:ind w:firstLine="480"/>
        <w:jc w:val="both"/>
      </w:pPr>
      <w:r>
        <w:rPr>
          <w:rFonts w:ascii="Songti SC" w:cs="Songti SC" w:eastAsia="Songti SC" w:hAnsi="Songti SC"/>
          <w:color w:val="000000"/>
          <w:sz w:val="24"/>
          <w:szCs w:val="24"/>
        </w:rPr>
        <w:t xml:space="preserve">交流纪要记载，智灵动力相关团队的业务形态以算法加速、参数优化和性能提升服务为主，最终交付算法代码或编译后的程序，原则上不承担完整系统交付；其服务场景覆盖已有算法优化、论文转算法、黑盒系统优化以及数据集加算法全流程开发。</w:t>
      </w:r>
    </w:p>
    <w:p>
      <w:pPr>
        <w:spacing w:after="0" w:before="0" w:line="360"/>
        <w:ind w:firstLine="480"/>
        <w:jc w:val="both"/>
      </w:pPr>
      <w:r>
        <w:rPr>
          <w:rFonts w:ascii="Songti SC" w:cs="Songti SC" w:eastAsia="Songti SC" w:hAnsi="Songti SC"/>
          <w:color w:val="000000"/>
          <w:sz w:val="24"/>
          <w:szCs w:val="24"/>
        </w:rPr>
        <w:t xml:space="preserve">交流纪要记载，项目产品底座为算法工厂平台，并拟在后续阶段搭建整体智能办公系统框架，逐步补充自进化、本体构建、信号发现等深度能力；研发团队共40余人，合肥团队为主力，其余分布在杭州、北京等地。</w:t>
      </w:r>
    </w:p>
    <w:p>
      <w:pPr>
        <w:spacing w:after="0" w:before="0" w:line="360"/>
        <w:ind w:firstLine="480"/>
        <w:jc w:val="both"/>
      </w:pPr>
      <w:r>
        <w:rPr>
          <w:rFonts w:ascii="Songti SC" w:cs="Songti SC" w:eastAsia="Songti SC" w:hAnsi="Songti SC"/>
          <w:color w:val="000000"/>
          <w:sz w:val="24"/>
          <w:szCs w:val="24"/>
        </w:rPr>
        <w:t xml:space="preserve">从交付方式看，交流纪要记载其优先基于客户既有系统进行接口对接和能力植入，不做从零到一的全新系统开发，并可在当天完成灯塔场景选型、技术难度评估、落地瓶颈预判及落地节奏排期；该模式有助于降低客户替换成本和实施风险，但仍需结合具体项目验收标准核验实际效果。</w:t>
      </w:r>
    </w:p>
    <w:p>
      <w:pPr>
        <w:spacing w:after="0" w:before="0" w:line="360"/>
        <w:ind w:firstLine="480"/>
        <w:jc w:val="both"/>
      </w:pPr>
      <w:r>
        <w:rPr>
          <w:rFonts w:ascii="Songti SC" w:cs="Songti SC" w:eastAsia="Songti SC" w:hAnsi="Songti SC"/>
          <w:color w:val="000000"/>
          <w:sz w:val="24"/>
          <w:szCs w:val="24"/>
        </w:rPr>
        <w:t xml:space="preserve">交流纪要记载的场景验证线索包括智能体安全算法优化订单规模约180万元、济南病虫害监测项目订单规模1000万至2000万元且已召开首次碰头会，同时纪要亦将7月完成首个商业签单列为目标；据此，项目商业化成熟度仍应以已签合同、交付范围、验收记录、回款凭证及第三方认证报告作为完成条件。</w:t>
      </w:r>
    </w:p>
    <w:p>
      <w:pPr>
        <w:pStyle w:val="13"/>
        <w:numPr>
          <w:ilvl w:val="0"/>
          <w:numId w:val="1"/>
        </w:numPr>
        <w:spacing w:after="0" w:before="240" w:line="360" w:lineRule="auto"/>
        <w:keepNext/>
        <w:keepLines/>
        <w:jc w:val="left"/>
        <w:ind w:firstLine="0" w:firstLineChars="0"/>
        <w:rPr>
          <w:rFonts w:ascii="Songti SC" w:hAnsi="Songti SC" w:eastAsia="Songti SC" w:cs="Songti SC"/>
          <w:b/>
          <w:bCs/>
          <w:sz w:val="24"/>
          <w:szCs w:val="24"/>
          <w:color w:val="000000"/>
        </w:rPr>
      </w:pPr>
      <w:r>
        <w:rPr>
          <w:rFonts w:ascii="Songti SC" w:cs="Songti SC" w:eastAsia="Songti SC" w:hAnsi="Songti SC"/>
          <w:color w:val="000000"/>
          <w:sz w:val="24"/>
          <w:szCs w:val="24"/>
          <w:b/>
          <w:bCs/>
        </w:rPr>
        <w:t xml:space="preserve">投资理由</w:t>
      </w:r>
    </w:p>
    <w:p>
      <w:pPr>
        <w:pStyle w:val="13"/>
        <w:numPr>
          <w:ilvl w:val="0"/>
          <w:numId w:val="3"/>
        </w:numPr>
        <w:spacing w:after="0" w:before="240" w:line="360"/>
        <w:jc w:val="both"/>
      </w:pPr>
      <w:r>
        <w:rPr>
          <w:rFonts w:ascii="Songti SC" w:cs="Songti SC" w:eastAsia="Songti SC" w:hAnsi="Songti SC"/>
          <w:b/>
          <w:bCs/>
          <w:color w:val="000000"/>
          <w:sz w:val="24"/>
          <w:szCs w:val="24"/>
        </w:rPr>
        <w:t xml:space="preserve">政策和行业趋势具备初步判断依据。</w:t>
      </w:r>
      <w:r>
        <w:rPr>
          <w:rFonts w:ascii="Songti SC" w:cs="Songti SC" w:eastAsia="Songti SC" w:hAnsi="Songti SC"/>
          <w:color w:val="000000"/>
          <w:sz w:val="24"/>
          <w:szCs w:val="24"/>
        </w:rPr>
        <w:t xml:space="preserve">现有材料显示，沈教授初步提出合资公司聚焦金融行业智能体业务，以集鑫方为主导运营，智灵动力提供技术支撑；获客模式：核心获客渠道为老客户转介绍与创始人资源，商务团队辅以陌拜、行业活动、内容平台拓展；仍需结合专项尽调核验其真实性、持续性和投资相关性。</w:t>
      </w:r>
    </w:p>
    <w:p>
      <w:pPr>
        <w:pStyle w:val="13"/>
        <w:numPr>
          <w:ilvl w:val="0"/>
          <w:numId w:val="3"/>
        </w:numPr>
        <w:spacing w:after="0" w:before="240" w:line="360"/>
        <w:jc w:val="both"/>
      </w:pPr>
      <w:r>
        <w:rPr>
          <w:rFonts w:ascii="Songti SC" w:cs="Songti SC" w:eastAsia="Songti SC" w:hAnsi="Songti SC"/>
          <w:b/>
          <w:bCs/>
          <w:color w:val="000000"/>
          <w:sz w:val="24"/>
          <w:szCs w:val="24"/>
        </w:rPr>
        <w:t xml:space="preserve">核心团队能力具备初步判断依据。</w:t>
      </w:r>
      <w:r>
        <w:rPr>
          <w:rFonts w:ascii="Songti SC" w:cs="Songti SC" w:eastAsia="Songti SC" w:hAnsi="Songti SC"/>
          <w:color w:val="000000"/>
          <w:sz w:val="24"/>
          <w:szCs w:val="24"/>
        </w:rPr>
        <w:t xml:space="preserve">现有材料显示，总规模：目前公司 138人，本轮优化 8个短剧团队人员后计划收缩至 1 3 0人左右。研发团队：共 40 余人，合肥 30人为主力，其余分布在杭州、北京等地。商务团队：20-30人，分散各地，获客以老客户转介绍、创始人资源对接为主。学术团队：沈教授带领的清华学生团队，零人力成本，负责前沿技术研究与论文产出；仍需结合专项尽调核验其真实性、持续性和投资相关性。</w:t>
      </w:r>
    </w:p>
    <w:p>
      <w:pPr>
        <w:pStyle w:val="13"/>
        <w:numPr>
          <w:ilvl w:val="0"/>
          <w:numId w:val="3"/>
        </w:numPr>
        <w:spacing w:after="0" w:before="240" w:line="360"/>
        <w:jc w:val="both"/>
      </w:pPr>
      <w:r>
        <w:rPr>
          <w:rFonts w:ascii="Songti SC" w:cs="Songti SC" w:eastAsia="Songti SC" w:hAnsi="Songti SC"/>
          <w:b/>
          <w:bCs/>
          <w:color w:val="000000"/>
          <w:sz w:val="24"/>
          <w:szCs w:val="24"/>
        </w:rPr>
        <w:t xml:space="preserve">产品或技术差异化具备初步判断依据。</w:t>
      </w:r>
      <w:r>
        <w:rPr>
          <w:rFonts w:ascii="Songti SC" w:cs="Songti SC" w:eastAsia="Songti SC" w:hAnsi="Songti SC"/>
          <w:color w:val="000000"/>
          <w:sz w:val="24"/>
          <w:szCs w:val="24"/>
        </w:rPr>
        <w:t xml:space="preserve">现有材料显示，通过技术打榜、成果发布、政府背书逐步抬升估值。沈教授初步提出合资公司聚焦金融行业智能体业务，以集鑫方为主导运营，智灵动力提供技术支撑；待敲定核心事项：双方股权比例与治理架构、金融类 FDE 业务的归属与结算方式、研发投入与资金回流机制、因果大模型等核心技术的装入范围。获客模式：核心获客渠道为老客户转介绍与创始人资源，商务团队辅以陌拜、行业活动、内容平台拓展；仍需结合专项尽调核验其真实性、持续性和投资相关性。</w:t>
      </w:r>
    </w:p>
    <w:p>
      <w:pPr>
        <w:pStyle w:val="13"/>
        <w:numPr>
          <w:ilvl w:val="0"/>
          <w:numId w:val="3"/>
        </w:numPr>
        <w:spacing w:after="0" w:before="240" w:line="360"/>
        <w:jc w:val="both"/>
      </w:pPr>
      <w:r>
        <w:rPr>
          <w:rFonts w:ascii="Songti SC" w:cs="Songti SC" w:eastAsia="Songti SC" w:hAnsi="Songti SC"/>
          <w:b/>
          <w:bCs/>
          <w:color w:val="000000"/>
          <w:sz w:val="24"/>
          <w:szCs w:val="24"/>
        </w:rPr>
        <w:t xml:space="preserve">客户验证或产业生态具备初步判断依据。</w:t>
      </w:r>
      <w:r>
        <w:rPr>
          <w:rFonts w:ascii="Songti SC" w:cs="Songti SC" w:eastAsia="Songti SC" w:hAnsi="Songti SC"/>
          <w:color w:val="000000"/>
          <w:sz w:val="24"/>
          <w:szCs w:val="24"/>
        </w:rPr>
        <w:t xml:space="preserve">现有材料显示，订单节奏：2026年 5月正式启动新合作，当前每 20 天周期交付 5000分钟内容，下一轮订单将提升至 10000分钟。当前每 20 天周期交付 5000分钟，下一轮订单将提升至 10000分钟。团队配置：合肥核心技术团队约10人，配套外包团队负责拼装交付，还有部分做流程性工作的人员若干；仍需结合专项尽调核验其真实性、持续性和投资相关性。</w:t>
      </w:r>
    </w:p>
    <w:p>
      <w:pPr>
        <w:pStyle w:val="13"/>
        <w:numPr>
          <w:ilvl w:val="0"/>
          <w:numId w:val="3"/>
        </w:numPr>
        <w:spacing w:after="0" w:before="240" w:line="360"/>
        <w:jc w:val="both"/>
      </w:pPr>
      <w:r>
        <w:rPr>
          <w:rFonts w:ascii="Songti SC" w:cs="Songti SC" w:eastAsia="Songti SC" w:hAnsi="Songti SC"/>
          <w:b/>
          <w:bCs/>
          <w:color w:val="000000"/>
          <w:sz w:val="24"/>
          <w:szCs w:val="24"/>
        </w:rPr>
        <w:t xml:space="preserve">商业模式和成长空间具备初步判断依据。</w:t>
      </w:r>
      <w:r>
        <w:rPr>
          <w:rFonts w:ascii="Songti SC" w:cs="Songti SC" w:eastAsia="Songti SC" w:hAnsi="Songti SC"/>
          <w:color w:val="000000"/>
          <w:sz w:val="24"/>
          <w:szCs w:val="24"/>
        </w:rPr>
        <w:t xml:space="preserve">现有材料显示，融资节奏思路：计划下一轮联动杭州属地政府产业基金 + 老股东跟投 + 财务机构，凑齐约1亿元融资规模；仍需结合专项尽调核验其真实性、持续性和投资相关性。</w:t>
      </w:r>
    </w:p>
    <w:p>
      <w:pPr>
        <w:pStyle w:val="13"/>
        <w:numPr>
          <w:ilvl w:val="0"/>
          <w:numId w:val="1"/>
        </w:numPr>
        <w:spacing w:after="0" w:before="240" w:line="360" w:lineRule="auto"/>
        <w:keepNext/>
        <w:keepLines/>
        <w:jc w:val="left"/>
        <w:ind w:firstLine="0" w:firstLineChars="0"/>
        <w:rPr>
          <w:rFonts w:ascii="Songti SC" w:hAnsi="Songti SC" w:eastAsia="Songti SC" w:cs="Songti SC"/>
          <w:b/>
          <w:bCs/>
          <w:sz w:val="24"/>
          <w:szCs w:val="24"/>
          <w:color w:val="000000"/>
        </w:rPr>
      </w:pPr>
      <w:r>
        <w:rPr>
          <w:rFonts w:ascii="Songti SC" w:cs="Songti SC" w:eastAsia="Songti SC" w:hAnsi="Songti SC"/>
          <w:color w:val="000000"/>
          <w:sz w:val="24"/>
          <w:szCs w:val="24"/>
          <w:b/>
          <w:bCs/>
        </w:rPr>
        <w:t xml:space="preserve">投资计划</w:t>
      </w:r>
    </w:p>
    <w:p>
      <w:pPr>
        <w:spacing w:after="0" w:before="0" w:line="360"/>
        <w:ind w:firstLine="480"/>
        <w:jc w:val="both"/>
      </w:pPr>
      <w:r>
        <w:rPr>
          <w:rFonts w:ascii="Songti SC" w:cs="Songti SC" w:eastAsia="Songti SC" w:hAnsi="Songti SC"/>
          <w:color w:val="000000"/>
          <w:sz w:val="24"/>
          <w:szCs w:val="24"/>
        </w:rPr>
        <w:t xml:space="preserve">估值目标：2026年底目标估值 60亿元</w:t>
      </w:r>
    </w:p>
    <w:p>
      <w:pPr>
        <w:spacing w:after="0" w:before="0" w:line="360"/>
        <w:ind w:firstLine="480"/>
        <w:jc w:val="both"/>
      </w:pPr>
      <w:r>
        <w:rPr>
          <w:rFonts w:ascii="Songti SC" w:cs="Songti SC" w:eastAsia="Songti SC" w:hAnsi="Songti SC"/>
          <w:color w:val="000000"/>
          <w:sz w:val="24"/>
          <w:szCs w:val="24"/>
        </w:rPr>
        <w:t xml:space="preserve">融资节奏思路：计划下一轮联动杭州属地政府产业基金 + 老股东跟投 + 财务机构，凑齐约1亿元融资规模</w:t>
      </w:r>
    </w:p>
    <w:p>
      <w:pPr>
        <w:spacing w:after="0" w:before="0" w:line="360"/>
        <w:ind w:firstLine="480"/>
        <w:jc w:val="both"/>
      </w:pPr>
      <w:r>
        <w:rPr>
          <w:rFonts w:ascii="Songti SC" w:cs="Songti SC" w:eastAsia="Songti SC" w:hAnsi="Songti SC"/>
          <w:color w:val="000000"/>
          <w:sz w:val="24"/>
          <w:szCs w:val="24"/>
        </w:rPr>
        <w:t xml:space="preserve">顶层：自进化大模型，正在迭代自适应参数、自我蒸馏、离线 / 在线蒸馏等核心能力，完成下一轮融资后正式对外发布</w:t>
      </w:r>
    </w:p>
    <w:p>
      <w:pPr>
        <w:spacing w:after="0" w:before="0" w:line="360"/>
        <w:ind w:firstLine="480"/>
        <w:jc w:val="both"/>
      </w:pPr>
      <w:r>
        <w:rPr>
          <w:rFonts w:ascii="Songti SC" w:cs="Songti SC" w:eastAsia="Songti SC" w:hAnsi="Songti SC"/>
          <w:color w:val="000000"/>
          <w:sz w:val="24"/>
          <w:szCs w:val="24"/>
        </w:rPr>
        <w:t xml:space="preserve">智灵融资进展相关</w:t>
      </w:r>
    </w:p>
    <w:p>
      <w:pPr>
        <w:pStyle w:val="13"/>
        <w:numPr>
          <w:ilvl w:val="0"/>
          <w:numId w:val="1"/>
        </w:numPr>
        <w:spacing w:after="0" w:before="240" w:line="360" w:lineRule="auto"/>
        <w:keepNext/>
        <w:keepLines/>
        <w:jc w:val="left"/>
        <w:ind w:firstLine="0" w:firstLineChars="0"/>
        <w:rPr>
          <w:rFonts w:ascii="Songti SC" w:hAnsi="Songti SC" w:eastAsia="Songti SC" w:cs="Songti SC"/>
          <w:b/>
          <w:bCs/>
          <w:sz w:val="24"/>
          <w:szCs w:val="24"/>
          <w:color w:val="000000"/>
        </w:rPr>
      </w:pPr>
      <w:r>
        <w:rPr>
          <w:rFonts w:ascii="Songti SC" w:cs="Songti SC" w:eastAsia="Songti SC" w:hAnsi="Songti SC"/>
          <w:color w:val="000000"/>
          <w:sz w:val="24"/>
          <w:szCs w:val="24"/>
          <w:b/>
          <w:bCs/>
        </w:rPr>
        <w:t xml:space="preserve">投资情形分析</w:t>
      </w:r>
    </w:p>
    <w:p>
      <w:pPr>
        <w:pStyle w:val="13"/>
        <w:numPr>
          <w:ilvl w:val="0"/>
          <w:numId w:val="4"/>
        </w:numPr>
        <w:spacing w:after="0" w:before="240" w:line="360"/>
        <w:jc w:val="both"/>
      </w:pPr>
      <w:r>
        <w:rPr>
          <w:rFonts w:ascii="Songti SC" w:cs="Songti SC" w:eastAsia="Songti SC" w:hAnsi="Songti SC"/>
          <w:b/>
          <w:bCs/>
          <w:color w:val="000000"/>
          <w:sz w:val="24"/>
          <w:szCs w:val="24"/>
        </w:rPr>
        <w:t xml:space="preserve">投资方式及投资限制：</w:t>
      </w:r>
      <w:r>
        <w:rPr>
          <w:rFonts w:ascii="Songti SC" w:cs="Songti SC" w:eastAsia="Songti SC" w:hAnsi="Songti SC"/>
          <w:color w:val="000000"/>
          <w:sz w:val="24"/>
          <w:szCs w:val="24"/>
        </w:rPr>
        <w:t xml:space="preserve">现有项目材料提供了初步核查对象，融资节奏思路：计划下一轮联动杭州属地政府产业基金 + 老股东跟投 + 财务机构，凑齐约1亿元融资规模。应先根据拟议增资、股权受让或载体安排识别投资路径，再逐项对照基金协议中的禁止性和限制性条款；最终以交易方案及基金条款核对结果为准；本项仍需取得基金合伙协议、投资限制条款及交易方案完成专项核验。</w:t>
      </w:r>
    </w:p>
    <w:p>
      <w:pPr>
        <w:pStyle w:val="13"/>
        <w:numPr>
          <w:ilvl w:val="0"/>
          <w:numId w:val="4"/>
        </w:numPr>
        <w:spacing w:after="0" w:before="240" w:line="360"/>
        <w:jc w:val="both"/>
      </w:pPr>
      <w:r>
        <w:rPr>
          <w:rFonts w:ascii="Songti SC" w:cs="Songti SC" w:eastAsia="Songti SC" w:hAnsi="Songti SC"/>
          <w:b/>
          <w:bCs/>
          <w:color w:val="000000"/>
          <w:sz w:val="24"/>
          <w:szCs w:val="24"/>
        </w:rPr>
        <w:t xml:space="preserve">返投要求：</w:t>
      </w:r>
      <w:r>
        <w:rPr>
          <w:rFonts w:ascii="Songti SC" w:cs="Songti SC" w:eastAsia="Songti SC" w:hAnsi="Songti SC"/>
          <w:color w:val="000000"/>
          <w:sz w:val="24"/>
          <w:szCs w:val="24"/>
        </w:rPr>
        <w:t xml:space="preserve">现有项目材料提供了初步核查对象，沈教授初步提出合资公司聚焦金融行业智能体业务，以集鑫方为主导运营，智灵动力提供技术支撑。可先以项目主体、注册地、研发人员、业务或投资落地安排识别可能的返投承载项，再按适用返投口径计算；最终认定仍取决于基金条款、认定规则和台账；本项仍需取得基金返投条款、返投认定口径及最新返投台账完成专项核验。</w:t>
      </w:r>
    </w:p>
    <w:p>
      <w:pPr>
        <w:pStyle w:val="13"/>
        <w:numPr>
          <w:ilvl w:val="0"/>
          <w:numId w:val="4"/>
        </w:numPr>
        <w:spacing w:after="0" w:before="240" w:line="360"/>
        <w:jc w:val="both"/>
      </w:pPr>
      <w:r>
        <w:rPr>
          <w:rFonts w:ascii="Songti SC" w:cs="Songti SC" w:eastAsia="Songti SC" w:hAnsi="Songti SC"/>
          <w:b/>
          <w:bCs/>
          <w:color w:val="000000"/>
          <w:sz w:val="24"/>
          <w:szCs w:val="24"/>
        </w:rPr>
        <w:t xml:space="preserve">关联交易：</w:t>
      </w:r>
      <w:r>
        <w:rPr>
          <w:rFonts w:ascii="Songti SC" w:cs="Songti SC" w:eastAsia="Songti SC" w:hAnsi="Songti SC"/>
          <w:color w:val="000000"/>
          <w:sz w:val="24"/>
          <w:szCs w:val="24"/>
        </w:rPr>
        <w:t xml:space="preserve">交流纪要显示，智灵FDE团队与集鑫团队已有交流对接，且沈教授曾初步提出由集鑫方主导运营、智灵动力提供技术支撑的合资公司构想；如本次交易涉及基金、管理人、出资人、集鑫方、智灵动力及相关团队之间的共同出资、业务合作或利益安排，应取得股权穿透表、董监高及核心团队名单、关联方清单、交易对手说明和关联交易审批文件后判断是否构成关联交易及是否履行相应程序。</w:t>
      </w:r>
    </w:p>
    <w:p>
      <w:pPr>
        <w:pStyle w:val="13"/>
        <w:numPr>
          <w:ilvl w:val="0"/>
          <w:numId w:val="4"/>
        </w:numPr>
        <w:spacing w:after="0" w:before="240" w:line="360"/>
        <w:jc w:val="both"/>
      </w:pPr>
      <w:r>
        <w:rPr>
          <w:rFonts w:ascii="Songti SC" w:cs="Songti SC" w:eastAsia="Songti SC" w:hAnsi="Songti SC"/>
          <w:b/>
          <w:bCs/>
          <w:color w:val="000000"/>
          <w:sz w:val="24"/>
          <w:szCs w:val="24"/>
        </w:rPr>
        <w:t xml:space="preserve">投资方向：</w:t>
      </w:r>
      <w:r>
        <w:rPr>
          <w:rFonts w:ascii="Songti SC" w:cs="Songti SC" w:eastAsia="Songti SC" w:hAnsi="Songti SC"/>
          <w:color w:val="000000"/>
          <w:sz w:val="24"/>
          <w:szCs w:val="24"/>
        </w:rPr>
        <w:t xml:space="preserve">会议纪要载明，项目存在金融行业智能体、项目基础信息聚合、团队画像、技术研判、股东权益影响分析、短剧及营销视频生成等业务线索，并提及已有民航、政务情报等多行业落地经验；该等业务方向需与基金约定投资范围、负面清单及本项目最终商业化主线进行比对，尚不能仅凭现有材料判断其与基金投资方向的匹配程度。</w:t>
      </w:r>
    </w:p>
    <w:p>
      <w:pPr>
        <w:pStyle w:val="13"/>
        <w:numPr>
          <w:ilvl w:val="0"/>
          <w:numId w:val="4"/>
        </w:numPr>
        <w:spacing w:after="0" w:before="240" w:line="360"/>
        <w:jc w:val="both"/>
      </w:pPr>
      <w:r>
        <w:rPr>
          <w:rFonts w:ascii="Songti SC" w:cs="Songti SC" w:eastAsia="Songti SC" w:hAnsi="Songti SC"/>
          <w:b/>
          <w:bCs/>
          <w:color w:val="000000"/>
          <w:sz w:val="24"/>
          <w:szCs w:val="24"/>
        </w:rPr>
        <w:t xml:space="preserve">投资配置：</w:t>
      </w:r>
      <w:r>
        <w:rPr>
          <w:rFonts w:ascii="Songti SC" w:cs="Songti SC" w:eastAsia="Songti SC" w:hAnsi="Songti SC"/>
          <w:color w:val="000000"/>
          <w:sz w:val="24"/>
          <w:szCs w:val="24"/>
        </w:rPr>
        <w:t xml:space="preserve">会议纪要同时出现下一轮约1亿元融资计划以及合资公司聚焦金融行业智能体业务的安排线索，显示潜在交易可能存在直接参与公司融资或通过合资公司承载业务两类路径；需在取得基金配置要求、交易架构图、拟投主体工商资料、SPV或合资公司文件及穿透后资产属性说明后，判断本次投资实质是否符合基金关于直投、股权类资产或其他配置比例的要求。</w:t>
      </w:r>
    </w:p>
    <w:p>
      <w:pPr>
        <w:pStyle w:val="13"/>
        <w:numPr>
          <w:ilvl w:val="0"/>
          <w:numId w:val="4"/>
        </w:numPr>
        <w:spacing w:after="0" w:before="240" w:line="360"/>
        <w:jc w:val="both"/>
      </w:pPr>
      <w:r>
        <w:rPr>
          <w:rFonts w:ascii="Songti SC" w:cs="Songti SC" w:eastAsia="Songti SC" w:hAnsi="Songti SC"/>
          <w:b/>
          <w:bCs/>
          <w:color w:val="000000"/>
          <w:sz w:val="24"/>
          <w:szCs w:val="24"/>
        </w:rPr>
        <w:t xml:space="preserve">投资集中度：</w:t>
      </w:r>
      <w:r>
        <w:rPr>
          <w:rFonts w:ascii="Songti SC" w:cs="Songti SC" w:eastAsia="Songti SC" w:hAnsi="Songti SC"/>
          <w:color w:val="000000"/>
          <w:sz w:val="24"/>
          <w:szCs w:val="24"/>
        </w:rPr>
        <w:t xml:space="preserve">现有项目材料提供了初步核查对象，估值目标：2026年底目标估值 60亿元。可先将本次及对同一项目累计风险敞口作为分子，分别以基金认缴和实缴规模为分母测算，再与协议限额比较；本项仍需取得基金合伙协议、基金规模台账及本次和累计投资金额完成专项核验。</w:t>
      </w:r>
    </w:p>
    <w:p>
      <w:pPr>
        <w:pStyle w:val="13"/>
        <w:numPr>
          <w:ilvl w:val="0"/>
          <w:numId w:val="4"/>
        </w:numPr>
        <w:spacing w:after="0" w:before="240" w:line="360"/>
        <w:jc w:val="both"/>
      </w:pPr>
      <w:r>
        <w:rPr>
          <w:rFonts w:ascii="Songti SC" w:cs="Songti SC" w:eastAsia="Songti SC" w:hAnsi="Songti SC"/>
          <w:b/>
          <w:bCs/>
          <w:color w:val="000000"/>
          <w:sz w:val="24"/>
          <w:szCs w:val="24"/>
        </w:rPr>
        <w:t xml:space="preserve">其他法律法规、监管规定及基金合规要求：</w:t>
      </w:r>
      <w:r>
        <w:rPr>
          <w:rFonts w:ascii="Songti SC" w:cs="Songti SC" w:eastAsia="Songti SC" w:hAnsi="Songti SC"/>
          <w:color w:val="000000"/>
          <w:sz w:val="24"/>
          <w:szCs w:val="24"/>
        </w:rPr>
        <w:t xml:space="preserve">现有项目材料提供了初步核查对象，沈教授初步提出合资公司聚焦金融行业智能体业务，以集鑫方为主导运营，智灵动力提供技术支撑。可先围绕主体登记、知识产权、数据与人工智能治理、用工、许可备案、诉讼处罚和投决程序建立专项清单，再按交易结构落实交割前提；本项仍需取得审批、备案、许可、制裁筛查、投决及交易文件完成专项核验。</w:t>
      </w:r>
    </w:p>
    <w:p>
      <w:pPr>
        <w:spacing w:after="0" w:before="240" w:line="360"/>
        <w:ind w:firstLine="480"/>
        <w:jc w:val="both"/>
      </w:pPr>
      <w:r>
        <w:rPr>
          <w:rFonts w:ascii="Songti SC" w:cs="Songti SC" w:eastAsia="Songti SC" w:hAnsi="Songti SC"/>
          <w:color w:val="000000"/>
          <w:sz w:val="24"/>
          <w:szCs w:val="24"/>
        </w:rPr>
        <w:t xml:space="preserve">综上，当前项目资料尚不足以完成全部合规判断；在补充基金约束、交易安排及专项核验材料，履行必要审批并经法务或风控人员复核前，不得形成无保留合规结论，最终以正式法律意见和交易文件为准。</w:t>
      </w:r>
    </w:p>
    <w:p>
      <w:pPr>
        <w:spacing w:after="0" w:before="240" w:line="360"/>
        <w:jc w:val="right"/>
        <w:keepNext/>
      </w:pPr>
      <w:r>
        <w:rPr>
          <w:rFonts w:ascii="Songti SC" w:cs="Songti SC" w:eastAsia="Songti SC" w:hAnsi="Songti SC"/>
          <w:color w:val="000000"/>
          <w:sz w:val="24"/>
          <w:szCs w:val="24"/>
        </w:rPr>
        <w:t xml:space="preserve">浙江赛智伯乐股权投资管理有限公司</w:t>
      </w:r>
    </w:p>
    <w:p>
      <w:pPr>
        <w:spacing w:after="0" w:before="240" w:line="360"/>
        <w:jc w:val="right"/>
      </w:pPr>
      <w:r>
        <w:rPr>
          <w:rFonts w:ascii="Songti SC" w:cs="Songti SC" w:eastAsia="Songti SC" w:hAnsi="Songti SC"/>
          <w:color w:val="000000"/>
          <w:sz w:val="24"/>
          <w:szCs w:val="24"/>
        </w:rPr>
        <w:t xml:space="preserve">2026年   7   月   29   日</w:t>
      </w:r>
    </w:p>
    <w:sectPr>
      <w:pgSz w:w="11906" w:h="16838" w:orient="portrait"/>
      <w:pgMar w:top="1440" w:right="1800" w:bottom="1440" w:left="1800" w:header="851"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ongti SC"/>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STHeiti"/>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iti SC Medium">
    <w:panose1 w:val="02000000000000000000"/>
    <w:charset w:val="80"/>
    <w:family w:val="auto"/>
    <w:pitch w:val="default"/>
    <w:sig w:usb0="8000002F" w:usb1="0800004A" w:usb2="00000000" w:usb3="00000000" w:csb0="203E0000"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ongti SC">
    <w:altName w:val="宋体"/>
    <w:charset w:val="86"/>
    <w:family w:val="auto"/>
    <w:pitch w:val="default"/>
  </w:font>
  <w:font w:name="STHeiti">
    <w:altName w:val="黑体"/>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12E"/>
    <w:multiLevelType w:val="multilevel"/>
    <w:tmpl w:val="014E312E"/>
    <w:lvl w:ilvl="0" w:tentative="0">
      <w:start w:val="1"/>
      <w:numFmt w:val="chineseCounting"/>
      <w:lvlText w:val="%1、"/>
      <w:lvlJc w:val="left"/>
      <w:pPr>
        <w:ind w:left="720" w:hanging="720"/>
      </w:pPr>
      <w:rPr>
        <w:rFonts w:hint="default" w:ascii="Songti SC" w:hAnsi="Songti SC" w:eastAsia="Songti SC" w:cs="Songti SC"/>
        <w:b/>
        <w:bCs/>
        <w:sz w:val="24"/>
        <w:szCs w:val="24"/>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164B8D"/>
    <w:multiLevelType w:val="multilevel"/>
    <w:tmpl w:val="52164B8D"/>
    <w:lvl w:ilvl="0" w:tentative="0">
      <w:start w:val="1"/>
      <w:numFmt w:val="decimal"/>
      <w:lvlText w:val="（%1）"/>
      <w:lvlJc w:val="left"/>
      <w:pPr>
        <w:ind w:left="1140" w:hanging="720"/>
      </w:pPr>
      <w:rPr>
        <w:rFonts w:hint="default" w:ascii="Songti SC" w:hAnsi="Songti SC" w:eastAsia="Songti SC" w:cs="Songti SC"/>
        <w:b/>
        <w:bCs/>
        <w:sz w:val="24"/>
        <w:szCs w:val="24"/>
        <w:color w:val="000000"/>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7F7EE99A"/>
    <w:multiLevelType w:val="singleLevel"/>
    <w:tmpl w:val="7F7EE99A"/>
    <w:lvl w:ilvl="0" w:tentative="0">
      <w:start w:val="1"/>
      <w:numFmt w:val="decimal"/>
      <w:suff w:val="nothing"/>
      <w:lvlText w:val="%1、"/>
      <w:lvlJc w:val="left"/>
    </w:lvl>
  </w:abstractNum>
  <w:num w:numId="1">
    <w:abstractNumId w:val="0"/>
  </w:num>
  <w:num w:numId="2">
    <w:abstractNumId w:val="1"/>
  </w:num>
  <w:num w:numId="3">
    <w:abstractNumId w:val="2"/>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hint="eastAsia" w:asciiTheme="minorHAnsi" w:hAnsiTheme="minorHAnsi" w:eastAsiaTheme="minorEastAsia" w:cstheme="minorBidi"/>
      <w:kern w:val="2"/>
      <w:sz w:val="32"/>
      <w:szCs w:val="22"/>
      <w:lang w:val="en-US" w:eastAsia="zh-CN" w:bidi="ar-SA"/>
    </w:rPr>
  </w:style>
  <w:style w:type="paragraph" w:styleId="2">
    <w:name w:val="heading 1"/>
    <w:basedOn w:val="1"/>
    <w:next w:val="1"/>
    <w:qFormat/>
    <w:uiPriority w:val="9"/>
    <w:pPr>
      <w:keepNext/>
      <w:keepLines/>
      <w:spacing w:before="340" w:after="330" w:line="576" w:lineRule="auto"/>
      <w:outlineLvl w:val="0"/>
    </w:pPr>
    <w:rPr>
      <w:rFonts w:hint="default" w:eastAsia="Heiti SC Medium"/>
      <w:b/>
      <w:kern w:val="44"/>
      <w:sz w:val="30"/>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Heiti SC Medium"/>
      <w:b/>
      <w:sz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Emphasis"/>
    <w:basedOn w:val="9"/>
    <w:qFormat/>
    <w:uiPriority w:val="20"/>
    <w:rPr>
      <w:i/>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paragraph" w:customStyle="1" w:styleId="14">
    <w:name w:val="Revision"/>
    <w:hidden/>
    <w:unhideWhenUsed/>
    <w:uiPriority w:val="99"/>
    <w:rPr>
      <w:rFonts w:hint="eastAsia" w:asciiTheme="minorHAnsi" w:hAnsiTheme="minorHAnsi" w:eastAsiaTheme="minorEastAsia" w:cstheme="minorBidi"/>
      <w:kern w:val="2"/>
      <w:sz w:val="32"/>
      <w:szCs w:val="22"/>
      <w:lang w:val="en-US" w:eastAsia="zh-CN" w:bidi="ar-S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关于智灵动力项目投资合规性的说明</dc:title>
  <dc:creator>浙江赛智伯乐股权投资管理有限公司投资中台</dc:creator>
  <dc:description>合规性说明 AI 初稿；使用 docs 公司参考模板的版式规范</dc:description>
  <cp:lastModifiedBy>Un-named</cp:lastModifiedBy>
  <cp:revision>1</cp:revision>
  <dcterms:created xsi:type="dcterms:W3CDTF">2026-07-29T06:46:47.798Z</dcterms:created>
  <dcterms:modified xsi:type="dcterms:W3CDTF">2026-07-29T06:46:47.798Z</dcterms:modified>
</cp:coreProperties>
</file>

<file path=docProps/custom.xml><?xml version="1.0" encoding="utf-8"?>
<Properties xmlns="http://schemas.openxmlformats.org/officeDocument/2006/custom-properties" xmlns:vt="http://schemas.openxmlformats.org/officeDocument/2006/docPropsVTypes"/>
</file>