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STHeiti" w:cs="STHeiti" w:eastAsia="STHeiti" w:hAnsi="STHeiti"/>
          <w:color w:val="000000"/>
          <w:sz w:val="28"/>
          <w:szCs w:val="28"/>
        </w:rPr>
        <w:t xml:space="preserve">关于智灵动力项目投资合规性的说明</w:t>
      </w:r>
    </w:p>
    <w:p>
      <w:pPr>
        <w:pStyle w:val="13"/>
        <w:keepNext/>
        <w:keepLines/>
        <w:numPr>
          <w:ilvl w:val="0"/>
          <w:numId w:val="1"/>
        </w:numPr>
        <w:spacing w:after="0" w:before="240" w:line="360"/>
        <w:ind w:firstLine="0"/>
        <w:jc w:val="left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公司情况介绍</w:t>
      </w:r>
    </w:p>
    <w:p>
      <w:pPr>
        <w:pStyle w:val="13"/>
        <w:keepNext/>
        <w:keepLines/>
        <w:numPr>
          <w:ilvl w:val="0"/>
          <w:numId w:val="2"/>
        </w:numPr>
        <w:spacing w:after="0" w:before="0" w:line="360"/>
        <w:ind w:left="0" w:firstLine="482"/>
        <w:jc w:val="left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公司简介</w:t>
      </w:r>
    </w:p>
    <w:p>
      <w:pPr>
        <w:spacing w:after="0" w:before="0" w:line="360" w:lineRule="auto"/>
        <w:ind w:firstLine="480" w:left="0" w:right="0"/>
        <w:jc w:val="both"/>
        <w:pStyle w:val="Normal"/>
      </w:pPr>
      <w:r>
        <w:rPr>
          <w:rFonts w:ascii="Songti SC" w:hAnsi="Songti SC" w:eastAsia="Songti SC" w:cs="Songti SC"/>
          <w:sz w:val="24"/>
          <w:szCs w:val="24"/>
        </w:rPr>
        <w:t xml:space="preserve">业务主体方面，由合肥全资子公司元娲运营，与北京主体拆分，规避业务重合与合规风险</w:t>
      </w:r>
    </w:p>
    <w:p>
      <w:pPr>
        <w:keepLines w:val="false"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TikTok 转绘业务人均年产值约120-150万元，为当前人效最高的业务线</w:t>
      </w:r>
    </w:p>
    <w:p>
      <w:pPr>
        <w:pStyle w:val="13"/>
        <w:keepNext/>
        <w:keepLines/>
        <w:numPr>
          <w:ilvl w:val="0"/>
          <w:numId w:val="2"/>
        </w:numPr>
        <w:spacing w:after="0" w:before="0" w:line="360"/>
        <w:ind w:left="0" w:firstLine="482"/>
        <w:jc w:val="left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核心团队</w:t>
      </w:r>
    </w:p>
    <w:p>
      <w:pPr>
        <w:spacing w:after="0" w:before="0" w:line="360" w:lineRule="auto"/>
        <w:ind w:firstLine="480" w:left="0" w:right="0"/>
        <w:jc w:val="both"/>
        <w:pStyle w:val="Normal"/>
      </w:pPr>
      <w:r>
        <w:rPr>
          <w:rFonts w:ascii="Songti SC" w:hAnsi="Songti SC" w:eastAsia="Songti SC" w:cs="Songti SC"/>
          <w:sz w:val="24"/>
          <w:szCs w:val="24"/>
        </w:rPr>
        <w:t xml:space="preserve">沈教授带领的清华学生团队，零人力成本，负责前沿技术研究与论文产出</w:t>
      </w:r>
    </w:p>
    <w:p>
      <w:pPr>
        <w:spacing w:after="0" w:before="0" w:line="360" w:lineRule="auto"/>
        <w:ind w:firstLine="480" w:left="0" w:right="0"/>
        <w:jc w:val="both"/>
        <w:pStyle w:val="Normal"/>
      </w:pPr>
      <w:r>
        <w:rPr>
          <w:rFonts w:ascii="Songti SC" w:hAnsi="Songti SC" w:eastAsia="Songti SC" w:cs="Songti SC"/>
          <w:sz w:val="24"/>
          <w:szCs w:val="24"/>
        </w:rPr>
        <w:t xml:space="preserve">商务团队方面，20-30人，分散各地，获客以老客户转介绍、创始人资源对接为主</w:t>
      </w:r>
    </w:p>
    <w:p>
      <w:pPr>
        <w:spacing w:after="0" w:before="0" w:line="360" w:lineRule="auto"/>
        <w:ind w:firstLine="480" w:left="0" w:right="0"/>
        <w:jc w:val="both"/>
        <w:pStyle w:val="Normal"/>
      </w:pPr>
      <w:r>
        <w:rPr>
          <w:rFonts w:ascii="Songti SC" w:hAnsi="Songti SC" w:eastAsia="Songti SC" w:cs="Songti SC"/>
          <w:sz w:val="24"/>
          <w:szCs w:val="24"/>
        </w:rPr>
        <w:t xml:space="preserve">获客模式方面，核心获客渠道为老客户转介绍与创始人资源，商务团队辅以陌拜、行业活动、内容平台拓展</w:t>
      </w:r>
    </w:p>
    <w:p>
      <w:pPr>
        <w:pStyle w:val="13"/>
        <w:keepNext/>
        <w:keepLines/>
        <w:numPr>
          <w:ilvl w:val="0"/>
          <w:numId w:val="2"/>
        </w:numPr>
        <w:spacing w:after="0" w:before="0" w:line="360"/>
        <w:ind w:left="0" w:firstLine="482"/>
        <w:jc w:val="left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产品及技术</w:t>
      </w:r>
    </w:p>
    <w:p>
      <w:pPr>
        <w:keepLines w:val="false"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产品形态以算法工厂平台和算法优化服务为主。交流纪要记载，团队为客户提供算法加速、参数优化、性能提升服务，最终交付算法代码或编译好的程序，不做完整系统交付，并覆盖已有算法优化、论文转算法、黑盒系统优化、数据集加算法全流程开发等四类服务场景。</w:t>
      </w:r>
    </w:p>
    <w:p>
      <w:pPr>
        <w:keepLines w:val="false"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技术路线强调在客户既有系统上进行能力植入。交流纪要记载，其系统适配原则为优先基于客户现有系统做接口对接与能力植入，不做从零到一的全新系统开发，以降低客户替换成本与实施风险；同时可在当天完成灯塔场景选型、技术难度评估、落地瓶颈预判并输出落地节奏排期与供需表。</w:t>
      </w:r>
    </w:p>
    <w:p>
      <w:pPr>
        <w:keepLines w:val="false"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差异化技术能力集中于自进化优化及算法压缩方向，但外部证明材料仍需补齐。交流纪要称，压缩算法为全球首家经第三方机构认证的自进化优化成果，并将自进化、本体构建、信号发现等能力纳入后续智能办公系统框架；上述表述涉及第三方认证、全球首家等强结论，需取得认证报告、评测口径、测试样本和同业比较依据后方可形成最终判断。</w:t>
      </w:r>
    </w:p>
    <w:p>
      <w:pPr>
        <w:keepLines w:val="false"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客户或场景验证已有线索但商业成熟度尚需以交易文件确认。交流纪要列示华为超聚变智能体安全算法优化订单规模约180万元、济南病虫害监测项目订单规模约1000万元至2000万元且已召开第一次碰头会，并提出目标为7月完成首个商业签单；据此可初步判断项目存在场景验证和商业化推进线索，但需以合同、采购订单、验收单、回款记录及项目交付材料确认签约、收入和可复制性。</w:t>
      </w:r>
    </w:p>
    <w:p>
      <w:pPr>
        <w:pStyle w:val="13"/>
        <w:keepNext/>
        <w:keepLines/>
        <w:numPr>
          <w:ilvl w:val="0"/>
          <w:numId w:val="1"/>
        </w:numPr>
        <w:spacing w:after="0" w:before="240" w:line="360"/>
        <w:ind w:firstLine="0"/>
        <w:jc w:val="left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投资理由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政策和行业趋势具备初步判断依据。现有材料显示，沈教授初步提出合资公司聚焦金融行业智能体业务，以集鑫方为主导运营，智灵动力提供技术支撑；获客模式方面，核心获客渠道为老客户转介绍与创始人资源，商务团队辅以陌拜、行业活动、内容平台拓展；仍需结合专项尽调核验其真实性、持续性和投资相关性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核心团队能力具备初步判断依据。现有材料显示，总规模方面，目前公司 138人，本轮优化 8个短剧团队人员后计划收缩至 1 3 0人左右。研发团队方面，共 40 余人，合肥 30人为主力，其余分布在杭州、北京等地。商务团队方面，20-30人，分散各地，获客以老客户转介绍、创始人资源对接为主。沈教授带领的清华学生团队，零人力成本，负责前沿技术研究与论文产出；仍需结合专项尽调核验其真实性、持续性和投资相关性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产品或技术差异化具备初步判断依据。现有材料显示，通过技术打榜、成果发布、政府背书逐步抬升估值。沈教授初步提出合资公司聚焦金融行业智能体业务，以集鑫方为主导运营，智灵动力提供技术支撑；待敲定核心事项方面，双方股权比例与治理架构、金融类 FDE 业务的归属与结算方式、研发投入与资金回流机制、因果大模型等核心技术的装入范围。获客模式方面，核心获客渠道为老客户转介绍与创始人资源，商务团队辅以陌拜、行业活动、内容平台拓展；仍需结合专项尽调核验其真实性、持续性和投资相关性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客户验证或产业生态具备初步判断依据。现有材料显示，订单节奏方面，2026年 5月正式启动新合作，当前每 20 天周期交付 5000分钟内容，下一轮订单将提升至 10000分钟。当前每 20 天周期交付 5000分钟，下一轮订单将提升至 10000分钟。团队配置方面，合肥核心技术团队约10人，配套外包团队负责拼装交付，还有部分做流程性工作的人员若干；仍需结合专项尽调核验其真实性、持续性和投资相关性。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商业模式和成长空间具备初步判断依据。现有材料显示，融资节奏思路方面，计划下一轮联动杭州属地政府产业基金 + 老股东跟投 + 财务机构，凑齐约1亿元融资规模；仍需结合专项尽调核验其真实性、持续性和投资相关性。</w:t>
      </w:r>
    </w:p>
    <w:p>
      <w:pPr>
        <w:pStyle w:val="13"/>
        <w:keepNext/>
        <w:keepLines/>
        <w:numPr>
          <w:ilvl w:val="0"/>
          <w:numId w:val="1"/>
        </w:numPr>
        <w:spacing w:after="0" w:before="240" w:line="360"/>
        <w:ind w:firstLine="0"/>
        <w:jc w:val="left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投资计划</w:t>
      </w:r>
    </w:p>
    <w:p>
      <w:pPr>
        <w:spacing w:after="0" w:before="0" w:line="360" w:lineRule="auto"/>
        <w:ind w:firstLine="480" w:left="0" w:right="0"/>
        <w:jc w:val="both"/>
        <w:pStyle w:val="Normal"/>
      </w:pPr>
      <w:r>
        <w:rPr>
          <w:rFonts w:ascii="Songti SC" w:hAnsi="Songti SC" w:eastAsia="Songti SC" w:cs="Songti SC"/>
          <w:sz w:val="24"/>
          <w:szCs w:val="24"/>
        </w:rPr>
        <w:t xml:space="preserve">估值目标方面，2026年底目标估值 60亿元</w:t>
      </w:r>
    </w:p>
    <w:p>
      <w:pPr>
        <w:spacing w:after="0" w:before="0" w:line="360" w:lineRule="auto"/>
        <w:ind w:firstLine="480" w:left="0" w:right="0"/>
        <w:jc w:val="both"/>
        <w:pStyle w:val="Normal"/>
      </w:pPr>
      <w:r>
        <w:rPr>
          <w:rFonts w:ascii="Songti SC" w:hAnsi="Songti SC" w:eastAsia="Songti SC" w:cs="Songti SC"/>
          <w:sz w:val="24"/>
          <w:szCs w:val="24"/>
        </w:rPr>
        <w:t xml:space="preserve">融资节奏思路方面，计划下一轮联动杭州属地政府产业基金 + 老股东跟投 + 财务机构，凑齐约1亿元融资规模</w:t>
      </w:r>
    </w:p>
    <w:p>
      <w:pPr>
        <w:spacing w:after="0" w:before="0" w:line="360" w:lineRule="auto"/>
        <w:ind w:firstLine="480" w:left="0" w:right="0"/>
        <w:jc w:val="both"/>
        <w:pStyle w:val="Normal"/>
      </w:pPr>
      <w:r>
        <w:rPr>
          <w:rFonts w:ascii="Songti SC" w:hAnsi="Songti SC" w:eastAsia="Songti SC" w:cs="Songti SC"/>
          <w:sz w:val="24"/>
          <w:szCs w:val="24"/>
        </w:rPr>
        <w:t xml:space="preserve">顶层方面，自进化大模型，正在迭代自适应参数、自我蒸馏、离线 / 在线蒸馏等核心能力，完成下一轮融资后正式对外发布</w:t>
      </w:r>
    </w:p>
    <w:p>
      <w:pPr>
        <w:keepLines w:val="false"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智灵融资进展相关</w:t>
      </w:r>
    </w:p>
    <w:p>
      <w:pPr>
        <w:pStyle w:val="13"/>
        <w:keepNext/>
        <w:keepLines/>
        <w:numPr>
          <w:ilvl w:val="0"/>
          <w:numId w:val="1"/>
        </w:numPr>
        <w:spacing w:after="0" w:before="240" w:line="360"/>
        <w:ind w:firstLine="0"/>
        <w:jc w:val="left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投资情形分析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投资方式及投资限制方面，现有项目材料提供了初步核查对象，融资节奏思路方面，计划下一轮联动杭州属地政府产业基金 + 老股东跟投 + 财务机构，凑齐约1亿元融资规模。应先根据拟议增资、股权受让或载体安排识别投资路径，再逐项对照基金协议中的禁止性和限制性条款；最终以交易方案及基金条款核对结果为准；本项仍需取得基金合伙协议、投资限制条款及交易方案完成专项核验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返投要求方面，现有项目材料提供了初步核查对象，沈教授初步提出合资公司聚焦金融行业智能体业务，以集鑫方为主导运营，智灵动力提供技术支撑。可先以项目主体、注册地、研发人员、业务或投资落地安排识别可能的返投承载项，再按适用返投口径计算；最终认定仍取决于基金条款、认定规则和台账；本项仍需取得基金返投条款、返投认定口径及最新返投台账完成专项核验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关联交易方面，现有项目材料提供了初步核查对象，获客模式方面，核心获客渠道为老客户转介绍与创始人资源，商务团队辅以陌拜、行业活动、内容平台拓展。可先将项目主体、股东、实际控制人、核心团队和交易参与方纳入关联关系筛查，再与管理人、基金投资人及其关联方名单交叉比对；本项仍需取得关联关系核查表、利益冲突声明及相关主体清单完成专项核验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投资方向方面，项目档案将智灵动力标注为“AI 医疗”，但交流纪要同时描述其围绕智能体、金融行业智能体业务、短剧与营销视频生成、政务情报及民航等多场景开展技术和商业化探索；在未取得基金投资范围、标的主营业务说明及收入结构材料前，项目实际产业归属与基金投资方向的匹配关系存在口径待核验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投资配置方面，现有项目材料提供了初步核查对象，估值目标方面，2026年底目标估值 60亿元。可先结合项目阶段、融资安排和拟议交易路径判断采用直接投资或专项载体的合理性，再核对基金配置比例及载体限制；本项仍需取得基金配置条款、专项载体或直投方案及最新配置台账完成专项核验。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投资集中度方面，现有项目材料提供了初步核查对象，估值目标方面，2026年底目标估值 60亿元。可先将本次及对同一项目累计风险敞口作为分子，分别以基金认缴和实缴规模为分母测算，再与协议限额比较；本项仍需取得基金合伙协议、基金规模台账及本次和累计投资金额完成专项核验。</w:t>
      </w:r>
    </w:p>
    <w:p>
      <w:pPr>
        <w:pStyle w:val="Normal"/>
        <w:spacing w:after="0" w:before="0" w:line="360" w:lineRule="auto"/>
        <w:jc w:val="both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其他法律法规、监管规定及基金合规要求方面，交流纪要显示项目涉及技术部署与数据安全、自营短剧牌照申请及自进化算法商业化落地计划等事项；在进入投资决策前，应专项核验数据安全与客户数据处理边界、短剧及内容生成业务所需资质、知识产权归属、算法或模型合规、重大诉讼处罚及基金内部审批文件，现阶段不宜据此作出无保留合规判断。</w:t>
      </w:r>
    </w:p>
    <w:p>
      <w:pPr>
        <w:keepLines w:val="false"/>
        <w:spacing w:after="0" w:before="24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综上，当前项目资料尚不足以完成全部合规判断；在补充基金约束、交易安排及专项核验材料，履行必要审批并经法务或风控人员复核前，不得形成无保留合规结论，最终以正式法律意见和交易文件为准。</w:t>
      </w:r>
    </w:p>
    <w:p>
      <w:pPr>
        <w:keepNext/>
        <w:spacing w:after="0" w:before="240" w:line="360"/>
        <w:jc w:val="right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浙江赛智伯乐股权投资管理有限公司</w:t>
      </w:r>
    </w:p>
    <w:p>
      <w:pPr>
        <w:spacing w:after="0" w:before="0" w:line="360" w:lineRule="auto"/>
        <w:jc w:val="both"/>
        <w:pStyle w:val="Normal"/>
        <w:ind w:left="0" w:right="0" w:firstLine="480"/>
      </w:pPr>
      <w:r>
        <w:rPr>
          <w:rFonts w:ascii="Songti SC" w:hAnsi="Songti SC" w:eastAsia="Songti SC" w:cs="Songti SC"/>
          <w:sz w:val="24"/>
          <w:szCs w:val="24"/>
        </w:rPr>
        <w:t xml:space="preserve">2026年 7 月 30 日</w:t>
      </w:r>
    </w:p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STHeit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">
    <w:altName w:val="宋体"/>
    <w:charset w:val="86"/>
    <w:family w:val="auto"/>
    <w:pitch w:val="default"/>
  </w:font>
  <w:font w:name="STHeiti">
    <w:altName w:val="黑体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E312E"/>
    <w:multiLevelType w:val="multilevel"/>
    <w:tmpl w:val="014E312E"/>
    <w:lvl w:ilvl="0" w:tentative="0">
      <w:start w:val="1"/>
      <w:numFmt w:val="chi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2164B8D"/>
    <w:multiLevelType w:val="multilevel"/>
    <w:tmpl w:val="52164B8D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7F7EE99A"/>
    <w:multiLevelType w:val="singleLevel"/>
    <w:tmpl w:val="7F7EE9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both"/>
    </w:pPr>
    <w:rPr>
      <w:rFonts w:hint="eastAsia" w:asciiTheme="minorHAnsi" w:hAnsiTheme="minorHAnsi" w:eastAsiaTheme="minorEastAsia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hint="default" w:eastAsia="Heiti SC Medium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Heiti SC Medium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Emphasis"/>
    <w:basedOn w:val="9"/>
    <w:qFormat/>
    <w:uiPriority w:val="20"/>
    <w:rPr>
      <w:i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Revision"/>
    <w:hidden/>
    <w:unhideWhenUsed/>
    <w:uiPriority w:val="99"/>
    <w:rPr>
      <w:rFonts w:hint="eastAsia" w:asciiTheme="minorHAnsi" w:hAnsiTheme="minorHAnsi" w:eastAsiaTheme="minorEastAsia" w:cstheme="minorBidi"/>
      <w:kern w:val="2"/>
      <w:sz w:val="32"/>
      <w:szCs w:val="22"/>
      <w:lang w:val="en-US" w:eastAsia="zh-CN" w:bidi="ar-SA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关于智灵动力项目投资合规性的说明</dc:title>
  <dc:creator>浙江赛智伯乐股权投资管理有限公司投资中台</dc:creator>
  <dc:description>合规性说明 AI 初稿；使用 docs 公司参考模板的版式规范</dc:description>
  <cp:lastModifiedBy>Un-named</cp:lastModifiedBy>
  <cp:revision>1</cp:revision>
  <dcterms:created xsi:type="dcterms:W3CDTF">2026-07-30T01:23:51.976Z</dcterms:created>
  <dcterms:modified xsi:type="dcterms:W3CDTF">2026-07-30T01:23:51.976Z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