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封面主体"/>
      </w:pPr>
      <w:r>
        <w:t>[[PROJECT_NAME]]</w:t>
      </w:r>
    </w:p>
    <w:p>
      <w:pPr>
        <w:pStyle w:val="尽调-正文"/>
      </w:pPr>
    </w:p>
    <w:p>
      <w:pPr>
        <w:pStyle w:val="尽调-封面主体"/>
      </w:pPr>
      <w:r>
        <w:t>[[REPORT_TITLE]]</w:t>
      </w: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封面日期"/>
      </w:pPr>
      <w:r>
        <w:t>[[AUTHOR]]</w:t>
      </w:r>
    </w:p>
    <w:p>
      <w:pPr>
        <w:pStyle w:val="尽调-封面日期"/>
      </w:pPr>
      <w:r>
        <w:t>[[REPORT_DATE]]</w:t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pgSz w:w="11906" w:h="16838"/>
          <w:pgMar w:top="1134" w:right="1134" w:bottom="1020" w:left="1247" w:header="425" w:footer="482" w:gutter="0"/>
          <w:cols w:space="720"/>
          <w:titlePg/>
          <w:docGrid w:linePitch="360"/>
          <w:pgNumType w:start="1"/>
        </w:sectPr>
      </w:pPr>
    </w:p>
    <w:p>
      <w:pPr>
        <w:pStyle w:val="尽调-目录标题"/>
      </w:pPr>
      <w:r>
        <w:t>目录</w:t>
      </w:r>
    </w:p>
    <w:p>
      <w:pPr>
        <w:pStyle w:val="尽调-正文"/>
        <w:ind w:firstLine="0"/>
      </w:pPr>
      <w:r>
        <w:fldChar w:fldCharType="begin"/>
        <w:instrText xml:space="preserve"> TOC \o "1-2" \h \z \u </w:instrText>
        <w:fldChar w:fldCharType="separate"/>
        <w:t>目录将在打开文档后自动更新</w:t>
        <w:fldChar w:fldCharType="end"/>
      </w:r>
    </w:p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pgSz w:w="11906" w:h="16838"/>
          <w:pgMar w:top="1134" w:right="1134" w:bottom="1020" w:left="1247" w:header="425" w:footer="482" w:gutter="0"/>
          <w:cols w:space="720"/>
          <w:titlePg/>
          <w:docGrid w:linePitch="360"/>
        </w:sectPr>
      </w:pPr>
    </w:p>
    <w:p>
      <w:pPr>
        <w:pStyle w:val="尽调-正文"/>
      </w:pPr>
      <w:r>
        <w:t>[[REPORT_BODY]]</w:t>
      </w:r>
    </w:p>
    <w:sectPr w:rsidR="00FC693F" w:rsidRPr="0006063C" w:rsidSect="00034616">
      <w:headerReference w:type="default" r:id="rId17"/>
      <w:headerReference w:type="first" r:id="rId18"/>
      <w:footerReference w:type="default" r:id="rId19"/>
      <w:footerReference w:type="first" r:id="rId20"/>
      <w:pgSz w:w="11906" w:h="16838"/>
      <w:pgMar w:top="1134" w:right="1134" w:bottom="1020" w:left="1247" w:header="425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仿宋_GB2312" w:hAnsi="仿宋_GB2312" w:eastAsia="仿宋_GB2312" w:cs="仿宋_GB2312"/>
        <w:color w:val="000000"/>
        <w:sz w:val="18"/>
      </w:rPr>
      <w:fldChar w:fldCharType="begin"/>
      <w:instrText xml:space="preserve"> PAGE \* MERGEFORMAT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仿宋_GB2312" w:hAnsi="仿宋_GB2312" w:eastAsia="仿宋_GB2312" w:cs="仿宋_GB2312"/>
        <w:color w:val="000000"/>
        <w:sz w:val="18"/>
      </w:rPr>
      <w:fldChar w:fldCharType="begin"/>
      <w:instrText xml:space="preserve"> PAGE \* MERGEFORMAT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仿宋_GB2312" w:hAnsi="仿宋_GB2312" w:eastAsia="仿宋_GB2312" w:cs="仿宋_GB2312"/>
        <w:color w:val="000000"/>
        <w:sz w:val="18"/>
      </w:rPr>
      <w:fldChar w:fldCharType="begin"/>
      <w:instrText xml:space="preserve"> PAGE \* MERGEFORMAT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仿宋_GB2312" w:hAnsi="仿宋_GB2312" w:eastAsia="仿宋_GB2312" w:cs="仿宋_GB2312"/>
        <w:color w:val="000000"/>
        <w:sz w:val="18"/>
      </w:rPr>
      <w:fldChar w:fldCharType="begin"/>
      <w:instrText xml:space="preserve"> PAGE \* MERGEFORMAT 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仿宋_GB2312" w:hAnsi="仿宋_GB2312" w:eastAsia="仿宋_GB2312" w:cs="仿宋_GB2312"/>
        <w:color w:val="000000"/>
        <w:sz w:val="18"/>
      </w:rPr>
      <w:fldChar w:fldCharType="begin"/>
      <w:instrText xml:space="preserve"> PAGE \* MERGEFORMAT </w:instrText>
      <w:fldChar w:fldCharType="separate"/>
      <w:t>1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仿宋_GB2312" w:hAnsi="仿宋_GB2312" w:eastAsia="仿宋_GB2312" w:cs="仿宋_GB2312"/>
        <w:color w:val="000000"/>
        <w:sz w:val="18"/>
      </w:rPr>
      <w:fldChar w:fldCharType="begin"/>
      <w:instrText xml:space="preserve"> PAGE \* MERGEFORMAT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/>
    <w:r>
      <w:rPr>
        <w:rFonts w:ascii="仿宋_GB2312" w:hAnsi="仿宋_GB2312" w:eastAsia="仿宋_GB2312" w:cs="仿宋_GB2312"/>
        <w:color w:val="000000"/>
        <w:sz w:val="18"/>
      </w:rPr>
      <w:t>申明：本报告为内部项目文件，禁止外传，报告内容仅代表尽调机构观点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/>
    <w:r>
      <w:rPr>
        <w:rFonts w:ascii="仿宋_GB2312" w:hAnsi="仿宋_GB2312" w:eastAsia="仿宋_GB2312" w:cs="仿宋_GB2312"/>
        <w:color w:val="000000"/>
        <w:sz w:val="18"/>
      </w:rPr>
      <w:t>申明：本报告为内部项目文件，禁止外传，报告内容仅代表尽调机构观点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/>
    <w:r>
      <w:rPr>
        <w:rFonts w:ascii="仿宋_GB2312" w:hAnsi="仿宋_GB2312" w:eastAsia="仿宋_GB2312" w:cs="仿宋_GB2312"/>
        <w:color w:val="000000"/>
        <w:sz w:val="18"/>
      </w:rPr>
      <w:t>申明：本报告为内部项目文件，禁止外传，报告内容仅代表尽调机构观点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/>
    <w:r>
      <w:rPr>
        <w:rFonts w:ascii="仿宋_GB2312" w:hAnsi="仿宋_GB2312" w:eastAsia="仿宋_GB2312" w:cs="仿宋_GB2312"/>
        <w:color w:val="000000"/>
        <w:sz w:val="18"/>
      </w:rPr>
      <w:t>申明：本报告为内部项目文件，禁止外传，报告内容仅代表尽调机构观点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/>
    <w:r>
      <w:rPr>
        <w:rFonts w:ascii="仿宋_GB2312" w:hAnsi="仿宋_GB2312" w:eastAsia="仿宋_GB2312" w:cs="仿宋_GB2312"/>
        <w:color w:val="000000"/>
        <w:sz w:val="18"/>
      </w:rPr>
      <w:t>申明：本报告为内部项目文件，禁止外传，报告内容仅代表尽调机构观点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/>
    <w:r>
      <w:rPr>
        <w:rFonts w:ascii="仿宋_GB2312" w:hAnsi="仿宋_GB2312" w:eastAsia="仿宋_GB2312" w:cs="仿宋_GB2312"/>
        <w:color w:val="000000"/>
        <w:sz w:val="18"/>
      </w:rPr>
      <w:t>申明：本报告为内部项目文件，禁止外传，报告内容仅代表尽调机构观点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仿宋_GB2312" w:hAnsi="仿宋_GB2312" w:eastAsia="仿宋_GB2312" w:cs="仿宋_GB2312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before="0" w:after="0"/>
      <w:contextualSpacing/>
    </w:pPr>
    <w:rPr>
      <w:rFonts w:ascii="仿宋_GB2312" w:hAnsi="仿宋_GB2312" w:eastAsia="仿宋_GB2312" w:cs="仿宋_GB2312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before="0" w:after="0"/>
      <w:contextualSpacing/>
    </w:pPr>
    <w:rPr>
      <w:rFonts w:ascii="仿宋_GB2312" w:hAnsi="仿宋_GB2312" w:eastAsia="仿宋_GB2312" w:cs="仿宋_GB2312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尽调-封面主体">
    <w:name w:val="尽调-封面主体"/>
    <w:basedOn w:val="Normal"/>
    <w:pPr>
      <w:spacing w:before="0" w:after="0"/>
      <w:jc w:val="center"/>
    </w:pPr>
    <w:rPr>
      <w:rFonts w:ascii="黑体" w:hAnsi="黑体" w:eastAsia="黑体" w:cs="黑体"/>
      <w:b/>
      <w:color w:val="000000"/>
      <w:sz w:val="44"/>
    </w:rPr>
  </w:style>
  <w:style w:type="paragraph" w:customStyle="1" w:styleId="尽调-封面日期">
    <w:name w:val="尽调-封面日期"/>
    <w:basedOn w:val="Normal"/>
    <w:pPr>
      <w:spacing w:before="0" w:after="0"/>
      <w:jc w:val="center"/>
    </w:pPr>
    <w:rPr>
      <w:rFonts w:ascii="仿宋_GB2312" w:hAnsi="仿宋_GB2312" w:eastAsia="仿宋_GB2312" w:cs="仿宋_GB2312"/>
      <w:b w:val="0"/>
      <w:color w:val="000000"/>
      <w:sz w:val="28"/>
    </w:rPr>
  </w:style>
  <w:style w:type="paragraph" w:customStyle="1" w:styleId="尽调-目录标题">
    <w:name w:val="尽调-目录标题"/>
    <w:basedOn w:val="Normal"/>
    <w:pPr>
      <w:keepNext/>
      <w:spacing w:line="360" w:lineRule="auto"/>
      <w:jc w:val="center"/>
    </w:pPr>
    <w:rPr>
      <w:rFonts w:ascii="黑体" w:hAnsi="黑体" w:eastAsia="黑体" w:cs="黑体"/>
      <w:b/>
      <w:color w:val="000000"/>
      <w:sz w:val="36"/>
    </w:rPr>
  </w:style>
  <w:style w:type="paragraph" w:customStyle="1" w:styleId="尽调-正文">
    <w:name w:val="尽调-正文"/>
    <w:basedOn w:val="Normal"/>
    <w:pPr>
      <w:widowControl/>
      <w:spacing w:line="360" w:lineRule="auto" w:before="0" w:after="0"/>
      <w:ind w:firstLine="480"/>
      <w:jc w:val="both"/>
    </w:pPr>
    <w:rPr>
      <w:rFonts w:ascii="仿宋_GB2312" w:hAnsi="仿宋_GB2312" w:eastAsia="仿宋_GB2312" w:cs="仿宋_GB2312"/>
      <w:color w:val="000000"/>
      <w:sz w:val="24"/>
    </w:rPr>
  </w:style>
  <w:style w:type="paragraph" w:customStyle="1" w:styleId="尽调-一级标题">
    <w:name w:val="尽调-一级标题"/>
    <w:basedOn w:val="Normal"/>
    <w:pPr>
      <w:keepNext/>
      <w:keepLines/>
      <w:pageBreakBefore/>
      <w:spacing w:line="300" w:lineRule="auto" w:before="240" w:after="120"/>
      <w:ind w:left="0" w:firstLine="0"/>
      <w:jc w:val="left"/>
      <w:outlineLvl w:val="0"/>
    </w:pPr>
    <w:rPr>
      <w:rFonts w:ascii="黑体" w:hAnsi="黑体" w:eastAsia="黑体" w:cs="黑体"/>
      <w:b/>
      <w:color w:val="000000"/>
      <w:sz w:val="30"/>
    </w:rPr>
  </w:style>
  <w:style w:type="paragraph" w:customStyle="1" w:styleId="尽调-二级标题">
    <w:name w:val="尽调-二级标题"/>
    <w:basedOn w:val="Normal"/>
    <w:pPr>
      <w:keepNext/>
      <w:keepLines/>
      <w:pageBreakBefore w:val="0"/>
      <w:spacing w:line="300" w:lineRule="auto" w:before="160" w:after="80"/>
      <w:ind w:left="0" w:firstLine="0"/>
      <w:jc w:val="left"/>
      <w:outlineLvl w:val="1"/>
    </w:pPr>
    <w:rPr>
      <w:rFonts w:ascii="黑体" w:hAnsi="黑体" w:eastAsia="黑体" w:cs="黑体"/>
      <w:b/>
      <w:color w:val="000000"/>
      <w:sz w:val="30"/>
    </w:rPr>
  </w:style>
  <w:style w:type="paragraph" w:customStyle="1" w:styleId="尽调-三级标题">
    <w:name w:val="尽调-三级标题"/>
    <w:basedOn w:val="Normal"/>
    <w:pPr>
      <w:keepNext/>
      <w:keepLines/>
      <w:pageBreakBefore w:val="0"/>
      <w:spacing w:line="300" w:lineRule="auto" w:before="120" w:after="40"/>
      <w:ind w:left="0" w:firstLine="0"/>
      <w:jc w:val="left"/>
      <w:outlineLvl w:val="2"/>
    </w:pPr>
    <w:rPr>
      <w:rFonts w:ascii="黑体" w:hAnsi="黑体" w:eastAsia="黑体" w:cs="黑体"/>
      <w:b/>
      <w:color w:val="000000"/>
      <w:sz w:val="24"/>
    </w:rPr>
  </w:style>
  <w:style w:type="paragraph" w:customStyle="1" w:styleId="尽调-四级标题">
    <w:name w:val="尽调-四级标题"/>
    <w:basedOn w:val="Normal"/>
    <w:pPr>
      <w:keepNext/>
      <w:keepLines/>
      <w:pageBreakBefore w:val="0"/>
      <w:spacing w:line="300" w:lineRule="auto" w:before="80" w:after="40"/>
      <w:ind w:left="0" w:firstLine="0"/>
      <w:jc w:val="left"/>
      <w:outlineLvl w:val="3"/>
    </w:pPr>
    <w:rPr>
      <w:rFonts w:ascii="黑体" w:hAnsi="黑体" w:eastAsia="黑体" w:cs="黑体"/>
      <w:b/>
      <w:color w:val="000000"/>
      <w:sz w:val="24"/>
    </w:rPr>
  </w:style>
  <w:style w:type="paragraph" w:customStyle="1" w:styleId="尽调-表标题">
    <w:name w:val="尽调-表标题"/>
    <w:basedOn w:val="Normal"/>
    <w:pPr>
      <w:keepNext/>
      <w:spacing w:before="0" w:after="0"/>
      <w:jc w:val="center"/>
    </w:pPr>
    <w:rPr>
      <w:rFonts w:ascii="仿宋_GB2312" w:hAnsi="仿宋_GB2312" w:eastAsia="仿宋_GB2312" w:cs="仿宋_GB2312"/>
      <w:b/>
      <w:color w:val="000000"/>
      <w:sz w:val="24"/>
    </w:rPr>
  </w:style>
  <w:style w:type="paragraph" w:customStyle="1" w:styleId="尽调-表正文">
    <w:name w:val="尽调-表正文"/>
    <w:basedOn w:val="Normal"/>
    <w:pPr>
      <w:spacing w:before="0" w:after="0" w:line="300" w:lineRule="auto"/>
    </w:pPr>
    <w:rPr>
      <w:rFonts w:ascii="仿宋_GB2312" w:hAnsi="仿宋_GB2312" w:eastAsia="仿宋_GB2312" w:cs="仿宋_GB2312"/>
      <w:color w:val="000000"/>
      <w:sz w:val="24"/>
    </w:rPr>
  </w:style>
  <w:style w:type="paragraph" w:customStyle="1" w:styleId="尽调-图注">
    <w:name w:val="尽调-图注"/>
    <w:basedOn w:val="Normal"/>
    <w:pPr>
      <w:keepNext/>
      <w:spacing w:before="0" w:after="0"/>
      <w:jc w:val="center"/>
    </w:pPr>
    <w:rPr>
      <w:rFonts w:ascii="仿宋_GB2312" w:hAnsi="仿宋_GB2312" w:eastAsia="仿宋_GB2312" w:cs="仿宋_GB2312"/>
      <w:color w:val="000000"/>
      <w:sz w:val="21"/>
    </w:rPr>
  </w:style>
  <w:style w:type="paragraph" w:customStyle="1" w:styleId="尽调-提示">
    <w:name w:val="尽调-提示"/>
    <w:basedOn w:val="Normal"/>
    <w:pPr>
      <w:spacing w:line="360" w:lineRule="auto" w:before="0" w:after="0"/>
      <w:ind w:firstLine="480" w:left="0" w:right="0"/>
      <w:jc w:val="both"/>
    </w:pPr>
    <w:rPr>
      <w:rFonts w:ascii="仿宋_GB2312" w:hAnsi="仿宋_GB2312" w:eastAsia="仿宋_GB2312" w:cs="仿宋_GB2312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footer" Target="footer5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专业投资尽职调查报告</dc:title>
  <dc:subject>Investment Due Diligence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