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 w:before="240" w:after="120"/>
        <w:jc w:val="center"/>
      </w:pPr>
      <w:r>
        <w:rPr>
          <w:rFonts w:ascii="黑体" w:hAnsi="黑体" w:eastAsia="黑体" w:cs="黑体"/>
          <w:b/>
          <w:sz w:val="34"/>
        </w:rPr>
        <w:t>关于【经用户确认的投资主体全称】</w:t>
      </w:r>
    </w:p>
    <w:p>
      <w:pPr>
        <w:keepNext w:val="0"/>
        <w:spacing w:line="240" w:lineRule="auto" w:before="0" w:after="360"/>
        <w:jc w:val="center"/>
      </w:pPr>
      <w:r>
        <w:rPr>
          <w:rFonts w:ascii="黑体" w:hAnsi="黑体" w:eastAsia="黑体" w:cs="黑体"/>
          <w:b/>
          <w:sz w:val="34"/>
        </w:rPr>
        <w:t>对【目标公司全称】实施股权投资的提案</w:t>
      </w:r>
    </w:p>
    <w:p>
      <w:pPr>
        <w:keepNext w:val="0"/>
        <w:keepLines/>
        <w:pageBreakBefore w:val="0"/>
        <w:spacing w:line="336" w:lineRule="auto" w:after="70"/>
        <w:ind w:firstLine="0"/>
      </w:pPr>
      <w:r>
        <w:rPr>
          <w:rFonts w:ascii="黑体" w:hAnsi="黑体" w:eastAsia="黑体" w:cs="黑体"/>
          <w:b/>
          <w:sz w:val="21"/>
        </w:rPr>
        <w:t>各位投资决策委员会成员：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【经用户确认的投资主体全称】（以下简称“【投资主体简称】”）拟对【目标公司】实施【轮次及方式】股权投资。现将本次投资提案及相关情况提交各位审议。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在决策委员会审议通过后，将按照审议确定原则，由【投资主体简称】实施本次股权投资的具体操作事宜；仅在用户明确确认不同执行主体时另行填写。</w:t>
      </w:r>
    </w:p>
    <w:p>
      <w:pPr>
        <w:pStyle w:val="Heading1"/>
        <w:pageBreakBefore w:val="0"/>
      </w:pPr>
      <w:r>
        <w:t>一、基本情况简介</w:t>
      </w:r>
    </w:p>
    <w:p>
      <w:pPr>
        <w:pStyle w:val="Heading2"/>
      </w:pPr>
      <w:r>
        <w:t>（一）公司简介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【主体身份：仅写已确认的公司名称、成立时间、注册资本、法定代表人、注册地址及现有办公布局；不写统一社会信用代码。】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【业务定位：说明公司实际从事的业务、服务对象及所在业务环节，不写行业排名或市场前景。】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【产品服务：分项说明现有产品线、服务类型及相互关系，区分现有产品与在研产品。】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【应用与经营形态：说明已确认的应用场景及项目制、产品销售、授权或服务等经营方式。】</w:t>
      </w:r>
    </w:p>
    <w:p>
      <w:pPr>
        <w:pStyle w:val="Heading2"/>
      </w:pPr>
      <w:r>
        <w:t>（二）核心团队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【团队总体：仅写现有人员规模、学历结构、岗位构成和地域分布。】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【创始人或实际控制人：说明已确认的教育或从业经历、现任职责及与公司业务直接相关的工作内容。】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【运营与项目负责人：说明相关经历、当前分工和实际承担的职能。】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【技术与专家人员：说明专业方向、当前职位及已确认的研发职责，不写拟加入或外部支持承诺。】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【职能配置：说明算法、硬件、仿真、产品、运营和财务等现有岗位覆盖。】</w:t>
      </w:r>
    </w:p>
    <w:p>
      <w:pPr>
        <w:pStyle w:val="Heading2"/>
      </w:pPr>
      <w:r>
        <w:t>（三）公司股权结构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【当前结构：写明截至日、注册资本、股东及持股比例。】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【控制关系：说明直接持股、间接控制和实际控制人表决权；持股平台、期权池或代持仅在已确认时写入。】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【形成过程：按时间顺序说明设立、增资、股权转让、历轮融资金额、估值及完成状态；不得混用当前与交割后口径。】</w:t>
      </w:r>
    </w:p>
    <w:p>
      <w:pPr>
        <w:pStyle w:val="Heading2"/>
      </w:pPr>
      <w:r>
        <w:t>（四）技术路线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【总体架构：说明公司技术和产品模块之间的现有关系，不写宣传性技术定位。】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【模块一：按输入、方法、输出、指标、场景和当前状态展开，仅使用已经确认的要素。】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【模块二：按输入、方法、输出、指标、场景和当前状态展开，仅使用已经确认的要素。】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【模块三：按输入、方法、输出、指标、场景和当前状态展开，仅使用已经确认的要素。】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【模块四或其他已确认模块：区分已形成、已交付、正在工程化、在研和规划；没有事实时删除本段。】</w:t>
      </w:r>
    </w:p>
    <w:p>
      <w:pPr>
        <w:pStyle w:val="Heading2"/>
      </w:pPr>
      <w:r>
        <w:t>（五）运营摘要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【经营结果：仅写报告期收入、利润及其他原文已有经营数据。】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【业务构成：说明收入对应的业务类别、产品服务及交付方式。】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【产品与项目状态：区分接触、测试、PoC、合同、交付、验收、收入、回款和复购。】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【运营配置：说明已确认的研发、运营、地域和产品化状态；不展示合同、验收材料、发票、流水或核查过程。】</w:t>
      </w:r>
    </w:p>
    <w:p>
      <w:pPr>
        <w:pStyle w:val="Heading1"/>
        <w:pageBreakBefore w:val="0"/>
      </w:pPr>
      <w:r>
        <w:t>二、财务情况</w:t>
      </w:r>
    </w:p>
    <w:p>
      <w:pPr>
        <w:pStyle w:val="Heading2"/>
      </w:pPr>
      <w:r>
        <w:t>（一）资产负债表</w:t>
      </w:r>
    </w:p>
    <w:p>
      <w:pPr>
        <w:keepNext/>
        <w:keepLines/>
        <w:pageBreakBefore w:val="0"/>
        <w:spacing w:line="336" w:lineRule="auto" w:after="70"/>
        <w:ind w:firstLine="0"/>
        <w:jc w:val="center"/>
      </w:pPr>
      <w:r>
        <w:rPr>
          <w:rFonts w:ascii="黑体" w:hAnsi="黑体" w:eastAsia="黑体" w:cs="黑体"/>
          <w:b/>
          <w:sz w:val="21"/>
        </w:rPr>
        <w:t>资产负债表（【报告期】）</w:t>
      </w:r>
    </w:p>
    <w:p>
      <w:pPr>
        <w:keepNext/>
        <w:keepLines/>
        <w:pageBreakBefore w:val="0"/>
        <w:spacing w:line="336" w:lineRule="auto" w:after="70"/>
        <w:ind w:firstLine="0"/>
        <w:jc w:val="right"/>
      </w:pPr>
      <w:r>
        <w:rPr>
          <w:rFonts w:ascii="宋体" w:hAnsi="宋体" w:eastAsia="宋体" w:cs="宋体"/>
          <w:b w:val="0"/>
          <w:sz w:val="18"/>
        </w:rPr>
        <w:t>单位：【元】</w:t>
      </w:r>
    </w:p>
    <w:tbl>
      <w:tblPr>
        <w:tblStyle w:val="TableGrid"/>
        <w:tblW w:type="dxa" w:w="7140"/>
        <w:jc w:val="center"/>
        <w:tblLayout w:type="fixed"/>
        <w:tblLook w:firstColumn="1" w:firstRow="1" w:lastColumn="0" w:lastRow="0" w:noHBand="0" w:noVBand="1" w:val="04A0"/>
      </w:tblPr>
      <w:tblGrid>
        <w:gridCol w:w="2009"/>
        <w:gridCol w:w="1496"/>
        <w:gridCol w:w="2094"/>
        <w:gridCol w:w="1541"/>
      </w:tblGrid>
      <w:tr>
        <w:trPr>
          <w:tblHeader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资产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期末余额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负债和所有者权益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期末余额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流动资产：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流动负债：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货币资金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短期借款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短期投资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应付票据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应收票据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应付账款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应收账款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预收账款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预付账款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应付职工薪酬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应收股利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应交税费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应收利息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应付利息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其他应收款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应付利润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存货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其他应付款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其中：原材料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其他流动负债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在产品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流动负债合计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库存商品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周转材料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其他流动资产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流动资产合计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非流动资产：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非流动负债：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长期债券投资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长期借款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长期股权投资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长期应付款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固定资产原价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递延收益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减：累计折旧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其他非流动负债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固定资产账面价值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非流动负债合计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在建工程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负债合计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工程物资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所有者权益（或股东权益）：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固定资产清理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实收资本（或股本）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生产性生物资产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资本公积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无形资产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盈余公积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开发支出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未分配利润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长期待摊费用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所有者权益（或股东权益）合计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其他非流动资产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负债和所有者权益（或股东权益）总计</w:t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非流动资产合计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  <w:tr>
        <w:trPr>
          <w:cantSplit w:val="true"/>
        </w:trPr>
        <w:tc>
          <w:tcPr>
            <w:tcW w:type="dxa" w:w="2009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资产总计</w:t>
            </w:r>
          </w:p>
        </w:tc>
        <w:tc>
          <w:tcPr>
            <w:tcW w:type="dxa" w:w="1496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209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</w:r>
          </w:p>
        </w:tc>
        <w:tc>
          <w:tcPr>
            <w:tcW w:type="dxa" w:w="1541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--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（二）利润表</w:t>
      </w:r>
    </w:p>
    <w:p>
      <w:pPr>
        <w:keepNext/>
        <w:keepLines/>
        <w:pageBreakBefore w:val="0"/>
        <w:spacing w:line="336" w:lineRule="auto" w:after="70"/>
        <w:ind w:firstLine="0"/>
        <w:jc w:val="center"/>
      </w:pPr>
      <w:r>
        <w:rPr>
          <w:rFonts w:ascii="黑体" w:hAnsi="黑体" w:eastAsia="黑体" w:cs="黑体"/>
          <w:b/>
          <w:sz w:val="21"/>
        </w:rPr>
        <w:t>利润表（【报告期】）</w:t>
      </w:r>
    </w:p>
    <w:p>
      <w:pPr>
        <w:keepNext/>
        <w:keepLines/>
        <w:pageBreakBefore w:val="0"/>
        <w:spacing w:line="336" w:lineRule="auto" w:after="70"/>
        <w:ind w:firstLine="0"/>
        <w:jc w:val="right"/>
      </w:pPr>
      <w:r>
        <w:rPr>
          <w:rFonts w:ascii="宋体" w:hAnsi="宋体" w:eastAsia="宋体" w:cs="宋体"/>
          <w:b w:val="0"/>
          <w:sz w:val="18"/>
        </w:rPr>
        <w:t>单位：【元】</w:t>
      </w:r>
    </w:p>
    <w:tbl>
      <w:tblPr>
        <w:tblStyle w:val="TableGrid"/>
        <w:tblW w:type="dxa" w:w="7140"/>
        <w:jc w:val="center"/>
        <w:tblLayout w:type="fixed"/>
        <w:tblLook w:firstColumn="1" w:firstRow="1" w:lastColumn="0" w:lastRow="0" w:noHBand="0" w:noVBand="1" w:val="04A0"/>
      </w:tblPr>
      <w:tblGrid>
        <w:gridCol w:w="3462"/>
        <w:gridCol w:w="1838"/>
        <w:gridCol w:w="1840"/>
      </w:tblGrid>
      <w:tr>
        <w:trPr>
          <w:tblHeader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项目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本年累计金额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本期金额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一、营业收入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减：营业成本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税金及附加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其中：消费税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营业税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城市维护建设税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资源税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土地增值税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城镇土地使用税、房产税、车船税、印花税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教育费附加、矿产资源补偿费、排污费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销售费用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其中：商品维修费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广告费和业务宣传费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管理费用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其中：开办费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业务招待费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研究费用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财务费用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其中：利息费用（收入以“-”号填列）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加：投资收益（损失以“-”号填列）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二、营业利润（亏损以“-”号填列）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加：营业外收入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其中：政府补助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减：营业外支出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其中：坏账损失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无法收回的长期债券投资损失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无法收回的长期股权投资损失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自然灾害等不可抗力因素造成的损失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税收滞纳金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三、利润总额（亏损总额以“-”号填列）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减：所得税费用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【金额】</w:t>
            </w:r>
          </w:p>
        </w:tc>
      </w:tr>
      <w:tr>
        <w:trPr>
          <w:cantSplit w:val="true"/>
        </w:trPr>
        <w:tc>
          <w:tcPr>
            <w:tcW w:type="dxa" w:w="3462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四、净利润（净亏损以“-”号填列）</w:t>
            </w:r>
          </w:p>
        </w:tc>
        <w:tc>
          <w:tcPr>
            <w:tcW w:type="dxa" w:w="183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  <w:tc>
          <w:tcPr>
            <w:tcW w:type="dxa" w:w="1840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【金额】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三、交易条件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【仅按原文及补充信息说明投资方式、金额、投前/投后估值、完全稀释持股、资金用途、期权池与历轮权利。】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【仅保留原文已有的分期支付、交割先决条件、重新定价或终止触发、董事会安排与保护性条款；不得自行增加条件，不展示投资回报测算。】</w:t>
      </w:r>
    </w:p>
    <w:p>
      <w:pPr>
        <w:pStyle w:val="Heading1"/>
        <w:pageBreakBefore/>
      </w:pPr>
      <w:r>
        <w:t>四、公司业务预测</w:t>
      </w:r>
    </w:p>
    <w:p>
      <w:pPr>
        <w:keepNext/>
        <w:keepLines/>
        <w:pageBreakBefore w:val="0"/>
        <w:spacing w:line="336" w:lineRule="auto" w:after="70"/>
        <w:ind w:firstLine="0"/>
        <w:jc w:val="center"/>
      </w:pPr>
      <w:r>
        <w:rPr>
          <w:rFonts w:ascii="黑体" w:hAnsi="黑体" w:eastAsia="黑体" w:cs="黑体"/>
          <w:b/>
          <w:sz w:val="21"/>
        </w:rPr>
        <w:t>营 业 收 ⼊ 五 年 预 测</w:t>
      </w:r>
    </w:p>
    <w:p>
      <w:pPr>
        <w:keepNext/>
        <w:keepLines/>
        <w:pageBreakBefore w:val="0"/>
        <w:spacing w:line="336" w:lineRule="auto" w:after="70"/>
        <w:ind w:firstLine="0"/>
        <w:jc w:val="right"/>
      </w:pPr>
      <w:r>
        <w:rPr>
          <w:rFonts w:ascii="宋体" w:hAnsi="宋体" w:eastAsia="宋体" w:cs="宋体"/>
          <w:b w:val="0"/>
          <w:sz w:val="18"/>
        </w:rPr>
        <w:t>单位：【万元】</w:t>
      </w:r>
    </w:p>
    <w:tbl>
      <w:tblPr>
        <w:tblStyle w:val="TableGrid"/>
        <w:tblW w:type="dxa" w:w="7140"/>
        <w:jc w:val="center"/>
        <w:tblLayout w:type="fixed"/>
        <w:tblLook w:firstColumn="1" w:firstRow="1" w:lastColumn="0" w:lastRow="0" w:noHBand="0" w:noVBand="1" w:val="04A0"/>
      </w:tblPr>
      <w:tblGrid>
        <w:gridCol w:w="2223"/>
        <w:gridCol w:w="983"/>
        <w:gridCol w:w="983"/>
        <w:gridCol w:w="983"/>
        <w:gridCol w:w="983"/>
        <w:gridCol w:w="985"/>
      </w:tblGrid>
      <w:tr>
        <w:trPr>
          <w:tblHeader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营业收入（税前）构成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Y1E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Y2E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Y3E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Y4E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shd w:fill="EDEDED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sz w:val="19"/>
              </w:rPr>
              <w:t>Y5E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【业务一名称】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销售数量（【计量单位】）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平均单价（元）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平均成本（元）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毛利率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18"/>
              </w:rPr>
              <w:t>【业务二名称】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/>
                <w:sz w:val="18"/>
              </w:rPr>
              <w:t>【收入】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销售数量（【计量单位】）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【数量】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平均单价（元）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【单价】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平均成本（元）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【成本】</w:t>
            </w:r>
          </w:p>
        </w:tc>
      </w:tr>
      <w:tr>
        <w:trPr>
          <w:cantSplit w:val="true"/>
        </w:trPr>
        <w:tc>
          <w:tcPr>
            <w:tcW w:type="dxa" w:w="222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毛利率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3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  <w:tc>
          <w:tcPr>
            <w:tcW w:type="dxa" w:w="985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宋体" w:hAnsi="宋体" w:eastAsia="宋体" w:cs="宋体"/>
                <w:b w:val="0"/>
                <w:sz w:val="18"/>
              </w:rPr>
              <w:t>【比例】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五、投资亮点与风险控制</w:t>
      </w:r>
    </w:p>
    <w:p>
      <w:pPr>
        <w:pStyle w:val="Heading2"/>
      </w:pPr>
      <w:r>
        <w:t>（一）投资亮点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【第一，客观归纳已经确认的产品和服务结构。】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【第二，客观归纳技术方法及各产品模块的现有衔接。】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【第三，客观归纳已经确认的经营结果、交付或产品化状态。】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【第四，客观归纳团队结构、相关经历和现有职能配置。】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【第五，客观归纳股权、融资或本轮交易安排；不使用领先、壁垒、成长性或投资价值等评价词。】</w:t>
      </w:r>
    </w:p>
    <w:p>
      <w:pPr>
        <w:pStyle w:val="Heading2"/>
      </w:pPr>
      <w:r>
        <w:t>（二）风险控制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【客户与收入风险—应对措施：仅写原文已有风险及公司现有应对措施。】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【核心人员风险—应对措施：仅写原文已有风险及公司现有应对措施。】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【产品化风险—应对措施：仅写原文已有风险及公司现有应对措施。】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【技术与合规风险—应对措施：仅写原文已有风险及公司现有应对措施。】</w:t>
      </w:r>
    </w:p>
    <w:p>
      <w:pPr>
        <w:pStyle w:val="Heading1"/>
        <w:pageBreakBefore w:val="0"/>
      </w:pPr>
      <w:r>
        <w:t>六、结论</w:t>
      </w:r>
    </w:p>
    <w:p>
      <w:pPr>
        <w:keepNext w:val="0"/>
        <w:keepLines/>
        <w:pageBreakBefore w:val="0"/>
        <w:spacing w:line="336" w:lineRule="auto" w:after="70"/>
        <w:ind w:firstLine="420"/>
      </w:pPr>
      <w:r>
        <w:rPr>
          <w:rFonts w:ascii="宋体" w:hAnsi="宋体" w:eastAsia="宋体" w:cs="宋体"/>
          <w:b w:val="0"/>
          <w:sz w:val="21"/>
        </w:rPr>
        <w:t>【当原文或用户已明确投资建议时，写成一个正式投决段落：综合考虑已确认的赛道窗口、技术路径及壁垒、商业化验证、团队构成、综合入股估值或价格折让，以及回购、优先清算等下行保护，项目组认为目标公司具备相应投资价值，建议在充分控制风险的情况下按主方案实施本次投资。每一项必须有正文或交易条件支撑；没有依据的要素直接删除，不得照抄模板中的公司名称、数字、形容词或保护条款。】</w:t>
      </w:r>
    </w:p>
    <w:p>
      <w:pPr>
        <w:keepNext/>
        <w:keepLines/>
        <w:spacing w:line="240" w:lineRule="auto" w:after="0"/>
        <w:ind w:firstLine="0"/>
        <w:jc w:val="right"/>
      </w:pPr>
      <w:r>
        <w:rPr>
          <w:rFonts w:ascii="宋体" w:hAnsi="宋体" w:eastAsia="宋体" w:cs="宋体"/>
          <w:sz w:val="21"/>
        </w:rPr>
        <w:t>【经用户确认的投资主体全称】</w:t>
      </w:r>
    </w:p>
    <w:p>
      <w:pPr>
        <w:keepNext w:val="0"/>
        <w:keepLines/>
        <w:spacing w:line="240" w:lineRule="auto" w:after="0"/>
        <w:ind w:firstLine="0"/>
        <w:jc w:val="right"/>
      </w:pPr>
      <w:r>
        <w:rPr>
          <w:rFonts w:ascii="宋体" w:hAnsi="宋体" w:eastAsia="宋体" w:cs="宋体"/>
          <w:sz w:val="21"/>
        </w:rPr>
        <w:t>【YYYY年M月】</w:t>
      </w:r>
    </w:p>
    <w:sectPr w:rsidR="00FC693F" w:rsidRPr="0006063C" w:rsidSect="00034616">
      <w:footerReference w:type="default" r:id="rId9"/>
      <w:pgSz w:w="9184" w:h="11906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70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