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88" w:lineRule="auto"/>
        <w:jc w:val="left"/>
      </w:pPr>
      <w:r>
        <w:rPr>
          <w:rFonts w:ascii="Calibri" w:hAnsi="Calibri" w:eastAsia="Arial Unicode MS" w:cs="Arial Unicode MS"/>
          <w:b/>
          <w:i w:val="0"/>
          <w:color w:val="007F73"/>
          <w:sz w:val="21"/>
        </w:rPr>
        <w:t>投资委员会汇报材料</w:t>
      </w:r>
    </w:p>
    <w:p>
      <w:pPr>
        <w:pStyle w:val="Title"/>
        <w:spacing w:before="760"/>
      </w:pPr>
      <w:r>
        <w:rPr>
          <w:rFonts w:ascii="Calibri" w:hAnsi="Calibri" w:eastAsia="Arial Unicode MS" w:cs="Arial Unicode MS"/>
          <w:b/>
          <w:color w:val="183247"/>
          <w:sz w:val="58"/>
        </w:rPr>
        <w:t>大衍科技投资报告</w:t>
        <w:br/>
        <w:t>逐页框架</w:t>
      </w:r>
    </w:p>
    <w:p>
      <w:pPr>
        <w:pStyle w:val="Subtitle"/>
      </w:pPr>
      <w:r>
        <w:rPr>
          <w:rFonts w:ascii="Calibri" w:hAnsi="Calibri" w:eastAsia="Arial Unicode MS" w:cs="Arial Unicode MS"/>
          <w:color w:val="64748B"/>
          <w:sz w:val="27"/>
        </w:rPr>
        <w:t>围绕“机器人放量—触觉与数据稀缺—大衍全链路胜出—商业兑现”的23页决策逻辑</w:t>
      </w:r>
    </w:p>
    <w:p>
      <w:pPr>
        <w:spacing w:before="0" w:after="560" w:line="288" w:lineRule="auto"/>
        <w:jc w:val="left"/>
      </w:pPr>
      <w:r>
        <w:rPr>
          <w:rFonts w:ascii="Calibri" w:hAnsi="Calibri" w:eastAsia="Arial Unicode MS" w:cs="Arial Unicode MS"/>
          <w:b w:val="0"/>
          <w:i w:val="0"/>
          <w:color w:val="1F2933"/>
          <w:sz w:val="21"/>
        </w:rPr>
      </w:r>
    </w:p>
    <w:p>
      <w:pPr>
        <w:spacing w:before="60" w:after="120" w:line="278" w:lineRule="auto"/>
        <w:ind w:left="173" w:right="173"/>
        <w:shd w:fill="E8F4F1"/>
      </w:pPr>
      <w:r>
        <w:rPr>
          <w:rFonts w:ascii="Calibri" w:hAnsi="Calibri" w:eastAsia="Arial Unicode MS" w:cs="Arial Unicode MS"/>
          <w:b/>
          <w:color w:val="007F73"/>
          <w:sz w:val="20"/>
        </w:rPr>
        <w:t xml:space="preserve">核心结论  </w:t>
      </w:r>
      <w:r>
        <w:rPr>
          <w:rFonts w:ascii="Calibri" w:hAnsi="Calibri" w:eastAsia="Arial Unicode MS" w:cs="Arial Unicode MS"/>
          <w:b/>
          <w:color w:val="183247"/>
          <w:sz w:val="20"/>
        </w:rPr>
        <w:t>建议推进有条件投资：大衍以萨迪克院士的触觉技术积累为源头，形成触觉采集硬件、海量数据加工和模型训练闭环，兼具团队、触觉与数据三重稀缺性。</w:t>
      </w:r>
    </w:p>
    <w:p>
      <w:pPr>
        <w:spacing w:before="440" w:after="80" w:line="288" w:lineRule="auto"/>
        <w:jc w:val="left"/>
      </w:pPr>
      <w:r>
        <w:rPr>
          <w:rFonts w:ascii="Calibri" w:hAnsi="Calibri" w:eastAsia="Arial Unicode MS" w:cs="Arial Unicode MS"/>
          <w:b/>
          <w:i w:val="0"/>
          <w:color w:val="64748B"/>
          <w:sz w:val="20"/>
        </w:rPr>
        <w:t>材料范围</w:t>
      </w:r>
    </w:p>
    <w:p>
      <w:pPr>
        <w:spacing w:before="0" w:after="60" w:line="288" w:lineRule="auto"/>
        <w:jc w:val="left"/>
      </w:pPr>
      <w:r>
        <w:rPr>
          <w:rFonts w:ascii="Calibri" w:hAnsi="Calibri" w:eastAsia="Arial Unicode MS" w:cs="Arial Unicode MS"/>
          <w:b w:val="0"/>
          <w:i w:val="0"/>
          <w:color w:val="1F2933"/>
          <w:sz w:val="20"/>
        </w:rPr>
        <w:t>新增松禾投资建议书、客户访谈、高管访谈；叠加此前BP、交流纪要、公司介绍及投资意向书；公开资料截至2026年8月18日。</w:t>
      </w:r>
    </w:p>
    <w:p>
      <w:pPr>
        <w:spacing w:before="240" w:after="80" w:line="288" w:lineRule="auto"/>
        <w:jc w:val="left"/>
      </w:pPr>
      <w:r>
        <w:rPr>
          <w:rFonts w:ascii="Calibri" w:hAnsi="Calibri" w:eastAsia="Arial Unicode MS" w:cs="Arial Unicode MS"/>
          <w:b/>
          <w:i w:val="0"/>
          <w:color w:val="64748B"/>
          <w:sz w:val="20"/>
        </w:rPr>
        <w:t>用途</w:t>
      </w:r>
    </w:p>
    <w:p>
      <w:pPr>
        <w:spacing w:before="0" w:after="60" w:line="288" w:lineRule="auto"/>
        <w:jc w:val="left"/>
      </w:pPr>
      <w:r>
        <w:rPr>
          <w:rFonts w:ascii="Calibri" w:hAnsi="Calibri" w:eastAsia="Arial Unicode MS" w:cs="Arial Unicode MS"/>
          <w:b w:val="0"/>
          <w:i w:val="0"/>
          <w:color w:val="1F2933"/>
          <w:sz w:val="20"/>
        </w:rPr>
        <w:t>用于指导投资报告PPT制作与管理层汇报，不替代审计报告、合同台账或正式交易文件。</w:t>
      </w:r>
    </w:p>
    <w:p>
      <w:pPr>
        <w:spacing w:before="920" w:after="0" w:line="288" w:lineRule="auto"/>
        <w:jc w:val="right"/>
      </w:pPr>
      <w:r>
        <w:rPr>
          <w:rFonts w:ascii="Calibri" w:hAnsi="Calibri" w:eastAsia="Arial Unicode MS" w:cs="Arial Unicode MS"/>
          <w:b/>
          <w:i w:val="0"/>
          <w:color w:val="64748B"/>
          <w:sz w:val="20"/>
        </w:rPr>
        <w:t>2026年8月18日</w:t>
      </w:r>
    </w:p>
    <w:p>
      <w:r>
        <w:br w:type="page"/>
      </w:r>
    </w:p>
    <w:p>
      <w:pPr>
        <w:pStyle w:val="Heading1"/>
      </w:pPr>
      <w:r>
        <w:t>汇报定位与证据规则</w:t>
      </w:r>
    </w:p>
    <w:p>
      <w:pPr>
        <w:spacing w:before="60" w:after="120" w:line="278" w:lineRule="auto"/>
        <w:ind w:left="173" w:right="173"/>
        <w:shd w:fill="EAF2F5"/>
      </w:pPr>
      <w:r>
        <w:rPr>
          <w:rFonts w:ascii="Calibri" w:hAnsi="Calibri" w:eastAsia="Arial Unicode MS" w:cs="Arial Unicode MS"/>
          <w:b/>
          <w:color w:val="183247"/>
          <w:sz w:val="20"/>
        </w:rPr>
        <w:t xml:space="preserve">汇报任务  </w:t>
      </w:r>
      <w:r>
        <w:rPr>
          <w:rFonts w:ascii="Calibri" w:hAnsi="Calibri" w:eastAsia="Arial Unicode MS" w:cs="Arial Unicode MS"/>
          <w:b/>
          <w:color w:val="183247"/>
          <w:sz w:val="20"/>
        </w:rPr>
        <w:t>让决策者清楚看到：机器人进入真实作业后，触觉与海量可用数据成为关键基础设施，而大衍是少数能够同时覆盖触觉硬件、数据加工、训练场和模型能力的团队。</w:t>
      </w:r>
    </w:p>
    <w:p>
      <w:pPr>
        <w:keepNext/>
        <w:spacing w:before="100" w:after="60"/>
      </w:pPr>
      <w:r>
        <w:rPr>
          <w:rFonts w:ascii="Calibri" w:hAnsi="Calibri" w:eastAsia="Arial Unicode MS" w:cs="Arial Unicode MS"/>
          <w:b/>
          <w:color w:val="007F73"/>
          <w:sz w:val="20"/>
        </w:rPr>
        <w:t>叙事主线</w:t>
      </w:r>
    </w:p>
    <w:p>
      <w:pPr>
        <w:pStyle w:val="ListBullet"/>
        <w:spacing w:before="0" w:after="70" w:line="271" w:lineRule="auto"/>
        <w:ind w:left="540" w:hanging="271"/>
      </w:pPr>
      <w:r>
        <w:rPr>
          <w:rFonts w:ascii="Calibri" w:hAnsi="Calibri" w:eastAsia="Arial Unicode MS" w:cs="Arial Unicode MS"/>
          <w:color w:val="1F2933"/>
          <w:sz w:val="19"/>
        </w:rPr>
        <w:t>为什么现在：机器人从视觉识别走向接触式作业，触觉感知和海量训练数据同步成为新增市场。</w:t>
      </w:r>
    </w:p>
    <w:p>
      <w:pPr>
        <w:pStyle w:val="ListBullet"/>
        <w:spacing w:before="0" w:after="70" w:line="271" w:lineRule="auto"/>
        <w:ind w:left="540" w:hanging="271"/>
      </w:pPr>
      <w:r>
        <w:rPr>
          <w:rFonts w:ascii="Calibri" w:hAnsi="Calibri" w:eastAsia="Arial Unicode MS" w:cs="Arial Unicode MS"/>
          <w:color w:val="1F2933"/>
          <w:sz w:val="19"/>
        </w:rPr>
        <w:t>为什么有痛点：行业既缺足够大的数据总量，也缺可直接训练的高质量、多模态、物理一致数据。</w:t>
      </w:r>
    </w:p>
    <w:p>
      <w:pPr>
        <w:pStyle w:val="ListBullet"/>
        <w:spacing w:before="0" w:after="70" w:line="271" w:lineRule="auto"/>
        <w:ind w:left="540" w:hanging="271"/>
      </w:pPr>
      <w:r>
        <w:rPr>
          <w:rFonts w:ascii="Calibri" w:hAnsi="Calibri" w:eastAsia="Arial Unicode MS" w:cs="Arial Unicode MS"/>
          <w:color w:val="1F2933"/>
          <w:sz w:val="19"/>
        </w:rPr>
        <w:t>为什么是大衍：以触觉为入口，将采集硬件、自动化数据管线、重建约束生成、训练场和模型串成闭环。</w:t>
      </w:r>
    </w:p>
    <w:p>
      <w:pPr>
        <w:pStyle w:val="ListBullet"/>
        <w:spacing w:before="0" w:after="70" w:line="271" w:lineRule="auto"/>
        <w:ind w:left="540" w:hanging="271"/>
      </w:pPr>
      <w:r>
        <w:rPr>
          <w:rFonts w:ascii="Calibri" w:hAnsi="Calibri" w:eastAsia="Arial Unicode MS" w:cs="Arial Unicode MS"/>
          <w:color w:val="1F2933"/>
          <w:sz w:val="19"/>
        </w:rPr>
        <w:t>凭什么相信：首年收入和高毛利已验证，两家客户给出复购、唯一供应商和实际问题解决证据。</w:t>
      </w:r>
    </w:p>
    <w:p>
      <w:pPr>
        <w:keepNext/>
        <w:spacing w:before="100" w:after="60"/>
      </w:pPr>
      <w:r>
        <w:rPr>
          <w:rFonts w:ascii="Calibri" w:hAnsi="Calibri" w:eastAsia="Arial Unicode MS" w:cs="Arial Unicode MS"/>
          <w:b/>
          <w:color w:val="007F73"/>
          <w:sz w:val="20"/>
        </w:rPr>
        <w:t>证据分级</w:t>
      </w:r>
    </w:p>
    <w:tbl>
      <w:tblPr>
        <w:tblStyle w:val="TableGrid"/>
        <w:tblW w:type="dxa" w:w="9360"/>
        <w:jc w:val="left"/>
        <w:tblLayout w:type="fixed"/>
        <w:tblLook w:firstColumn="1" w:firstRow="1" w:lastColumn="0" w:lastRow="0" w:noHBand="0" w:noVBand="1" w:val="04A0"/>
        <w:tblInd w:w="120" w:type="dxa"/>
      </w:tblPr>
      <w:tblGrid>
        <w:gridCol w:w="1200"/>
        <w:gridCol w:w="3000"/>
        <w:gridCol w:w="5160"/>
      </w:tblGrid>
      <w:tr>
        <w:trPr>
          <w:tblHeader w:val="true"/>
        </w:trPr>
        <w:tc>
          <w:tcPr>
            <w:tcW w:type="dxa" w:w="120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等级</w:t>
            </w:r>
          </w:p>
        </w:tc>
        <w:tc>
          <w:tcPr>
            <w:tcW w:type="dxa" w:w="300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证据类型</w:t>
            </w:r>
          </w:p>
        </w:tc>
        <w:tc>
          <w:tcPr>
            <w:tcW w:type="dxa" w:w="516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使用规则</w:t>
            </w:r>
          </w:p>
        </w:tc>
      </w:tr>
      <w:tr>
        <w:tc>
          <w:tcPr>
            <w:tcW w:type="dxa" w:w="1200"/>
          </w:tcPr>
          <w:p>
            <w:pPr>
              <w:spacing w:after="0"/>
              <w:jc w:val="center"/>
            </w:pPr>
            <w:r>
              <w:rPr>
                <w:rFonts w:ascii="Calibri" w:hAnsi="Calibri" w:eastAsia="Arial Unicode MS" w:cs="Arial Unicode MS"/>
                <w:b/>
                <w:color w:val="1F2933"/>
                <w:sz w:val="18"/>
              </w:rPr>
              <w:t>A</w:t>
            </w:r>
          </w:p>
        </w:tc>
        <w:tc>
          <w:tcPr>
            <w:tcW w:type="dxa" w:w="3000"/>
          </w:tcPr>
          <w:p>
            <w:pPr>
              <w:spacing w:after="0"/>
              <w:jc w:val="left"/>
            </w:pPr>
            <w:r>
              <w:rPr>
                <w:rFonts w:ascii="Calibri" w:hAnsi="Calibri" w:eastAsia="Arial Unicode MS" w:cs="Arial Unicode MS"/>
                <w:b w:val="0"/>
                <w:color w:val="1F2933"/>
                <w:sz w:val="18"/>
              </w:rPr>
              <w:t>财务报表、合同/交易文件、客户访谈、政府/机构官方资料</w:t>
            </w:r>
          </w:p>
        </w:tc>
        <w:tc>
          <w:tcPr>
            <w:tcW w:type="dxa" w:w="5160"/>
          </w:tcPr>
          <w:p>
            <w:pPr>
              <w:spacing w:after="0"/>
              <w:jc w:val="left"/>
            </w:pPr>
            <w:r>
              <w:rPr>
                <w:rFonts w:ascii="Calibri" w:hAnsi="Calibri" w:eastAsia="Arial Unicode MS" w:cs="Arial Unicode MS"/>
                <w:b w:val="0"/>
                <w:color w:val="1F2933"/>
                <w:sz w:val="18"/>
              </w:rPr>
              <w:t>可作为页面核心证据；数字注明时点与口径。</w:t>
            </w:r>
          </w:p>
        </w:tc>
      </w:tr>
      <w:tr>
        <w:tc>
          <w:tcPr>
            <w:tcW w:type="dxa" w:w="1200"/>
          </w:tcPr>
          <w:p>
            <w:pPr>
              <w:spacing w:after="0"/>
              <w:jc w:val="center"/>
            </w:pPr>
            <w:r>
              <w:rPr>
                <w:rFonts w:ascii="Calibri" w:hAnsi="Calibri" w:eastAsia="Arial Unicode MS" w:cs="Arial Unicode MS"/>
                <w:b/>
                <w:color w:val="1F2933"/>
                <w:sz w:val="18"/>
              </w:rPr>
              <w:t>B</w:t>
            </w:r>
          </w:p>
        </w:tc>
        <w:tc>
          <w:tcPr>
            <w:tcW w:type="dxa" w:w="3000"/>
          </w:tcPr>
          <w:p>
            <w:pPr>
              <w:spacing w:after="0"/>
              <w:jc w:val="left"/>
            </w:pPr>
            <w:r>
              <w:rPr>
                <w:rFonts w:ascii="Calibri" w:hAnsi="Calibri" w:eastAsia="Arial Unicode MS" w:cs="Arial Unicode MS"/>
                <w:b w:val="0"/>
                <w:color w:val="1F2933"/>
                <w:sz w:val="18"/>
              </w:rPr>
              <w:t>高管访谈、公司BP、公司测试、管理层预算</w:t>
            </w:r>
          </w:p>
        </w:tc>
        <w:tc>
          <w:tcPr>
            <w:tcW w:type="dxa" w:w="5160"/>
          </w:tcPr>
          <w:p>
            <w:pPr>
              <w:spacing w:after="0"/>
              <w:jc w:val="left"/>
            </w:pPr>
            <w:r>
              <w:rPr>
                <w:rFonts w:ascii="Calibri" w:hAnsi="Calibri" w:eastAsia="Arial Unicode MS" w:cs="Arial Unicode MS"/>
                <w:b w:val="0"/>
                <w:color w:val="1F2933"/>
                <w:sz w:val="18"/>
              </w:rPr>
              <w:t>用于解释逻辑与规划；与A类证据交叉印证。</w:t>
            </w:r>
          </w:p>
        </w:tc>
      </w:tr>
      <w:tr>
        <w:tc>
          <w:tcPr>
            <w:tcW w:type="dxa" w:w="1200"/>
          </w:tcPr>
          <w:p>
            <w:pPr>
              <w:spacing w:after="0"/>
              <w:jc w:val="center"/>
            </w:pPr>
            <w:r>
              <w:rPr>
                <w:rFonts w:ascii="Calibri" w:hAnsi="Calibri" w:eastAsia="Arial Unicode MS" w:cs="Arial Unicode MS"/>
                <w:b/>
                <w:color w:val="1F2933"/>
                <w:sz w:val="18"/>
              </w:rPr>
              <w:t>C</w:t>
            </w:r>
          </w:p>
        </w:tc>
        <w:tc>
          <w:tcPr>
            <w:tcW w:type="dxa" w:w="3000"/>
          </w:tcPr>
          <w:p>
            <w:pPr>
              <w:spacing w:after="0"/>
              <w:jc w:val="left"/>
            </w:pPr>
            <w:r>
              <w:rPr>
                <w:rFonts w:ascii="Calibri" w:hAnsi="Calibri" w:eastAsia="Arial Unicode MS" w:cs="Arial Unicode MS"/>
                <w:b w:val="0"/>
                <w:color w:val="1F2933"/>
                <w:sz w:val="18"/>
              </w:rPr>
              <w:t>意向订单、早期测试、拟签项目、远期市场判断</w:t>
            </w:r>
          </w:p>
        </w:tc>
        <w:tc>
          <w:tcPr>
            <w:tcW w:type="dxa" w:w="5160"/>
          </w:tcPr>
          <w:p>
            <w:pPr>
              <w:spacing w:after="0"/>
              <w:jc w:val="left"/>
            </w:pPr>
            <w:r>
              <w:rPr>
                <w:rFonts w:ascii="Calibri" w:hAnsi="Calibri" w:eastAsia="Arial Unicode MS" w:cs="Arial Unicode MS"/>
                <w:b w:val="0"/>
                <w:color w:val="1F2933"/>
                <w:sz w:val="18"/>
              </w:rPr>
              <w:t>只进入漏斗或情景分析，不作为已实现收入。</w:t>
            </w:r>
          </w:p>
        </w:tc>
      </w:tr>
    </w:tbl>
    <w:p>
      <w:pPr>
        <w:keepNext/>
        <w:spacing w:before="100" w:after="60"/>
      </w:pPr>
      <w:r>
        <w:rPr>
          <w:rFonts w:ascii="Calibri" w:hAnsi="Calibri" w:eastAsia="Arial Unicode MS" w:cs="Arial Unicode MS"/>
          <w:b/>
          <w:color w:val="007F73"/>
          <w:sz w:val="20"/>
        </w:rPr>
        <w:t>页面纪律</w:t>
      </w:r>
    </w:p>
    <w:p>
      <w:pPr>
        <w:pStyle w:val="ListBullet"/>
        <w:spacing w:before="0" w:after="70" w:line="271" w:lineRule="auto"/>
        <w:ind w:left="540" w:hanging="271"/>
      </w:pPr>
      <w:r>
        <w:rPr>
          <w:rFonts w:ascii="Calibri" w:hAnsi="Calibri" w:eastAsia="Arial Unicode MS" w:cs="Arial Unicode MS"/>
          <w:color w:val="1F2933"/>
          <w:sz w:val="19"/>
        </w:rPr>
        <w:t>每页只讲一个结论，标题直接写判断，不使用“行业分析”“公司介绍”这类目录式标题。</w:t>
      </w:r>
    </w:p>
    <w:p>
      <w:pPr>
        <w:pStyle w:val="ListBullet"/>
        <w:spacing w:before="0" w:after="70" w:line="271" w:lineRule="auto"/>
        <w:ind w:left="540" w:hanging="271"/>
      </w:pPr>
      <w:r>
        <w:rPr>
          <w:rFonts w:ascii="Calibri" w:hAnsi="Calibri" w:eastAsia="Arial Unicode MS" w:cs="Arial Unicode MS"/>
          <w:color w:val="1F2933"/>
          <w:sz w:val="19"/>
        </w:rPr>
        <w:t>外部市场数据只用于证明行业阶段；公司能否胜出必须由客户、产品和经营证据支持。</w:t>
      </w:r>
    </w:p>
    <w:p>
      <w:pPr>
        <w:pStyle w:val="ListBullet"/>
        <w:spacing w:before="0" w:after="70" w:line="271" w:lineRule="auto"/>
        <w:ind w:left="540" w:hanging="271"/>
      </w:pPr>
      <w:r>
        <w:rPr>
          <w:rFonts w:ascii="Calibri" w:hAnsi="Calibri" w:eastAsia="Arial Unicode MS" w:cs="Arial Unicode MS"/>
          <w:color w:val="1F2933"/>
          <w:sz w:val="19"/>
        </w:rPr>
        <w:t>实际、预算、意向三种数据采用不同视觉纹理，避免把预测画成事实。</w:t>
      </w:r>
    </w:p>
    <w:p>
      <w:pPr>
        <w:pStyle w:val="ListBullet"/>
        <w:spacing w:before="0" w:after="70" w:line="271" w:lineRule="auto"/>
        <w:ind w:left="540" w:hanging="271"/>
      </w:pPr>
      <w:r>
        <w:rPr>
          <w:rFonts w:ascii="Calibri" w:hAnsi="Calibri" w:eastAsia="Arial Unicode MS" w:cs="Arial Unicode MS"/>
          <w:color w:val="1F2933"/>
          <w:sz w:val="19"/>
        </w:rPr>
        <w:t>最后一页以投后里程碑与最终投资建议收束，不使用空洞的“谢谢”页。</w:t>
      </w:r>
    </w:p>
    <w:p>
      <w:r>
        <w:br w:type="page"/>
      </w:r>
    </w:p>
    <w:p>
      <w:pPr>
        <w:pStyle w:val="Heading1"/>
      </w:pPr>
      <w:r>
        <w:t>23页叙事地图</w:t>
      </w:r>
    </w:p>
    <w:p>
      <w:pPr>
        <w:spacing w:before="0" w:after="200" w:line="288" w:lineRule="auto"/>
        <w:jc w:val="left"/>
      </w:pPr>
      <w:r>
        <w:rPr>
          <w:rFonts w:ascii="Calibri" w:hAnsi="Calibri" w:eastAsia="Arial Unicode MS" w:cs="Arial Unicode MS"/>
          <w:b w:val="0"/>
          <w:i w:val="0"/>
          <w:color w:val="64748B"/>
          <w:sz w:val="20"/>
        </w:rPr>
        <w:t>正文页数严格按用户给定结构配置；封面不计入23页。</w:t>
      </w:r>
    </w:p>
    <w:tbl>
      <w:tblPr>
        <w:tblStyle w:val="TableGrid"/>
        <w:tblW w:type="dxa" w:w="9360"/>
        <w:jc w:val="left"/>
        <w:tblLayout w:type="fixed"/>
        <w:tblLook w:firstColumn="1" w:firstRow="1" w:lastColumn="0" w:lastRow="0" w:noHBand="0" w:noVBand="1" w:val="04A0"/>
        <w:tblInd w:w="120" w:type="dxa"/>
      </w:tblPr>
      <w:tblGrid>
        <w:gridCol w:w="900"/>
        <w:gridCol w:w="1770"/>
        <w:gridCol w:w="4590"/>
        <w:gridCol w:w="2100"/>
      </w:tblGrid>
      <w:tr>
        <w:trPr>
          <w:tblHeader w:val="true"/>
        </w:trPr>
        <w:tc>
          <w:tcPr>
            <w:tcW w:type="dxa" w:w="90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6"/>
              </w:rPr>
              <w:t>页码</w:t>
            </w:r>
          </w:p>
        </w:tc>
        <w:tc>
          <w:tcPr>
            <w:tcW w:type="dxa" w:w="177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6"/>
              </w:rPr>
              <w:t>模块</w:t>
            </w:r>
          </w:p>
        </w:tc>
        <w:tc>
          <w:tcPr>
            <w:tcW w:type="dxa" w:w="459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6"/>
              </w:rPr>
              <w:t>页面核心判断</w:t>
            </w:r>
          </w:p>
        </w:tc>
        <w:tc>
          <w:tcPr>
            <w:tcW w:type="dxa" w:w="210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6"/>
              </w:rPr>
              <w:t>证据主类型</w:t>
            </w:r>
          </w:p>
        </w:tc>
      </w:tr>
      <w:tr>
        <w:tc>
          <w:tcPr>
            <w:tcW w:type="dxa" w:w="900"/>
            <w:tcMar>
              <w:top w:w="35" w:type="dxa"/>
              <w:start w:w="80" w:type="dxa"/>
              <w:bottom w:w="35" w:type="dxa"/>
              <w:end w:w="80" w:type="dxa"/>
            </w:tcMar>
          </w:tcPr>
          <w:p>
            <w:pPr>
              <w:spacing w:after="0" w:line="228" w:lineRule="auto"/>
              <w:jc w:val="center"/>
            </w:pPr>
            <w:r>
              <w:rPr>
                <w:rFonts w:ascii="Calibri" w:hAnsi="Calibri" w:eastAsia="Arial Unicode MS" w:cs="Arial Unicode MS"/>
                <w:b/>
                <w:color w:val="1F2933"/>
                <w:sz w:val="14"/>
              </w:rPr>
              <w:t>1</w:t>
            </w:r>
          </w:p>
        </w:tc>
        <w:tc>
          <w:tcPr>
            <w:tcW w:type="dxa" w:w="1770"/>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投资结论</w:t>
            </w:r>
          </w:p>
        </w:tc>
        <w:tc>
          <w:tcPr>
            <w:tcW w:type="dxa" w:w="4590"/>
            <w:tcMar>
              <w:top w:w="35" w:type="dxa"/>
              <w:start w:w="80" w:type="dxa"/>
              <w:bottom w:w="35" w:type="dxa"/>
              <w:end w:w="80" w:type="dxa"/>
            </w:tcMar>
          </w:tcPr>
          <w:p>
            <w:pPr>
              <w:spacing w:after="0" w:line="228" w:lineRule="auto"/>
              <w:jc w:val="left"/>
            </w:pPr>
            <w:r>
              <w:rPr>
                <w:rFonts w:ascii="Calibri" w:hAnsi="Calibri" w:eastAsia="Arial Unicode MS" w:cs="Arial Unicode MS"/>
                <w:b w:val="0"/>
                <w:color w:val="1F2933"/>
                <w:sz w:val="14"/>
              </w:rPr>
              <w:t>建议投资：团队、触觉、数据三重稀缺</w:t>
            </w:r>
          </w:p>
        </w:tc>
        <w:tc>
          <w:tcPr>
            <w:tcW w:type="dxa" w:w="2100"/>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A</w:t>
            </w:r>
          </w:p>
        </w:tc>
      </w:tr>
      <w:tr>
        <w:tc>
          <w:tcPr>
            <w:tcW w:type="dxa" w:w="90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color w:val="1F2933"/>
                <w:sz w:val="14"/>
              </w:rPr>
              <w:t>2</w:t>
            </w:r>
          </w:p>
        </w:tc>
        <w:tc>
          <w:tcPr>
            <w:tcW w:type="dxa" w:w="177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行业背景</w:t>
            </w:r>
          </w:p>
        </w:tc>
        <w:tc>
          <w:tcPr>
            <w:tcW w:type="dxa" w:w="4590"/>
            <w:shd w:fill="F2F4F7"/>
            <w:tcMar>
              <w:top w:w="35" w:type="dxa"/>
              <w:start w:w="80" w:type="dxa"/>
              <w:bottom w:w="35" w:type="dxa"/>
              <w:end w:w="80" w:type="dxa"/>
            </w:tcMar>
          </w:tcPr>
          <w:p>
            <w:pPr>
              <w:spacing w:after="0" w:line="228" w:lineRule="auto"/>
              <w:jc w:val="left"/>
            </w:pPr>
            <w:r>
              <w:rPr>
                <w:rFonts w:ascii="Calibri" w:hAnsi="Calibri" w:eastAsia="Arial Unicode MS" w:cs="Arial Unicode MS"/>
                <w:b w:val="0"/>
                <w:color w:val="1F2933"/>
                <w:sz w:val="14"/>
              </w:rPr>
              <w:t>机器人进入真实作业，部署需求放量</w:t>
            </w:r>
          </w:p>
        </w:tc>
        <w:tc>
          <w:tcPr>
            <w:tcW w:type="dxa" w:w="210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A</w:t>
            </w:r>
          </w:p>
        </w:tc>
      </w:tr>
      <w:tr>
        <w:tc>
          <w:tcPr>
            <w:tcW w:type="dxa" w:w="900"/>
            <w:tcMar>
              <w:top w:w="35" w:type="dxa"/>
              <w:start w:w="80" w:type="dxa"/>
              <w:bottom w:w="35" w:type="dxa"/>
              <w:end w:w="80" w:type="dxa"/>
            </w:tcMar>
          </w:tcPr>
          <w:p>
            <w:pPr>
              <w:spacing w:after="0" w:line="228" w:lineRule="auto"/>
              <w:jc w:val="center"/>
            </w:pPr>
            <w:r>
              <w:rPr>
                <w:rFonts w:ascii="Calibri" w:hAnsi="Calibri" w:eastAsia="Arial Unicode MS" w:cs="Arial Unicode MS"/>
                <w:b/>
                <w:color w:val="1F2933"/>
                <w:sz w:val="14"/>
              </w:rPr>
              <w:t>3</w:t>
            </w:r>
          </w:p>
        </w:tc>
        <w:tc>
          <w:tcPr>
            <w:tcW w:type="dxa" w:w="1770"/>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行业背景</w:t>
            </w:r>
          </w:p>
        </w:tc>
        <w:tc>
          <w:tcPr>
            <w:tcW w:type="dxa" w:w="4590"/>
            <w:tcMar>
              <w:top w:w="35" w:type="dxa"/>
              <w:start w:w="80" w:type="dxa"/>
              <w:bottom w:w="35" w:type="dxa"/>
              <w:end w:w="80" w:type="dxa"/>
            </w:tcMar>
          </w:tcPr>
          <w:p>
            <w:pPr>
              <w:spacing w:after="0" w:line="228" w:lineRule="auto"/>
              <w:jc w:val="left"/>
            </w:pPr>
            <w:r>
              <w:rPr>
                <w:rFonts w:ascii="Calibri" w:hAnsi="Calibri" w:eastAsia="Arial Unicode MS" w:cs="Arial Unicode MS"/>
                <w:b w:val="0"/>
                <w:color w:val="1F2933"/>
                <w:sz w:val="14"/>
              </w:rPr>
              <w:t>触觉升级为核心感知层，形成三层市场</w:t>
            </w:r>
          </w:p>
        </w:tc>
        <w:tc>
          <w:tcPr>
            <w:tcW w:type="dxa" w:w="2100"/>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A / A/B</w:t>
            </w:r>
          </w:p>
        </w:tc>
      </w:tr>
      <w:tr>
        <w:tc>
          <w:tcPr>
            <w:tcW w:type="dxa" w:w="90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color w:val="1F2933"/>
                <w:sz w:val="14"/>
              </w:rPr>
              <w:t>4</w:t>
            </w:r>
          </w:p>
        </w:tc>
        <w:tc>
          <w:tcPr>
            <w:tcW w:type="dxa" w:w="177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行业痛点</w:t>
            </w:r>
          </w:p>
        </w:tc>
        <w:tc>
          <w:tcPr>
            <w:tcW w:type="dxa" w:w="4590"/>
            <w:shd w:fill="F2F4F7"/>
            <w:tcMar>
              <w:top w:w="35" w:type="dxa"/>
              <w:start w:w="80" w:type="dxa"/>
              <w:bottom w:w="35" w:type="dxa"/>
              <w:end w:w="80" w:type="dxa"/>
            </w:tcMar>
          </w:tcPr>
          <w:p>
            <w:pPr>
              <w:spacing w:after="0" w:line="228" w:lineRule="auto"/>
              <w:jc w:val="left"/>
            </w:pPr>
            <w:r>
              <w:rPr>
                <w:rFonts w:ascii="Calibri" w:hAnsi="Calibri" w:eastAsia="Arial Unicode MS" w:cs="Arial Unicode MS"/>
                <w:b w:val="0"/>
                <w:color w:val="1F2933"/>
                <w:sz w:val="14"/>
              </w:rPr>
              <w:t>数据总量与可用性双不足</w:t>
            </w:r>
          </w:p>
        </w:tc>
        <w:tc>
          <w:tcPr>
            <w:tcW w:type="dxa" w:w="210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A</w:t>
            </w:r>
          </w:p>
        </w:tc>
      </w:tr>
      <w:tr>
        <w:tc>
          <w:tcPr>
            <w:tcW w:type="dxa" w:w="900"/>
            <w:tcMar>
              <w:top w:w="35" w:type="dxa"/>
              <w:start w:w="80" w:type="dxa"/>
              <w:bottom w:w="35" w:type="dxa"/>
              <w:end w:w="80" w:type="dxa"/>
            </w:tcMar>
          </w:tcPr>
          <w:p>
            <w:pPr>
              <w:spacing w:after="0" w:line="228" w:lineRule="auto"/>
              <w:jc w:val="center"/>
            </w:pPr>
            <w:r>
              <w:rPr>
                <w:rFonts w:ascii="Calibri" w:hAnsi="Calibri" w:eastAsia="Arial Unicode MS" w:cs="Arial Unicode MS"/>
                <w:b/>
                <w:color w:val="1F2933"/>
                <w:sz w:val="14"/>
              </w:rPr>
              <w:t>5</w:t>
            </w:r>
          </w:p>
        </w:tc>
        <w:tc>
          <w:tcPr>
            <w:tcW w:type="dxa" w:w="1770"/>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产品</w:t>
            </w:r>
          </w:p>
        </w:tc>
        <w:tc>
          <w:tcPr>
            <w:tcW w:type="dxa" w:w="4590"/>
            <w:tcMar>
              <w:top w:w="35" w:type="dxa"/>
              <w:start w:w="80" w:type="dxa"/>
              <w:bottom w:w="35" w:type="dxa"/>
              <w:end w:w="80" w:type="dxa"/>
            </w:tcMar>
          </w:tcPr>
          <w:p>
            <w:pPr>
              <w:spacing w:after="0" w:line="228" w:lineRule="auto"/>
              <w:jc w:val="left"/>
            </w:pPr>
            <w:r>
              <w:rPr>
                <w:rFonts w:ascii="Calibri" w:hAnsi="Calibri" w:eastAsia="Arial Unicode MS" w:cs="Arial Unicode MS"/>
                <w:b w:val="0"/>
                <w:color w:val="1F2933"/>
                <w:sz w:val="14"/>
              </w:rPr>
              <w:t>触觉入口+数据核心的四层产品栈</w:t>
            </w:r>
          </w:p>
        </w:tc>
        <w:tc>
          <w:tcPr>
            <w:tcW w:type="dxa" w:w="2100"/>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A/B / B</w:t>
            </w:r>
          </w:p>
        </w:tc>
      </w:tr>
      <w:tr>
        <w:tc>
          <w:tcPr>
            <w:tcW w:type="dxa" w:w="90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color w:val="1F2933"/>
                <w:sz w:val="14"/>
              </w:rPr>
              <w:t>6</w:t>
            </w:r>
          </w:p>
        </w:tc>
        <w:tc>
          <w:tcPr>
            <w:tcW w:type="dxa" w:w="177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解决方案</w:t>
            </w:r>
          </w:p>
        </w:tc>
        <w:tc>
          <w:tcPr>
            <w:tcW w:type="dxa" w:w="4590"/>
            <w:shd w:fill="F2F4F7"/>
            <w:tcMar>
              <w:top w:w="35" w:type="dxa"/>
              <w:start w:w="80" w:type="dxa"/>
              <w:bottom w:w="35" w:type="dxa"/>
              <w:end w:w="80" w:type="dxa"/>
            </w:tcMar>
          </w:tcPr>
          <w:p>
            <w:pPr>
              <w:spacing w:after="0" w:line="228" w:lineRule="auto"/>
              <w:jc w:val="left"/>
            </w:pPr>
            <w:r>
              <w:rPr>
                <w:rFonts w:ascii="Calibri" w:hAnsi="Calibri" w:eastAsia="Arial Unicode MS" w:cs="Arial Unicode MS"/>
                <w:b w:val="0"/>
                <w:color w:val="1F2933"/>
                <w:sz w:val="14"/>
              </w:rPr>
              <w:t>Real-Sim-Real形成数据闭环</w:t>
            </w:r>
          </w:p>
        </w:tc>
        <w:tc>
          <w:tcPr>
            <w:tcW w:type="dxa" w:w="210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A / B</w:t>
            </w:r>
          </w:p>
        </w:tc>
      </w:tr>
      <w:tr>
        <w:tc>
          <w:tcPr>
            <w:tcW w:type="dxa" w:w="900"/>
            <w:tcMar>
              <w:top w:w="35" w:type="dxa"/>
              <w:start w:w="80" w:type="dxa"/>
              <w:bottom w:w="35" w:type="dxa"/>
              <w:end w:w="80" w:type="dxa"/>
            </w:tcMar>
          </w:tcPr>
          <w:p>
            <w:pPr>
              <w:spacing w:after="0" w:line="228" w:lineRule="auto"/>
              <w:jc w:val="center"/>
            </w:pPr>
            <w:r>
              <w:rPr>
                <w:rFonts w:ascii="Calibri" w:hAnsi="Calibri" w:eastAsia="Arial Unicode MS" w:cs="Arial Unicode MS"/>
                <w:b/>
                <w:color w:val="1F2933"/>
                <w:sz w:val="14"/>
              </w:rPr>
              <w:t>7</w:t>
            </w:r>
          </w:p>
        </w:tc>
        <w:tc>
          <w:tcPr>
            <w:tcW w:type="dxa" w:w="1770"/>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解决方案</w:t>
            </w:r>
          </w:p>
        </w:tc>
        <w:tc>
          <w:tcPr>
            <w:tcW w:type="dxa" w:w="4590"/>
            <w:tcMar>
              <w:top w:w="35" w:type="dxa"/>
              <w:start w:w="80" w:type="dxa"/>
              <w:bottom w:w="35" w:type="dxa"/>
              <w:end w:w="80" w:type="dxa"/>
            </w:tcMar>
          </w:tcPr>
          <w:p>
            <w:pPr>
              <w:spacing w:after="0" w:line="228" w:lineRule="auto"/>
              <w:jc w:val="left"/>
            </w:pPr>
            <w:r>
              <w:rPr>
                <w:rFonts w:ascii="Calibri" w:hAnsi="Calibri" w:eastAsia="Arial Unicode MS" w:cs="Arial Unicode MS"/>
                <w:b w:val="0"/>
                <w:color w:val="1F2933"/>
                <w:sz w:val="14"/>
              </w:rPr>
              <w:t>混合数据降低成本并提升泛化</w:t>
            </w:r>
          </w:p>
        </w:tc>
        <w:tc>
          <w:tcPr>
            <w:tcW w:type="dxa" w:w="2100"/>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A</w:t>
            </w:r>
          </w:p>
        </w:tc>
      </w:tr>
      <w:tr>
        <w:tc>
          <w:tcPr>
            <w:tcW w:type="dxa" w:w="90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color w:val="1F2933"/>
                <w:sz w:val="14"/>
              </w:rPr>
              <w:t>8</w:t>
            </w:r>
          </w:p>
        </w:tc>
        <w:tc>
          <w:tcPr>
            <w:tcW w:type="dxa" w:w="177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技术团队</w:t>
            </w:r>
          </w:p>
        </w:tc>
        <w:tc>
          <w:tcPr>
            <w:tcW w:type="dxa" w:w="4590"/>
            <w:shd w:fill="F2F4F7"/>
            <w:tcMar>
              <w:top w:w="35" w:type="dxa"/>
              <w:start w:w="80" w:type="dxa"/>
              <w:bottom w:w="35" w:type="dxa"/>
              <w:end w:w="80" w:type="dxa"/>
            </w:tcMar>
          </w:tcPr>
          <w:p>
            <w:pPr>
              <w:spacing w:after="0" w:line="228" w:lineRule="auto"/>
              <w:jc w:val="left"/>
            </w:pPr>
            <w:r>
              <w:rPr>
                <w:rFonts w:ascii="Calibri" w:hAnsi="Calibri" w:eastAsia="Arial Unicode MS" w:cs="Arial Unicode MS"/>
                <w:b w:val="0"/>
                <w:color w:val="1F2933"/>
                <w:sz w:val="14"/>
              </w:rPr>
              <w:t>权威触觉研究+工程化+商业交付</w:t>
            </w:r>
          </w:p>
        </w:tc>
        <w:tc>
          <w:tcPr>
            <w:tcW w:type="dxa" w:w="210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B</w:t>
            </w:r>
          </w:p>
        </w:tc>
      </w:tr>
      <w:tr>
        <w:tc>
          <w:tcPr>
            <w:tcW w:type="dxa" w:w="900"/>
            <w:tcMar>
              <w:top w:w="35" w:type="dxa"/>
              <w:start w:w="80" w:type="dxa"/>
              <w:bottom w:w="35" w:type="dxa"/>
              <w:end w:w="80" w:type="dxa"/>
            </w:tcMar>
          </w:tcPr>
          <w:p>
            <w:pPr>
              <w:spacing w:after="0" w:line="228" w:lineRule="auto"/>
              <w:jc w:val="center"/>
            </w:pPr>
            <w:r>
              <w:rPr>
                <w:rFonts w:ascii="Calibri" w:hAnsi="Calibri" w:eastAsia="Arial Unicode MS" w:cs="Arial Unicode MS"/>
                <w:b/>
                <w:color w:val="1F2933"/>
                <w:sz w:val="14"/>
              </w:rPr>
              <w:t>9</w:t>
            </w:r>
          </w:p>
        </w:tc>
        <w:tc>
          <w:tcPr>
            <w:tcW w:type="dxa" w:w="1770"/>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技术团队</w:t>
            </w:r>
          </w:p>
        </w:tc>
        <w:tc>
          <w:tcPr>
            <w:tcW w:type="dxa" w:w="4590"/>
            <w:tcMar>
              <w:top w:w="35" w:type="dxa"/>
              <w:start w:w="80" w:type="dxa"/>
              <w:bottom w:w="35" w:type="dxa"/>
              <w:end w:w="80" w:type="dxa"/>
            </w:tcMar>
          </w:tcPr>
          <w:p>
            <w:pPr>
              <w:spacing w:after="0" w:line="228" w:lineRule="auto"/>
              <w:jc w:val="left"/>
            </w:pPr>
            <w:r>
              <w:rPr>
                <w:rFonts w:ascii="Calibri" w:hAnsi="Calibri" w:eastAsia="Arial Unicode MS" w:cs="Arial Unicode MS"/>
                <w:b w:val="0"/>
                <w:color w:val="1F2933"/>
                <w:sz w:val="14"/>
              </w:rPr>
              <w:t>萨迪克院士构成触觉技术源头</w:t>
            </w:r>
          </w:p>
        </w:tc>
        <w:tc>
          <w:tcPr>
            <w:tcW w:type="dxa" w:w="2100"/>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A / B</w:t>
            </w:r>
          </w:p>
        </w:tc>
      </w:tr>
      <w:tr>
        <w:tc>
          <w:tcPr>
            <w:tcW w:type="dxa" w:w="90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color w:val="1F2933"/>
                <w:sz w:val="14"/>
              </w:rPr>
              <w:t>10</w:t>
            </w:r>
          </w:p>
        </w:tc>
        <w:tc>
          <w:tcPr>
            <w:tcW w:type="dxa" w:w="177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技术团队</w:t>
            </w:r>
          </w:p>
        </w:tc>
        <w:tc>
          <w:tcPr>
            <w:tcW w:type="dxa" w:w="4590"/>
            <w:shd w:fill="F2F4F7"/>
            <w:tcMar>
              <w:top w:w="35" w:type="dxa"/>
              <w:start w:w="80" w:type="dxa"/>
              <w:bottom w:w="35" w:type="dxa"/>
              <w:end w:w="80" w:type="dxa"/>
            </w:tcMar>
          </w:tcPr>
          <w:p>
            <w:pPr>
              <w:spacing w:after="0" w:line="228" w:lineRule="auto"/>
              <w:jc w:val="left"/>
            </w:pPr>
            <w:r>
              <w:rPr>
                <w:rFonts w:ascii="Calibri" w:hAnsi="Calibri" w:eastAsia="Arial Unicode MS" w:cs="Arial Unicode MS"/>
                <w:b w:val="0"/>
                <w:color w:val="1F2933"/>
                <w:sz w:val="14"/>
              </w:rPr>
              <w:t>院士技术转化为产品和订单</w:t>
            </w:r>
          </w:p>
        </w:tc>
        <w:tc>
          <w:tcPr>
            <w:tcW w:type="dxa" w:w="210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A / B</w:t>
            </w:r>
          </w:p>
        </w:tc>
      </w:tr>
      <w:tr>
        <w:tc>
          <w:tcPr>
            <w:tcW w:type="dxa" w:w="900"/>
            <w:tcMar>
              <w:top w:w="35" w:type="dxa"/>
              <w:start w:w="80" w:type="dxa"/>
              <w:bottom w:w="35" w:type="dxa"/>
              <w:end w:w="80" w:type="dxa"/>
            </w:tcMar>
          </w:tcPr>
          <w:p>
            <w:pPr>
              <w:spacing w:after="0" w:line="228" w:lineRule="auto"/>
              <w:jc w:val="center"/>
            </w:pPr>
            <w:r>
              <w:rPr>
                <w:rFonts w:ascii="Calibri" w:hAnsi="Calibri" w:eastAsia="Arial Unicode MS" w:cs="Arial Unicode MS"/>
                <w:b/>
                <w:color w:val="1F2933"/>
                <w:sz w:val="14"/>
              </w:rPr>
              <w:t>11</w:t>
            </w:r>
          </w:p>
        </w:tc>
        <w:tc>
          <w:tcPr>
            <w:tcW w:type="dxa" w:w="1770"/>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技术优势</w:t>
            </w:r>
          </w:p>
        </w:tc>
        <w:tc>
          <w:tcPr>
            <w:tcW w:type="dxa" w:w="4590"/>
            <w:tcMar>
              <w:top w:w="35" w:type="dxa"/>
              <w:start w:w="80" w:type="dxa"/>
              <w:bottom w:w="35" w:type="dxa"/>
              <w:end w:w="80" w:type="dxa"/>
            </w:tcMar>
          </w:tcPr>
          <w:p>
            <w:pPr>
              <w:spacing w:after="0" w:line="228" w:lineRule="auto"/>
              <w:jc w:val="left"/>
            </w:pPr>
            <w:r>
              <w:rPr>
                <w:rFonts w:ascii="Calibri" w:hAnsi="Calibri" w:eastAsia="Arial Unicode MS" w:cs="Arial Unicode MS"/>
                <w:b w:val="0"/>
                <w:color w:val="1F2933"/>
                <w:sz w:val="14"/>
              </w:rPr>
              <w:t>触觉硬件获取真实物理接触</w:t>
            </w:r>
          </w:p>
        </w:tc>
        <w:tc>
          <w:tcPr>
            <w:tcW w:type="dxa" w:w="2100"/>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A / B / B/C</w:t>
            </w:r>
          </w:p>
        </w:tc>
      </w:tr>
      <w:tr>
        <w:tc>
          <w:tcPr>
            <w:tcW w:type="dxa" w:w="90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color w:val="1F2933"/>
                <w:sz w:val="14"/>
              </w:rPr>
              <w:t>12</w:t>
            </w:r>
          </w:p>
        </w:tc>
        <w:tc>
          <w:tcPr>
            <w:tcW w:type="dxa" w:w="177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技术优势</w:t>
            </w:r>
          </w:p>
        </w:tc>
        <w:tc>
          <w:tcPr>
            <w:tcW w:type="dxa" w:w="4590"/>
            <w:shd w:fill="F2F4F7"/>
            <w:tcMar>
              <w:top w:w="35" w:type="dxa"/>
              <w:start w:w="80" w:type="dxa"/>
              <w:bottom w:w="35" w:type="dxa"/>
              <w:end w:w="80" w:type="dxa"/>
            </w:tcMar>
          </w:tcPr>
          <w:p>
            <w:pPr>
              <w:spacing w:after="0" w:line="228" w:lineRule="auto"/>
              <w:jc w:val="left"/>
            </w:pPr>
            <w:r>
              <w:rPr>
                <w:rFonts w:ascii="Calibri" w:hAnsi="Calibri" w:eastAsia="Arial Unicode MS" w:cs="Arial Unicode MS"/>
                <w:b w:val="0"/>
                <w:color w:val="1F2933"/>
                <w:sz w:val="14"/>
              </w:rPr>
              <w:t>自动化管线实现数据加工与扩量</w:t>
            </w:r>
          </w:p>
        </w:tc>
        <w:tc>
          <w:tcPr>
            <w:tcW w:type="dxa" w:w="210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B</w:t>
            </w:r>
          </w:p>
        </w:tc>
      </w:tr>
      <w:tr>
        <w:tc>
          <w:tcPr>
            <w:tcW w:type="dxa" w:w="900"/>
            <w:tcMar>
              <w:top w:w="35" w:type="dxa"/>
              <w:start w:w="80" w:type="dxa"/>
              <w:bottom w:w="35" w:type="dxa"/>
              <w:end w:w="80" w:type="dxa"/>
            </w:tcMar>
          </w:tcPr>
          <w:p>
            <w:pPr>
              <w:spacing w:after="0" w:line="228" w:lineRule="auto"/>
              <w:jc w:val="center"/>
            </w:pPr>
            <w:r>
              <w:rPr>
                <w:rFonts w:ascii="Calibri" w:hAnsi="Calibri" w:eastAsia="Arial Unicode MS" w:cs="Arial Unicode MS"/>
                <w:b/>
                <w:color w:val="1F2933"/>
                <w:sz w:val="14"/>
              </w:rPr>
              <w:t>13</w:t>
            </w:r>
          </w:p>
        </w:tc>
        <w:tc>
          <w:tcPr>
            <w:tcW w:type="dxa" w:w="1770"/>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技术优势</w:t>
            </w:r>
          </w:p>
        </w:tc>
        <w:tc>
          <w:tcPr>
            <w:tcW w:type="dxa" w:w="4590"/>
            <w:tcMar>
              <w:top w:w="35" w:type="dxa"/>
              <w:start w:w="80" w:type="dxa"/>
              <w:bottom w:w="35" w:type="dxa"/>
              <w:end w:w="80" w:type="dxa"/>
            </w:tcMar>
          </w:tcPr>
          <w:p>
            <w:pPr>
              <w:spacing w:after="0" w:line="228" w:lineRule="auto"/>
              <w:jc w:val="left"/>
            </w:pPr>
            <w:r>
              <w:rPr>
                <w:rFonts w:ascii="Calibri" w:hAnsi="Calibri" w:eastAsia="Arial Unicode MS" w:cs="Arial Unicode MS"/>
                <w:b w:val="0"/>
                <w:color w:val="1F2933"/>
                <w:sz w:val="14"/>
              </w:rPr>
              <w:t>触觉验证获客户点名认可</w:t>
            </w:r>
          </w:p>
        </w:tc>
        <w:tc>
          <w:tcPr>
            <w:tcW w:type="dxa" w:w="2100"/>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A / B</w:t>
            </w:r>
          </w:p>
        </w:tc>
      </w:tr>
      <w:tr>
        <w:tc>
          <w:tcPr>
            <w:tcW w:type="dxa" w:w="90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color w:val="1F2933"/>
                <w:sz w:val="14"/>
              </w:rPr>
              <w:t>14</w:t>
            </w:r>
          </w:p>
        </w:tc>
        <w:tc>
          <w:tcPr>
            <w:tcW w:type="dxa" w:w="177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商业化</w:t>
            </w:r>
          </w:p>
        </w:tc>
        <w:tc>
          <w:tcPr>
            <w:tcW w:type="dxa" w:w="4590"/>
            <w:shd w:fill="F2F4F7"/>
            <w:tcMar>
              <w:top w:w="35" w:type="dxa"/>
              <w:start w:w="80" w:type="dxa"/>
              <w:bottom w:w="35" w:type="dxa"/>
              <w:end w:w="80" w:type="dxa"/>
            </w:tcMar>
          </w:tcPr>
          <w:p>
            <w:pPr>
              <w:spacing w:after="0" w:line="228" w:lineRule="auto"/>
              <w:jc w:val="left"/>
            </w:pPr>
            <w:r>
              <w:rPr>
                <w:rFonts w:ascii="Calibri" w:hAnsi="Calibri" w:eastAsia="Arial Unicode MS" w:cs="Arial Unicode MS"/>
                <w:b w:val="0"/>
                <w:color w:val="1F2933"/>
                <w:sz w:val="14"/>
              </w:rPr>
              <w:t>三条产品线驱动商业增长</w:t>
            </w:r>
          </w:p>
        </w:tc>
        <w:tc>
          <w:tcPr>
            <w:tcW w:type="dxa" w:w="210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A / B / B/C</w:t>
            </w:r>
          </w:p>
        </w:tc>
      </w:tr>
      <w:tr>
        <w:tc>
          <w:tcPr>
            <w:tcW w:type="dxa" w:w="900"/>
            <w:tcMar>
              <w:top w:w="35" w:type="dxa"/>
              <w:start w:w="80" w:type="dxa"/>
              <w:bottom w:w="35" w:type="dxa"/>
              <w:end w:w="80" w:type="dxa"/>
            </w:tcMar>
          </w:tcPr>
          <w:p>
            <w:pPr>
              <w:spacing w:after="0" w:line="228" w:lineRule="auto"/>
              <w:jc w:val="center"/>
            </w:pPr>
            <w:r>
              <w:rPr>
                <w:rFonts w:ascii="Calibri" w:hAnsi="Calibri" w:eastAsia="Arial Unicode MS" w:cs="Arial Unicode MS"/>
                <w:b/>
                <w:color w:val="1F2933"/>
                <w:sz w:val="14"/>
              </w:rPr>
              <w:t>15</w:t>
            </w:r>
          </w:p>
        </w:tc>
        <w:tc>
          <w:tcPr>
            <w:tcW w:type="dxa" w:w="1770"/>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商业化</w:t>
            </w:r>
          </w:p>
        </w:tc>
        <w:tc>
          <w:tcPr>
            <w:tcW w:type="dxa" w:w="4590"/>
            <w:tcMar>
              <w:top w:w="35" w:type="dxa"/>
              <w:start w:w="80" w:type="dxa"/>
              <w:bottom w:w="35" w:type="dxa"/>
              <w:end w:w="80" w:type="dxa"/>
            </w:tcMar>
          </w:tcPr>
          <w:p>
            <w:pPr>
              <w:spacing w:after="0" w:line="228" w:lineRule="auto"/>
              <w:jc w:val="left"/>
            </w:pPr>
            <w:r>
              <w:rPr>
                <w:rFonts w:ascii="Calibri" w:hAnsi="Calibri" w:eastAsia="Arial Unicode MS" w:cs="Arial Unicode MS"/>
                <w:b w:val="0"/>
                <w:color w:val="1F2933"/>
                <w:sz w:val="14"/>
              </w:rPr>
              <w:t>高毛利、预付款与复购验证商业质量</w:t>
            </w:r>
          </w:p>
        </w:tc>
        <w:tc>
          <w:tcPr>
            <w:tcW w:type="dxa" w:w="2100"/>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A / A/B / B</w:t>
            </w:r>
          </w:p>
        </w:tc>
      </w:tr>
      <w:tr>
        <w:tc>
          <w:tcPr>
            <w:tcW w:type="dxa" w:w="90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color w:val="1F2933"/>
                <w:sz w:val="14"/>
              </w:rPr>
              <w:t>16</w:t>
            </w:r>
          </w:p>
        </w:tc>
        <w:tc>
          <w:tcPr>
            <w:tcW w:type="dxa" w:w="177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客户评价</w:t>
            </w:r>
          </w:p>
        </w:tc>
        <w:tc>
          <w:tcPr>
            <w:tcW w:type="dxa" w:w="4590"/>
            <w:shd w:fill="F2F4F7"/>
            <w:tcMar>
              <w:top w:w="35" w:type="dxa"/>
              <w:start w:w="80" w:type="dxa"/>
              <w:bottom w:w="35" w:type="dxa"/>
              <w:end w:w="80" w:type="dxa"/>
            </w:tcMar>
          </w:tcPr>
          <w:p>
            <w:pPr>
              <w:spacing w:after="0" w:line="228" w:lineRule="auto"/>
              <w:jc w:val="left"/>
            </w:pPr>
            <w:r>
              <w:rPr>
                <w:rFonts w:ascii="Calibri" w:hAnsi="Calibri" w:eastAsia="Arial Unicode MS" w:cs="Arial Unicode MS"/>
                <w:b w:val="0"/>
                <w:color w:val="1F2933"/>
                <w:sz w:val="14"/>
              </w:rPr>
              <w:t>普罗宇宙验证触觉与异构数据</w:t>
            </w:r>
          </w:p>
        </w:tc>
        <w:tc>
          <w:tcPr>
            <w:tcW w:type="dxa" w:w="210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A</w:t>
            </w:r>
          </w:p>
        </w:tc>
      </w:tr>
      <w:tr>
        <w:tc>
          <w:tcPr>
            <w:tcW w:type="dxa" w:w="900"/>
            <w:tcMar>
              <w:top w:w="35" w:type="dxa"/>
              <w:start w:w="80" w:type="dxa"/>
              <w:bottom w:w="35" w:type="dxa"/>
              <w:end w:w="80" w:type="dxa"/>
            </w:tcMar>
          </w:tcPr>
          <w:p>
            <w:pPr>
              <w:spacing w:after="0" w:line="228" w:lineRule="auto"/>
              <w:jc w:val="center"/>
            </w:pPr>
            <w:r>
              <w:rPr>
                <w:rFonts w:ascii="Calibri" w:hAnsi="Calibri" w:eastAsia="Arial Unicode MS" w:cs="Arial Unicode MS"/>
                <w:b/>
                <w:color w:val="1F2933"/>
                <w:sz w:val="14"/>
              </w:rPr>
              <w:t>17</w:t>
            </w:r>
          </w:p>
        </w:tc>
        <w:tc>
          <w:tcPr>
            <w:tcW w:type="dxa" w:w="1770"/>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客户评价</w:t>
            </w:r>
          </w:p>
        </w:tc>
        <w:tc>
          <w:tcPr>
            <w:tcW w:type="dxa" w:w="4590"/>
            <w:tcMar>
              <w:top w:w="35" w:type="dxa"/>
              <w:start w:w="80" w:type="dxa"/>
              <w:bottom w:w="35" w:type="dxa"/>
              <w:end w:w="80" w:type="dxa"/>
            </w:tcMar>
          </w:tcPr>
          <w:p>
            <w:pPr>
              <w:spacing w:after="0" w:line="228" w:lineRule="auto"/>
              <w:jc w:val="left"/>
            </w:pPr>
            <w:r>
              <w:rPr>
                <w:rFonts w:ascii="Calibri" w:hAnsi="Calibri" w:eastAsia="Arial Unicode MS" w:cs="Arial Unicode MS"/>
                <w:b w:val="0"/>
                <w:color w:val="1F2933"/>
                <w:sz w:val="14"/>
              </w:rPr>
              <w:t>行之途验证真实问题解决能力</w:t>
            </w:r>
          </w:p>
        </w:tc>
        <w:tc>
          <w:tcPr>
            <w:tcW w:type="dxa" w:w="2100"/>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A</w:t>
            </w:r>
          </w:p>
        </w:tc>
      </w:tr>
      <w:tr>
        <w:tc>
          <w:tcPr>
            <w:tcW w:type="dxa" w:w="90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color w:val="1F2933"/>
                <w:sz w:val="14"/>
              </w:rPr>
              <w:t>18</w:t>
            </w:r>
          </w:p>
        </w:tc>
        <w:tc>
          <w:tcPr>
            <w:tcW w:type="dxa" w:w="177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财务与订单</w:t>
            </w:r>
          </w:p>
        </w:tc>
        <w:tc>
          <w:tcPr>
            <w:tcW w:type="dxa" w:w="4590"/>
            <w:shd w:fill="F2F4F7"/>
            <w:tcMar>
              <w:top w:w="35" w:type="dxa"/>
              <w:start w:w="80" w:type="dxa"/>
              <w:bottom w:w="35" w:type="dxa"/>
              <w:end w:w="80" w:type="dxa"/>
            </w:tcMar>
          </w:tcPr>
          <w:p>
            <w:pPr>
              <w:spacing w:after="0" w:line="228" w:lineRule="auto"/>
              <w:jc w:val="left"/>
            </w:pPr>
            <w:r>
              <w:rPr>
                <w:rFonts w:ascii="Calibri" w:hAnsi="Calibri" w:eastAsia="Arial Unicode MS" w:cs="Arial Unicode MS"/>
                <w:b w:val="0"/>
                <w:color w:val="1F2933"/>
                <w:sz w:val="14"/>
              </w:rPr>
              <w:t>首年千万元收入、高毛利与盈利</w:t>
            </w:r>
          </w:p>
        </w:tc>
        <w:tc>
          <w:tcPr>
            <w:tcW w:type="dxa" w:w="210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A</w:t>
            </w:r>
          </w:p>
        </w:tc>
      </w:tr>
      <w:tr>
        <w:tc>
          <w:tcPr>
            <w:tcW w:type="dxa" w:w="900"/>
            <w:tcMar>
              <w:top w:w="35" w:type="dxa"/>
              <w:start w:w="80" w:type="dxa"/>
              <w:bottom w:w="35" w:type="dxa"/>
              <w:end w:w="80" w:type="dxa"/>
            </w:tcMar>
          </w:tcPr>
          <w:p>
            <w:pPr>
              <w:spacing w:after="0" w:line="228" w:lineRule="auto"/>
              <w:jc w:val="center"/>
            </w:pPr>
            <w:r>
              <w:rPr>
                <w:rFonts w:ascii="Calibri" w:hAnsi="Calibri" w:eastAsia="Arial Unicode MS" w:cs="Arial Unicode MS"/>
                <w:b/>
                <w:color w:val="1F2933"/>
                <w:sz w:val="14"/>
              </w:rPr>
              <w:t>19</w:t>
            </w:r>
          </w:p>
        </w:tc>
        <w:tc>
          <w:tcPr>
            <w:tcW w:type="dxa" w:w="1770"/>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财务与订单</w:t>
            </w:r>
          </w:p>
        </w:tc>
        <w:tc>
          <w:tcPr>
            <w:tcW w:type="dxa" w:w="4590"/>
            <w:tcMar>
              <w:top w:w="35" w:type="dxa"/>
              <w:start w:w="80" w:type="dxa"/>
              <w:bottom w:w="35" w:type="dxa"/>
              <w:end w:w="80" w:type="dxa"/>
            </w:tcMar>
          </w:tcPr>
          <w:p>
            <w:pPr>
              <w:spacing w:after="0" w:line="228" w:lineRule="auto"/>
              <w:jc w:val="left"/>
            </w:pPr>
            <w:r>
              <w:rPr>
                <w:rFonts w:ascii="Calibri" w:hAnsi="Calibri" w:eastAsia="Arial Unicode MS" w:cs="Arial Unicode MS"/>
                <w:b w:val="0"/>
                <w:color w:val="1F2933"/>
                <w:sz w:val="14"/>
              </w:rPr>
              <w:t>三条收入线支撑4,000万元目标</w:t>
            </w:r>
          </w:p>
        </w:tc>
        <w:tc>
          <w:tcPr>
            <w:tcW w:type="dxa" w:w="2100"/>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B</w:t>
            </w:r>
          </w:p>
        </w:tc>
      </w:tr>
      <w:tr>
        <w:tc>
          <w:tcPr>
            <w:tcW w:type="dxa" w:w="90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color w:val="1F2933"/>
                <w:sz w:val="14"/>
              </w:rPr>
              <w:t>20</w:t>
            </w:r>
          </w:p>
        </w:tc>
        <w:tc>
          <w:tcPr>
            <w:tcW w:type="dxa" w:w="177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财务与订单</w:t>
            </w:r>
          </w:p>
        </w:tc>
        <w:tc>
          <w:tcPr>
            <w:tcW w:type="dxa" w:w="4590"/>
            <w:shd w:fill="F2F4F7"/>
            <w:tcMar>
              <w:top w:w="35" w:type="dxa"/>
              <w:start w:w="80" w:type="dxa"/>
              <w:bottom w:w="35" w:type="dxa"/>
              <w:end w:w="80" w:type="dxa"/>
            </w:tcMar>
          </w:tcPr>
          <w:p>
            <w:pPr>
              <w:spacing w:after="0" w:line="228" w:lineRule="auto"/>
              <w:jc w:val="left"/>
            </w:pPr>
            <w:r>
              <w:rPr>
                <w:rFonts w:ascii="Calibri" w:hAnsi="Calibri" w:eastAsia="Arial Unicode MS" w:cs="Arial Unicode MS"/>
                <w:b w:val="0"/>
                <w:color w:val="1F2933"/>
                <w:sz w:val="14"/>
              </w:rPr>
              <w:t>复购+近500套意向构成在手储备</w:t>
            </w:r>
          </w:p>
        </w:tc>
        <w:tc>
          <w:tcPr>
            <w:tcW w:type="dxa" w:w="210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A / B/C</w:t>
            </w:r>
          </w:p>
        </w:tc>
      </w:tr>
      <w:tr>
        <w:tc>
          <w:tcPr>
            <w:tcW w:type="dxa" w:w="900"/>
            <w:tcMar>
              <w:top w:w="35" w:type="dxa"/>
              <w:start w:w="80" w:type="dxa"/>
              <w:bottom w:w="35" w:type="dxa"/>
              <w:end w:w="80" w:type="dxa"/>
            </w:tcMar>
          </w:tcPr>
          <w:p>
            <w:pPr>
              <w:spacing w:after="0" w:line="228" w:lineRule="auto"/>
              <w:jc w:val="center"/>
            </w:pPr>
            <w:r>
              <w:rPr>
                <w:rFonts w:ascii="Calibri" w:hAnsi="Calibri" w:eastAsia="Arial Unicode MS" w:cs="Arial Unicode MS"/>
                <w:b/>
                <w:color w:val="1F2933"/>
                <w:sz w:val="14"/>
              </w:rPr>
              <w:t>21</w:t>
            </w:r>
          </w:p>
        </w:tc>
        <w:tc>
          <w:tcPr>
            <w:tcW w:type="dxa" w:w="1770"/>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投资方案</w:t>
            </w:r>
          </w:p>
        </w:tc>
        <w:tc>
          <w:tcPr>
            <w:tcW w:type="dxa" w:w="4590"/>
            <w:tcMar>
              <w:top w:w="35" w:type="dxa"/>
              <w:start w:w="80" w:type="dxa"/>
              <w:bottom w:w="35" w:type="dxa"/>
              <w:end w:w="80" w:type="dxa"/>
            </w:tcMar>
          </w:tcPr>
          <w:p>
            <w:pPr>
              <w:spacing w:after="0" w:line="228" w:lineRule="auto"/>
              <w:jc w:val="left"/>
            </w:pPr>
            <w:r>
              <w:rPr>
                <w:rFonts w:ascii="Calibri" w:hAnsi="Calibri" w:eastAsia="Arial Unicode MS" w:cs="Arial Unicode MS"/>
                <w:b w:val="0"/>
                <w:color w:val="1F2933"/>
                <w:sz w:val="14"/>
              </w:rPr>
              <w:t>领投2,500万元、初始持股5%</w:t>
            </w:r>
          </w:p>
        </w:tc>
        <w:tc>
          <w:tcPr>
            <w:tcW w:type="dxa" w:w="2100"/>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A</w:t>
            </w:r>
          </w:p>
        </w:tc>
      </w:tr>
      <w:tr>
        <w:tc>
          <w:tcPr>
            <w:tcW w:type="dxa" w:w="90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color w:val="1F2933"/>
                <w:sz w:val="14"/>
              </w:rPr>
              <w:t>22</w:t>
            </w:r>
          </w:p>
        </w:tc>
        <w:tc>
          <w:tcPr>
            <w:tcW w:type="dxa" w:w="177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投资方案</w:t>
            </w:r>
          </w:p>
        </w:tc>
        <w:tc>
          <w:tcPr>
            <w:tcW w:type="dxa" w:w="4590"/>
            <w:shd w:fill="F2F4F7"/>
            <w:tcMar>
              <w:top w:w="35" w:type="dxa"/>
              <w:start w:w="80" w:type="dxa"/>
              <w:bottom w:w="35" w:type="dxa"/>
              <w:end w:w="80" w:type="dxa"/>
            </w:tcMar>
          </w:tcPr>
          <w:p>
            <w:pPr>
              <w:spacing w:after="0" w:line="228" w:lineRule="auto"/>
              <w:jc w:val="left"/>
            </w:pPr>
            <w:r>
              <w:rPr>
                <w:rFonts w:ascii="Calibri" w:hAnsi="Calibri" w:eastAsia="Arial Unicode MS" w:cs="Arial Unicode MS"/>
                <w:b w:val="0"/>
                <w:color w:val="1F2933"/>
                <w:sz w:val="14"/>
              </w:rPr>
              <w:t>收入锚定估值并形成利益一致</w:t>
            </w:r>
          </w:p>
        </w:tc>
        <w:tc>
          <w:tcPr>
            <w:tcW w:type="dxa" w:w="2100"/>
            <w:shd w:fill="F2F4F7"/>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A</w:t>
            </w:r>
          </w:p>
        </w:tc>
      </w:tr>
      <w:tr>
        <w:tc>
          <w:tcPr>
            <w:tcW w:type="dxa" w:w="900"/>
            <w:tcMar>
              <w:top w:w="35" w:type="dxa"/>
              <w:start w:w="80" w:type="dxa"/>
              <w:bottom w:w="35" w:type="dxa"/>
              <w:end w:w="80" w:type="dxa"/>
            </w:tcMar>
          </w:tcPr>
          <w:p>
            <w:pPr>
              <w:spacing w:after="0" w:line="228" w:lineRule="auto"/>
              <w:jc w:val="center"/>
            </w:pPr>
            <w:r>
              <w:rPr>
                <w:rFonts w:ascii="Calibri" w:hAnsi="Calibri" w:eastAsia="Arial Unicode MS" w:cs="Arial Unicode MS"/>
                <w:b/>
                <w:color w:val="1F2933"/>
                <w:sz w:val="14"/>
              </w:rPr>
              <w:t>23</w:t>
            </w:r>
          </w:p>
        </w:tc>
        <w:tc>
          <w:tcPr>
            <w:tcW w:type="dxa" w:w="1770"/>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风险与决策</w:t>
            </w:r>
          </w:p>
        </w:tc>
        <w:tc>
          <w:tcPr>
            <w:tcW w:type="dxa" w:w="4590"/>
            <w:tcMar>
              <w:top w:w="35" w:type="dxa"/>
              <w:start w:w="80" w:type="dxa"/>
              <w:bottom w:w="35" w:type="dxa"/>
              <w:end w:w="80" w:type="dxa"/>
            </w:tcMar>
          </w:tcPr>
          <w:p>
            <w:pPr>
              <w:spacing w:after="0" w:line="228" w:lineRule="auto"/>
              <w:jc w:val="left"/>
            </w:pPr>
            <w:r>
              <w:rPr>
                <w:rFonts w:ascii="Calibri" w:hAnsi="Calibri" w:eastAsia="Arial Unicode MS" w:cs="Arial Unicode MS"/>
                <w:b w:val="0"/>
                <w:color w:val="1F2933"/>
                <w:sz w:val="14"/>
              </w:rPr>
              <w:t>建议以里程碑治理支持放量</w:t>
            </w:r>
          </w:p>
        </w:tc>
        <w:tc>
          <w:tcPr>
            <w:tcW w:type="dxa" w:w="2100"/>
            <w:tcMar>
              <w:top w:w="35" w:type="dxa"/>
              <w:start w:w="80" w:type="dxa"/>
              <w:bottom w:w="35" w:type="dxa"/>
              <w:end w:w="80" w:type="dxa"/>
            </w:tcMar>
          </w:tcPr>
          <w:p>
            <w:pPr>
              <w:spacing w:after="0" w:line="228" w:lineRule="auto"/>
              <w:jc w:val="center"/>
            </w:pPr>
            <w:r>
              <w:rPr>
                <w:rFonts w:ascii="Calibri" w:hAnsi="Calibri" w:eastAsia="Arial Unicode MS" w:cs="Arial Unicode MS"/>
                <w:b w:val="0"/>
                <w:color w:val="1F2933"/>
                <w:sz w:val="14"/>
              </w:rPr>
              <w:t>A / B/C</w:t>
            </w:r>
          </w:p>
        </w:tc>
      </w:tr>
    </w:tbl>
    <w:p>
      <w:r>
        <w:br w:type="page"/>
      </w:r>
    </w:p>
    <w:p>
      <w:pPr>
        <w:keepNext/>
        <w:spacing w:before="0" w:after="100" w:line="288" w:lineRule="auto"/>
        <w:jc w:val="left"/>
      </w:pPr>
      <w:r>
        <w:rPr>
          <w:rFonts w:ascii="Calibri" w:hAnsi="Calibri" w:eastAsia="Arial Unicode MS" w:cs="Arial Unicode MS"/>
          <w:b/>
          <w:i w:val="0"/>
          <w:color w:val="007F73"/>
          <w:sz w:val="19"/>
        </w:rPr>
        <w:t>第 01 页  |  投资结论</w:t>
      </w:r>
    </w:p>
    <w:p>
      <w:pPr>
        <w:pStyle w:val="Heading1"/>
        <w:keepNext/>
      </w:pPr>
      <w:r>
        <w:t>建议投资：大衍以权威触觉团队和全链路数据能力，卡位具身智能最稀缺的基础设施</w:t>
      </w:r>
    </w:p>
    <w:p>
      <w:pPr>
        <w:spacing w:before="60" w:after="120" w:line="278" w:lineRule="auto"/>
        <w:ind w:left="173" w:right="173"/>
        <w:shd w:fill="E8F4F1"/>
      </w:pPr>
      <w:r>
        <w:rPr>
          <w:rFonts w:ascii="Calibri" w:hAnsi="Calibri" w:eastAsia="Arial Unicode MS" w:cs="Arial Unicode MS"/>
          <w:b/>
          <w:color w:val="007F73"/>
          <w:sz w:val="20"/>
        </w:rPr>
        <w:t xml:space="preserve">核心观点  </w:t>
      </w:r>
      <w:r>
        <w:rPr>
          <w:rFonts w:ascii="Calibri" w:hAnsi="Calibri" w:eastAsia="Arial Unicode MS" w:cs="Arial Unicode MS"/>
          <w:b/>
          <w:color w:val="183247"/>
          <w:sz w:val="20"/>
        </w:rPr>
        <w:t>机器人进入真实作业后，行业同时需要更大规模的数据、更高质量的数据加工和更完整的触觉感知；大衍在团队、触觉、数据三条主线上形成少见的闭环能力，并已获得收入、复购和客户效果验证。</w:t>
      </w:r>
    </w:p>
    <w:p>
      <w:pPr>
        <w:keepNext/>
        <w:spacing w:before="100" w:after="60"/>
      </w:pPr>
      <w:r>
        <w:rPr>
          <w:rFonts w:ascii="Calibri" w:hAnsi="Calibri" w:eastAsia="Arial Unicode MS" w:cs="Arial Unicode MS"/>
          <w:b/>
          <w:color w:val="007F73"/>
          <w:sz w:val="20"/>
        </w:rPr>
        <w:t>主要支撑信息</w:t>
      </w:r>
    </w:p>
    <w:p>
      <w:pPr>
        <w:pStyle w:val="ListBullet"/>
        <w:spacing w:before="0" w:after="70" w:line="271" w:lineRule="auto"/>
        <w:ind w:left="540" w:hanging="271"/>
      </w:pPr>
      <w:r>
        <w:rPr>
          <w:rFonts w:ascii="Calibri" w:hAnsi="Calibri" w:eastAsia="Arial Unicode MS" w:cs="Arial Unicode MS"/>
          <w:color w:val="1F2933"/>
          <w:sz w:val="19"/>
        </w:rPr>
        <w:t>赛道逻辑：机器人从演示走向真实作业，触觉、数据、仿真和评测成为跨本体、跨场景的共性基础设施。</w:t>
      </w:r>
    </w:p>
    <w:p>
      <w:pPr>
        <w:pStyle w:val="ListBullet"/>
        <w:spacing w:before="0" w:after="70" w:line="271" w:lineRule="auto"/>
        <w:ind w:left="540" w:hanging="271"/>
      </w:pPr>
      <w:r>
        <w:rPr>
          <w:rFonts w:ascii="Calibri" w:hAnsi="Calibri" w:eastAsia="Arial Unicode MS" w:cs="Arial Unicode MS"/>
          <w:color w:val="1F2933"/>
          <w:sz w:val="19"/>
        </w:rPr>
        <w:t>稀缺逻辑：市场供给多集中于单一传感器、采集劳务或仿真环节，兼具触觉硬件、数据加工、训练场与模型能力的团队稀缺。</w:t>
      </w:r>
    </w:p>
    <w:p>
      <w:pPr>
        <w:pStyle w:val="ListBullet"/>
        <w:spacing w:before="0" w:after="70" w:line="271" w:lineRule="auto"/>
        <w:ind w:left="540" w:hanging="271"/>
      </w:pPr>
      <w:r>
        <w:rPr>
          <w:rFonts w:ascii="Calibri" w:hAnsi="Calibri" w:eastAsia="Arial Unicode MS" w:cs="Arial Unicode MS"/>
          <w:color w:val="1F2933"/>
          <w:sz w:val="19"/>
        </w:rPr>
        <w:t>公司逻辑：短期以真实异构数据与触觉手套形成现金流，中期以合成数据和虚拟训练场形成规模化弹性，长期沉淀触觉模型与数据资产。</w:t>
      </w:r>
    </w:p>
    <w:p>
      <w:pPr>
        <w:pStyle w:val="ListBullet"/>
        <w:spacing w:before="0" w:after="70" w:line="271" w:lineRule="auto"/>
        <w:ind w:left="540" w:hanging="271"/>
      </w:pPr>
      <w:r>
        <w:rPr>
          <w:rFonts w:ascii="Calibri" w:hAnsi="Calibri" w:eastAsia="Arial Unicode MS" w:cs="Arial Unicode MS"/>
          <w:color w:val="1F2933"/>
          <w:sz w:val="19"/>
        </w:rPr>
        <w:t>验证逻辑：2025年财务报表显示营收1,302.83万元、毛利率61.7%；普罗宇宙与行之途均将大衍列为当前唯一核心数据供应商并明确复购。</w:t>
      </w:r>
    </w:p>
    <w:p>
      <w:pPr>
        <w:pStyle w:val="ListBullet"/>
        <w:spacing w:before="0" w:after="70" w:line="271" w:lineRule="auto"/>
        <w:ind w:left="540" w:hanging="271"/>
      </w:pPr>
      <w:r>
        <w:rPr>
          <w:rFonts w:ascii="Calibri" w:hAnsi="Calibri" w:eastAsia="Arial Unicode MS" w:cs="Arial Unicode MS"/>
          <w:color w:val="1F2933"/>
          <w:sz w:val="19"/>
        </w:rPr>
        <w:t>团队逻辑：萨迪克院士的全球触觉研究积累、董海巍的工程化能力、杨林的算法与创业执行形成互补。</w:t>
      </w:r>
    </w:p>
    <w:p>
      <w:pPr>
        <w:keepNext/>
        <w:spacing w:before="100" w:after="60"/>
      </w:pPr>
      <w:r>
        <w:rPr>
          <w:rFonts w:ascii="Calibri" w:hAnsi="Calibri" w:eastAsia="Arial Unicode MS" w:cs="Arial Unicode MS"/>
          <w:b/>
          <w:color w:val="007F73"/>
          <w:sz w:val="20"/>
        </w:rPr>
        <w:t>建议图表与版式</w:t>
      </w:r>
    </w:p>
    <w:p>
      <w:pPr>
        <w:pStyle w:val="ListBullet"/>
        <w:spacing w:before="0" w:after="60" w:line="271" w:lineRule="auto"/>
        <w:ind w:left="540" w:hanging="271"/>
      </w:pPr>
      <w:r>
        <w:rPr>
          <w:rFonts w:ascii="Calibri" w:hAnsi="Calibri" w:eastAsia="Arial Unicode MS" w:cs="Arial Unicode MS"/>
          <w:color w:val="183247"/>
          <w:sz w:val="19"/>
        </w:rPr>
        <w:t>采用“一句话结论+三根竞争力支柱+商业验证”的左文右图结构。</w:t>
      </w:r>
    </w:p>
    <w:p>
      <w:pPr>
        <w:pStyle w:val="ListBullet"/>
        <w:spacing w:before="0" w:after="60" w:line="271" w:lineRule="auto"/>
        <w:ind w:left="540" w:hanging="271"/>
      </w:pPr>
      <w:r>
        <w:rPr>
          <w:rFonts w:ascii="Calibri" w:hAnsi="Calibri" w:eastAsia="Arial Unicode MS" w:cs="Arial Unicode MS"/>
          <w:color w:val="183247"/>
          <w:sz w:val="19"/>
        </w:rPr>
        <w:t>右侧画三根支柱：权威触觉团队、全链路触觉能力、海量数据加工能力；底部用客户复购和收入指标形成验证底座。</w:t>
      </w:r>
    </w:p>
    <w:p>
      <w:pPr>
        <w:keepNext/>
        <w:spacing w:before="100" w:after="60"/>
      </w:pPr>
      <w:r>
        <w:rPr>
          <w:rFonts w:ascii="Calibri" w:hAnsi="Calibri" w:eastAsia="Arial Unicode MS" w:cs="Arial Unicode MS"/>
          <w:b/>
          <w:color w:val="007F73"/>
          <w:sz w:val="20"/>
        </w:rPr>
        <w:t>关键证据与口径</w:t>
      </w:r>
    </w:p>
    <w:tbl>
      <w:tblPr>
        <w:tblStyle w:val="TableGrid"/>
        <w:tblW w:type="dxa" w:w="9360"/>
        <w:jc w:val="left"/>
        <w:tblLayout w:type="fixed"/>
        <w:tblLook w:firstColumn="1" w:firstRow="1" w:lastColumn="0" w:lastRow="0" w:noHBand="0" w:noVBand="1" w:val="04A0"/>
        <w:tblInd w:w="120" w:type="dxa"/>
      </w:tblPr>
      <w:tblGrid>
        <w:gridCol w:w="3150"/>
        <w:gridCol w:w="4380"/>
        <w:gridCol w:w="1830"/>
      </w:tblGrid>
      <w:tr>
        <w:trPr>
          <w:tblHeader w:val="true"/>
        </w:trPr>
        <w:tc>
          <w:tcPr>
            <w:tcW w:type="dxa" w:w="315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关键证据</w:t>
            </w:r>
          </w:p>
        </w:tc>
        <w:tc>
          <w:tcPr>
            <w:tcW w:type="dxa" w:w="438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建议呈现</w:t>
            </w:r>
          </w:p>
        </w:tc>
        <w:tc>
          <w:tcPr>
            <w:tcW w:type="dxa" w:w="183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来源等级</w:t>
            </w:r>
          </w:p>
        </w:tc>
      </w:tr>
      <w:tr>
        <w:tc>
          <w:tcPr>
            <w:tcW w:type="dxa" w:w="3150"/>
          </w:tcPr>
          <w:p>
            <w:pPr>
              <w:spacing w:before="0" w:after="0" w:line="269" w:lineRule="auto"/>
              <w:jc w:val="left"/>
            </w:pPr>
            <w:r>
              <w:rPr>
                <w:rFonts w:ascii="Calibri" w:hAnsi="Calibri" w:eastAsia="Arial Unicode MS" w:cs="Arial Unicode MS"/>
                <w:b w:val="0"/>
                <w:color w:val="1F2933"/>
                <w:sz w:val="17"/>
              </w:rPr>
              <w:t>2025年营收1,302.83万元、毛利率61.7%</w:t>
            </w:r>
          </w:p>
        </w:tc>
        <w:tc>
          <w:tcPr>
            <w:tcW w:type="dxa" w:w="4380"/>
          </w:tcPr>
          <w:p>
            <w:pPr>
              <w:spacing w:before="0" w:after="0" w:line="269" w:lineRule="auto"/>
              <w:jc w:val="left"/>
            </w:pPr>
            <w:r>
              <w:rPr>
                <w:rFonts w:ascii="Calibri" w:hAnsi="Calibri" w:eastAsia="Arial Unicode MS" w:cs="Arial Unicode MS"/>
                <w:b w:val="0"/>
                <w:color w:val="1F2933"/>
                <w:sz w:val="17"/>
              </w:rPr>
              <w:t>用双指标替代大段经营描述</w:t>
            </w:r>
          </w:p>
        </w:tc>
        <w:tc>
          <w:tcPr>
            <w:tcW w:type="dxa" w:w="1830"/>
          </w:tcPr>
          <w:p>
            <w:pPr>
              <w:spacing w:before="0" w:after="0" w:line="269" w:lineRule="auto"/>
              <w:jc w:val="center"/>
            </w:pPr>
            <w:r>
              <w:rPr>
                <w:rFonts w:ascii="Calibri" w:hAnsi="Calibri" w:eastAsia="Arial Unicode MS" w:cs="Arial Unicode MS"/>
                <w:b/>
                <w:color w:val="1F2933"/>
                <w:sz w:val="18"/>
              </w:rPr>
              <w:t>A｜财务报表</w:t>
            </w:r>
          </w:p>
        </w:tc>
      </w:tr>
      <w:tr>
        <w:tc>
          <w:tcPr>
            <w:tcW w:type="dxa" w:w="3150"/>
            <w:shd w:fill="F2F4F7"/>
          </w:tcPr>
          <w:p>
            <w:pPr>
              <w:spacing w:before="0" w:after="0" w:line="269" w:lineRule="auto"/>
              <w:jc w:val="left"/>
            </w:pPr>
            <w:r>
              <w:rPr>
                <w:rFonts w:ascii="Calibri" w:hAnsi="Calibri" w:eastAsia="Arial Unicode MS" w:cs="Arial Unicode MS"/>
                <w:b w:val="0"/>
                <w:color w:val="1F2933"/>
                <w:sz w:val="17"/>
              </w:rPr>
              <w:t>两家客户均明确复购，且当前均以大衍为唯一核心供应商</w:t>
            </w:r>
          </w:p>
        </w:tc>
        <w:tc>
          <w:tcPr>
            <w:tcW w:type="dxa" w:w="4380"/>
            <w:shd w:fill="F2F4F7"/>
          </w:tcPr>
          <w:p>
            <w:pPr>
              <w:spacing w:before="0" w:after="0" w:line="269" w:lineRule="auto"/>
              <w:jc w:val="left"/>
            </w:pPr>
            <w:r>
              <w:rPr>
                <w:rFonts w:ascii="Calibri" w:hAnsi="Calibri" w:eastAsia="Arial Unicode MS" w:cs="Arial Unicode MS"/>
                <w:b w:val="0"/>
                <w:color w:val="1F2933"/>
                <w:sz w:val="17"/>
              </w:rPr>
              <w:t>用两枚客户验证印章呈现</w:t>
            </w:r>
          </w:p>
        </w:tc>
        <w:tc>
          <w:tcPr>
            <w:tcW w:type="dxa" w:w="1830"/>
            <w:shd w:fill="F2F4F7"/>
          </w:tcPr>
          <w:p>
            <w:pPr>
              <w:spacing w:before="0" w:after="0" w:line="269" w:lineRule="auto"/>
              <w:jc w:val="center"/>
            </w:pPr>
            <w:r>
              <w:rPr>
                <w:rFonts w:ascii="Calibri" w:hAnsi="Calibri" w:eastAsia="Arial Unicode MS" w:cs="Arial Unicode MS"/>
                <w:b/>
                <w:color w:val="1F2933"/>
                <w:sz w:val="18"/>
              </w:rPr>
              <w:t>A｜客户访谈</w:t>
            </w:r>
          </w:p>
        </w:tc>
      </w:tr>
      <w:tr>
        <w:tc>
          <w:tcPr>
            <w:tcW w:type="dxa" w:w="3150"/>
          </w:tcPr>
          <w:p>
            <w:pPr>
              <w:spacing w:before="0" w:after="0" w:line="269" w:lineRule="auto"/>
              <w:jc w:val="left"/>
            </w:pPr>
            <w:r>
              <w:rPr>
                <w:rFonts w:ascii="Calibri" w:hAnsi="Calibri" w:eastAsia="Arial Unicode MS" w:cs="Arial Unicode MS"/>
                <w:b w:val="0"/>
                <w:color w:val="1F2933"/>
                <w:sz w:val="17"/>
              </w:rPr>
              <w:t>投资2,500万元；初始5.0%，业绩调整后最高8.3333%</w:t>
            </w:r>
          </w:p>
        </w:tc>
        <w:tc>
          <w:tcPr>
            <w:tcW w:type="dxa" w:w="4380"/>
          </w:tcPr>
          <w:p>
            <w:pPr>
              <w:spacing w:before="0" w:after="0" w:line="269" w:lineRule="auto"/>
              <w:jc w:val="left"/>
            </w:pPr>
            <w:r>
              <w:rPr>
                <w:rFonts w:ascii="Calibri" w:hAnsi="Calibri" w:eastAsia="Arial Unicode MS" w:cs="Arial Unicode MS"/>
                <w:b w:val="0"/>
                <w:color w:val="1F2933"/>
                <w:sz w:val="17"/>
              </w:rPr>
              <w:t>用三档股权阶梯图呈现</w:t>
            </w:r>
          </w:p>
        </w:tc>
        <w:tc>
          <w:tcPr>
            <w:tcW w:type="dxa" w:w="1830"/>
          </w:tcPr>
          <w:p>
            <w:pPr>
              <w:spacing w:before="0" w:after="0" w:line="269" w:lineRule="auto"/>
              <w:jc w:val="center"/>
            </w:pPr>
            <w:r>
              <w:rPr>
                <w:rFonts w:ascii="Calibri" w:hAnsi="Calibri" w:eastAsia="Arial Unicode MS" w:cs="Arial Unicode MS"/>
                <w:b/>
                <w:color w:val="1F2933"/>
                <w:sz w:val="18"/>
              </w:rPr>
              <w:t>A｜交易条款</w:t>
            </w:r>
          </w:p>
        </w:tc>
      </w:tr>
    </w:tbl>
    <w:p>
      <w:pPr>
        <w:keepLines/>
        <w:spacing w:before="120" w:after="0" w:line="288" w:lineRule="auto"/>
        <w:jc w:val="left"/>
      </w:pPr>
      <w:r>
        <w:rPr>
          <w:rFonts w:ascii="Calibri" w:hAnsi="Calibri" w:eastAsia="Arial Unicode MS" w:cs="Arial Unicode MS"/>
          <w:b w:val="0"/>
          <w:i/>
          <w:color w:val="64748B"/>
          <w:sz w:val="18"/>
        </w:rPr>
        <w:t>讲述衔接：先证明机器人产业正在创造真实需求，再说明触觉和数据为何成为新的基础设施市场。</w:t>
      </w:r>
    </w:p>
    <w:p>
      <w:r>
        <w:br w:type="page"/>
      </w:r>
    </w:p>
    <w:p>
      <w:pPr>
        <w:keepNext/>
        <w:spacing w:before="0" w:after="100" w:line="288" w:lineRule="auto"/>
        <w:jc w:val="left"/>
      </w:pPr>
      <w:r>
        <w:rPr>
          <w:rFonts w:ascii="Calibri" w:hAnsi="Calibri" w:eastAsia="Arial Unicode MS" w:cs="Arial Unicode MS"/>
          <w:b/>
          <w:i w:val="0"/>
          <w:color w:val="007F73"/>
          <w:sz w:val="19"/>
        </w:rPr>
        <w:t>第 02 页  |  行业背景</w:t>
      </w:r>
    </w:p>
    <w:p>
      <w:pPr>
        <w:pStyle w:val="Heading1"/>
        <w:keepNext/>
      </w:pPr>
      <w:r>
        <w:t>机器人产业正从设备安装走向智能作业，真实场景部署成为下一阶段主线</w:t>
      </w:r>
    </w:p>
    <w:p>
      <w:pPr>
        <w:spacing w:before="60" w:after="120" w:line="278" w:lineRule="auto"/>
        <w:ind w:left="173" w:right="173"/>
        <w:shd w:fill="E8F4F1"/>
      </w:pPr>
      <w:r>
        <w:rPr>
          <w:rFonts w:ascii="Calibri" w:hAnsi="Calibri" w:eastAsia="Arial Unicode MS" w:cs="Arial Unicode MS"/>
          <w:b/>
          <w:color w:val="007F73"/>
          <w:sz w:val="20"/>
        </w:rPr>
        <w:t xml:space="preserve">核心观点  </w:t>
      </w:r>
      <w:r>
        <w:rPr>
          <w:rFonts w:ascii="Calibri" w:hAnsi="Calibri" w:eastAsia="Arial Unicode MS" w:cs="Arial Unicode MS"/>
          <w:b/>
          <w:color w:val="183247"/>
          <w:sz w:val="20"/>
        </w:rPr>
        <w:t>工业机器人存量和服务机器人销量已经形成大盘，2026年政策目标进一步转向高价值场景、真实作业与万台级落地，训练与验证需求随之上升。</w:t>
      </w:r>
    </w:p>
    <w:p>
      <w:pPr>
        <w:keepNext/>
        <w:spacing w:before="100" w:after="60"/>
      </w:pPr>
      <w:r>
        <w:rPr>
          <w:rFonts w:ascii="Calibri" w:hAnsi="Calibri" w:eastAsia="Arial Unicode MS" w:cs="Arial Unicode MS"/>
          <w:b/>
          <w:color w:val="007F73"/>
          <w:sz w:val="20"/>
        </w:rPr>
        <w:t>主要支撑信息</w:t>
      </w:r>
    </w:p>
    <w:p>
      <w:pPr>
        <w:pStyle w:val="ListBullet"/>
        <w:spacing w:before="0" w:after="70" w:line="271" w:lineRule="auto"/>
        <w:ind w:left="540" w:hanging="271"/>
      </w:pPr>
      <w:r>
        <w:rPr>
          <w:rFonts w:ascii="Calibri" w:hAnsi="Calibri" w:eastAsia="Arial Unicode MS" w:cs="Arial Unicode MS"/>
          <w:color w:val="1F2933"/>
          <w:sz w:val="19"/>
        </w:rPr>
        <w:t>IFR统计：2024年全球新增工业机器人54.2万台，连续第四年超过50万台；全球在役工业机器人466.4万台，同比增长9%。</w:t>
      </w:r>
    </w:p>
    <w:p>
      <w:pPr>
        <w:pStyle w:val="ListBullet"/>
        <w:spacing w:before="0" w:after="70" w:line="271" w:lineRule="auto"/>
        <w:ind w:left="540" w:hanging="271"/>
      </w:pPr>
      <w:r>
        <w:rPr>
          <w:rFonts w:ascii="Calibri" w:hAnsi="Calibri" w:eastAsia="Arial Unicode MS" w:cs="Arial Unicode MS"/>
          <w:color w:val="1F2933"/>
          <w:sz w:val="19"/>
        </w:rPr>
        <w:t>中国2024年新增工业机器人29.5万台，占全球54%；在役存量突破200万台，形成最大的真实工业场景基础。</w:t>
      </w:r>
    </w:p>
    <w:p>
      <w:pPr>
        <w:pStyle w:val="ListBullet"/>
        <w:spacing w:before="0" w:after="70" w:line="271" w:lineRule="auto"/>
        <w:ind w:left="540" w:hanging="271"/>
      </w:pPr>
      <w:r>
        <w:rPr>
          <w:rFonts w:ascii="Calibri" w:hAnsi="Calibri" w:eastAsia="Arial Unicode MS" w:cs="Arial Unicode MS"/>
          <w:color w:val="1F2933"/>
          <w:sz w:val="19"/>
        </w:rPr>
        <w:t>工信部、国务院国资委2026年实景实训专项行动提出：形成百个以上高价值场景，带动万台级规模落地能力。</w:t>
      </w:r>
    </w:p>
    <w:p>
      <w:pPr>
        <w:pStyle w:val="ListBullet"/>
        <w:spacing w:before="0" w:after="70" w:line="271" w:lineRule="auto"/>
        <w:ind w:left="540" w:hanging="271"/>
      </w:pPr>
      <w:r>
        <w:rPr>
          <w:rFonts w:ascii="Calibri" w:hAnsi="Calibri" w:eastAsia="Arial Unicode MS" w:cs="Arial Unicode MS"/>
          <w:color w:val="1F2933"/>
          <w:sz w:val="19"/>
        </w:rPr>
        <w:t>政策关注点已从本体展示转为成功率、效率、安全可靠性和经济可行性，数据与仿真评测从可选项变成基础条件。</w:t>
      </w:r>
    </w:p>
    <w:p>
      <w:pPr>
        <w:keepNext/>
        <w:spacing w:before="100" w:after="60"/>
      </w:pPr>
      <w:r>
        <w:rPr>
          <w:rFonts w:ascii="Calibri" w:hAnsi="Calibri" w:eastAsia="Arial Unicode MS" w:cs="Arial Unicode MS"/>
          <w:b/>
          <w:color w:val="007F73"/>
          <w:sz w:val="20"/>
        </w:rPr>
        <w:t>建议图表与版式</w:t>
      </w:r>
    </w:p>
    <w:p>
      <w:pPr>
        <w:pStyle w:val="ListBullet"/>
        <w:spacing w:before="0" w:after="60" w:line="271" w:lineRule="auto"/>
        <w:ind w:left="540" w:hanging="271"/>
      </w:pPr>
      <w:r>
        <w:rPr>
          <w:rFonts w:ascii="Calibri" w:hAnsi="Calibri" w:eastAsia="Arial Unicode MS" w:cs="Arial Unicode MS"/>
          <w:color w:val="183247"/>
          <w:sz w:val="19"/>
        </w:rPr>
        <w:t>左侧用2014-2024工业机器人安装量折线，右侧用“演示模式→作业模式”箭头和政策目标数字。</w:t>
      </w:r>
    </w:p>
    <w:p>
      <w:pPr>
        <w:pStyle w:val="ListBullet"/>
        <w:spacing w:before="0" w:after="60" w:line="271" w:lineRule="auto"/>
        <w:ind w:left="540" w:hanging="271"/>
      </w:pPr>
      <w:r>
        <w:rPr>
          <w:rFonts w:ascii="Calibri" w:hAnsi="Calibri" w:eastAsia="Arial Unicode MS" w:cs="Arial Unicode MS"/>
          <w:color w:val="183247"/>
          <w:sz w:val="19"/>
        </w:rPr>
        <w:t>避免市场规模饼图；用装机、在役存量、应用场景三个真实指标体现产业成熟度。</w:t>
      </w:r>
    </w:p>
    <w:p>
      <w:pPr>
        <w:keepNext/>
        <w:spacing w:before="100" w:after="60"/>
      </w:pPr>
      <w:r>
        <w:rPr>
          <w:rFonts w:ascii="Calibri" w:hAnsi="Calibri" w:eastAsia="Arial Unicode MS" w:cs="Arial Unicode MS"/>
          <w:b/>
          <w:color w:val="007F73"/>
          <w:sz w:val="20"/>
        </w:rPr>
        <w:t>关键证据与口径</w:t>
      </w:r>
    </w:p>
    <w:tbl>
      <w:tblPr>
        <w:tblStyle w:val="TableGrid"/>
        <w:tblW w:type="dxa" w:w="9360"/>
        <w:jc w:val="left"/>
        <w:tblLayout w:type="fixed"/>
        <w:tblLook w:firstColumn="1" w:firstRow="1" w:lastColumn="0" w:lastRow="0" w:noHBand="0" w:noVBand="1" w:val="04A0"/>
        <w:tblInd w:w="120" w:type="dxa"/>
      </w:tblPr>
      <w:tblGrid>
        <w:gridCol w:w="3150"/>
        <w:gridCol w:w="4380"/>
        <w:gridCol w:w="1830"/>
      </w:tblGrid>
      <w:tr>
        <w:trPr>
          <w:tblHeader w:val="true"/>
        </w:trPr>
        <w:tc>
          <w:tcPr>
            <w:tcW w:type="dxa" w:w="315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关键证据</w:t>
            </w:r>
          </w:p>
        </w:tc>
        <w:tc>
          <w:tcPr>
            <w:tcW w:type="dxa" w:w="438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建议呈现</w:t>
            </w:r>
          </w:p>
        </w:tc>
        <w:tc>
          <w:tcPr>
            <w:tcW w:type="dxa" w:w="183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来源等级</w:t>
            </w:r>
          </w:p>
        </w:tc>
      </w:tr>
      <w:tr>
        <w:tc>
          <w:tcPr>
            <w:tcW w:type="dxa" w:w="3150"/>
          </w:tcPr>
          <w:p>
            <w:pPr>
              <w:spacing w:before="0" w:after="0" w:line="269" w:lineRule="auto"/>
              <w:jc w:val="left"/>
            </w:pPr>
            <w:r>
              <w:rPr>
                <w:rFonts w:ascii="Calibri" w:hAnsi="Calibri" w:eastAsia="Arial Unicode MS" w:cs="Arial Unicode MS"/>
                <w:b w:val="0"/>
                <w:color w:val="1F2933"/>
                <w:sz w:val="17"/>
              </w:rPr>
              <w:t>全球新增54.2万台；在役466.4万台</w:t>
            </w:r>
          </w:p>
        </w:tc>
        <w:tc>
          <w:tcPr>
            <w:tcW w:type="dxa" w:w="4380"/>
          </w:tcPr>
          <w:p>
            <w:pPr>
              <w:spacing w:before="0" w:after="0" w:line="269" w:lineRule="auto"/>
              <w:jc w:val="left"/>
            </w:pPr>
            <w:r>
              <w:rPr>
                <w:rFonts w:ascii="Calibri" w:hAnsi="Calibri" w:eastAsia="Arial Unicode MS" w:cs="Arial Unicode MS"/>
                <w:b w:val="0"/>
                <w:color w:val="1F2933"/>
                <w:sz w:val="17"/>
              </w:rPr>
              <w:t>折线+大数字</w:t>
            </w:r>
          </w:p>
        </w:tc>
        <w:tc>
          <w:tcPr>
            <w:tcW w:type="dxa" w:w="1830"/>
          </w:tcPr>
          <w:p>
            <w:pPr>
              <w:spacing w:before="0" w:after="0" w:line="269" w:lineRule="auto"/>
              <w:jc w:val="center"/>
            </w:pPr>
            <w:r>
              <w:rPr>
                <w:rFonts w:ascii="Calibri" w:hAnsi="Calibri" w:eastAsia="Arial Unicode MS" w:cs="Arial Unicode MS"/>
                <w:b/>
                <w:color w:val="1F2933"/>
                <w:sz w:val="18"/>
              </w:rPr>
              <w:t>A｜IFR 2025</w:t>
            </w:r>
          </w:p>
        </w:tc>
      </w:tr>
      <w:tr>
        <w:tc>
          <w:tcPr>
            <w:tcW w:type="dxa" w:w="3150"/>
            <w:shd w:fill="F2F4F7"/>
          </w:tcPr>
          <w:p>
            <w:pPr>
              <w:spacing w:before="0" w:after="0" w:line="269" w:lineRule="auto"/>
              <w:jc w:val="left"/>
            </w:pPr>
            <w:r>
              <w:rPr>
                <w:rFonts w:ascii="Calibri" w:hAnsi="Calibri" w:eastAsia="Arial Unicode MS" w:cs="Arial Unicode MS"/>
                <w:b w:val="0"/>
                <w:color w:val="1F2933"/>
                <w:sz w:val="17"/>
              </w:rPr>
              <w:t>中国新增29.5万台，占全球54%</w:t>
            </w:r>
          </w:p>
        </w:tc>
        <w:tc>
          <w:tcPr>
            <w:tcW w:type="dxa" w:w="4380"/>
            <w:shd w:fill="F2F4F7"/>
          </w:tcPr>
          <w:p>
            <w:pPr>
              <w:spacing w:before="0" w:after="0" w:line="269" w:lineRule="auto"/>
              <w:jc w:val="left"/>
            </w:pPr>
            <w:r>
              <w:rPr>
                <w:rFonts w:ascii="Calibri" w:hAnsi="Calibri" w:eastAsia="Arial Unicode MS" w:cs="Arial Unicode MS"/>
                <w:b w:val="0"/>
                <w:color w:val="1F2933"/>
                <w:sz w:val="17"/>
              </w:rPr>
              <w:t>中国区域高亮</w:t>
            </w:r>
          </w:p>
        </w:tc>
        <w:tc>
          <w:tcPr>
            <w:tcW w:type="dxa" w:w="1830"/>
            <w:shd w:fill="F2F4F7"/>
          </w:tcPr>
          <w:p>
            <w:pPr>
              <w:spacing w:before="0" w:after="0" w:line="269" w:lineRule="auto"/>
              <w:jc w:val="center"/>
            </w:pPr>
            <w:r>
              <w:rPr>
                <w:rFonts w:ascii="Calibri" w:hAnsi="Calibri" w:eastAsia="Arial Unicode MS" w:cs="Arial Unicode MS"/>
                <w:b/>
                <w:color w:val="1F2933"/>
                <w:sz w:val="18"/>
              </w:rPr>
              <w:t>A｜IFR 2025</w:t>
            </w:r>
          </w:p>
        </w:tc>
      </w:tr>
      <w:tr>
        <w:tc>
          <w:tcPr>
            <w:tcW w:type="dxa" w:w="3150"/>
          </w:tcPr>
          <w:p>
            <w:pPr>
              <w:spacing w:before="0" w:after="0" w:line="269" w:lineRule="auto"/>
              <w:jc w:val="left"/>
            </w:pPr>
            <w:r>
              <w:rPr>
                <w:rFonts w:ascii="Calibri" w:hAnsi="Calibri" w:eastAsia="Arial Unicode MS" w:cs="Arial Unicode MS"/>
                <w:b w:val="0"/>
                <w:color w:val="1F2933"/>
                <w:sz w:val="17"/>
              </w:rPr>
              <w:t>百个高价值场景、万台级落地能力</w:t>
            </w:r>
          </w:p>
        </w:tc>
        <w:tc>
          <w:tcPr>
            <w:tcW w:type="dxa" w:w="4380"/>
          </w:tcPr>
          <w:p>
            <w:pPr>
              <w:spacing w:before="0" w:after="0" w:line="269" w:lineRule="auto"/>
              <w:jc w:val="left"/>
            </w:pPr>
            <w:r>
              <w:rPr>
                <w:rFonts w:ascii="Calibri" w:hAnsi="Calibri" w:eastAsia="Arial Unicode MS" w:cs="Arial Unicode MS"/>
                <w:b w:val="0"/>
                <w:color w:val="1F2933"/>
                <w:sz w:val="17"/>
              </w:rPr>
              <w:t>政策目标时间轴</w:t>
            </w:r>
          </w:p>
        </w:tc>
        <w:tc>
          <w:tcPr>
            <w:tcW w:type="dxa" w:w="1830"/>
          </w:tcPr>
          <w:p>
            <w:pPr>
              <w:spacing w:before="0" w:after="0" w:line="269" w:lineRule="auto"/>
              <w:jc w:val="center"/>
            </w:pPr>
            <w:r>
              <w:rPr>
                <w:rFonts w:ascii="Calibri" w:hAnsi="Calibri" w:eastAsia="Arial Unicode MS" w:cs="Arial Unicode MS"/>
                <w:b/>
                <w:color w:val="1F2933"/>
                <w:sz w:val="18"/>
              </w:rPr>
              <w:t>A｜工信部2026</w:t>
            </w:r>
          </w:p>
        </w:tc>
      </w:tr>
    </w:tbl>
    <w:p>
      <w:pPr>
        <w:keepLines/>
        <w:spacing w:before="120" w:after="0" w:line="288" w:lineRule="auto"/>
        <w:jc w:val="left"/>
      </w:pPr>
      <w:r>
        <w:rPr>
          <w:rFonts w:ascii="Calibri" w:hAnsi="Calibri" w:eastAsia="Arial Unicode MS" w:cs="Arial Unicode MS"/>
          <w:b w:val="0"/>
          <w:i/>
          <w:color w:val="64748B"/>
          <w:sz w:val="18"/>
        </w:rPr>
        <w:t>讲述衔接：机器人数量扩大只是第一步；当机器人进入精密操作和真实接触，触觉将成为继视觉之后的新感知基础设施。</w:t>
      </w:r>
    </w:p>
    <w:p>
      <w:r>
        <w:br w:type="page"/>
      </w:r>
    </w:p>
    <w:p>
      <w:pPr>
        <w:keepNext/>
        <w:spacing w:before="0" w:after="100" w:line="288" w:lineRule="auto"/>
        <w:jc w:val="left"/>
      </w:pPr>
      <w:r>
        <w:rPr>
          <w:rFonts w:ascii="Calibri" w:hAnsi="Calibri" w:eastAsia="Arial Unicode MS" w:cs="Arial Unicode MS"/>
          <w:b/>
          <w:i w:val="0"/>
          <w:color w:val="007F73"/>
          <w:sz w:val="19"/>
        </w:rPr>
        <w:t>第 03 页  |  行业背景</w:t>
      </w:r>
    </w:p>
    <w:p>
      <w:pPr>
        <w:pStyle w:val="Heading1"/>
        <w:keepNext/>
      </w:pPr>
      <w:r>
        <w:t>触觉正从可选传感器升级为机器人精密操作的核心感知层，形成硬件、数据与算法三层市场</w:t>
      </w:r>
    </w:p>
    <w:p>
      <w:pPr>
        <w:spacing w:before="60" w:after="120" w:line="278" w:lineRule="auto"/>
        <w:ind w:left="173" w:right="173"/>
        <w:shd w:fill="E8F4F1"/>
      </w:pPr>
      <w:r>
        <w:rPr>
          <w:rFonts w:ascii="Calibri" w:hAnsi="Calibri" w:eastAsia="Arial Unicode MS" w:cs="Arial Unicode MS"/>
          <w:b/>
          <w:color w:val="007F73"/>
          <w:sz w:val="20"/>
        </w:rPr>
        <w:t xml:space="preserve">核心观点  </w:t>
      </w:r>
      <w:r>
        <w:rPr>
          <w:rFonts w:ascii="Calibri" w:hAnsi="Calibri" w:eastAsia="Arial Unicode MS" w:cs="Arial Unicode MS"/>
          <w:b/>
          <w:color w:val="183247"/>
          <w:sz w:val="20"/>
        </w:rPr>
        <w:t>视觉解决“看见”，触觉解决接触、受力、滑移和材料属性判断；随着灵巧手、工业装配和人机协作放量，触觉价值将从传感器本体延伸至触觉数据、标定加工、模型训练和评测。</w:t>
      </w:r>
    </w:p>
    <w:p>
      <w:pPr>
        <w:keepNext/>
        <w:spacing w:before="100" w:after="60"/>
      </w:pPr>
      <w:r>
        <w:rPr>
          <w:rFonts w:ascii="Calibri" w:hAnsi="Calibri" w:eastAsia="Arial Unicode MS" w:cs="Arial Unicode MS"/>
          <w:b/>
          <w:color w:val="007F73"/>
          <w:sz w:val="20"/>
        </w:rPr>
        <w:t>主要支撑信息</w:t>
      </w:r>
    </w:p>
    <w:p>
      <w:pPr>
        <w:pStyle w:val="ListBullet"/>
        <w:spacing w:before="0" w:after="70" w:line="271" w:lineRule="auto"/>
        <w:ind w:left="540" w:hanging="271"/>
      </w:pPr>
      <w:r>
        <w:rPr>
          <w:rFonts w:ascii="Calibri" w:hAnsi="Calibri" w:eastAsia="Arial Unicode MS" w:cs="Arial Unicode MS"/>
          <w:color w:val="1F2933"/>
          <w:sz w:val="19"/>
        </w:rPr>
        <w:t>工信部《人形机器人创新发展指导意见》明确提出开发高分辨率、具备多点接触检测能力的仿人电子皮肤，触觉已进入国家关键部组件产品谱系。</w:t>
      </w:r>
    </w:p>
    <w:p>
      <w:pPr>
        <w:pStyle w:val="ListBullet"/>
        <w:spacing w:before="0" w:after="70" w:line="271" w:lineRule="auto"/>
        <w:ind w:left="540" w:hanging="271"/>
      </w:pPr>
      <w:r>
        <w:rPr>
          <w:rFonts w:ascii="Calibri" w:hAnsi="Calibri" w:eastAsia="Arial Unicode MS" w:cs="Arial Unicode MS"/>
          <w:color w:val="1F2933"/>
          <w:sz w:val="19"/>
        </w:rPr>
        <w:t>Nature Sensors 2026研究指出，多数机器人仍缺乏具身感觉运动智能；大面积柔性触觉皮肤可支持接触定位、交互识别和触觉驱动的轨迹重规划。</w:t>
      </w:r>
    </w:p>
    <w:p>
      <w:pPr>
        <w:pStyle w:val="ListBullet"/>
        <w:spacing w:before="0" w:after="70" w:line="271" w:lineRule="auto"/>
        <w:ind w:left="540" w:hanging="271"/>
      </w:pPr>
      <w:r>
        <w:rPr>
          <w:rFonts w:ascii="Calibri" w:hAnsi="Calibri" w:eastAsia="Arial Unicode MS" w:cs="Arial Unicode MS"/>
          <w:color w:val="1F2933"/>
          <w:sz w:val="19"/>
        </w:rPr>
        <w:t>Nature Machine Intelligence研究认为，机器人真实接触存在遮挡和微小形变，视觉难以替代触觉；适合长期真实应用的触觉传感器仍然较少。</w:t>
      </w:r>
    </w:p>
    <w:p>
      <w:pPr>
        <w:pStyle w:val="ListBullet"/>
        <w:spacing w:before="0" w:after="70" w:line="271" w:lineRule="auto"/>
        <w:ind w:left="540" w:hanging="271"/>
      </w:pPr>
      <w:r>
        <w:rPr>
          <w:rFonts w:ascii="Calibri" w:hAnsi="Calibri" w:eastAsia="Arial Unicode MS" w:cs="Arial Unicode MS"/>
          <w:color w:val="1F2933"/>
          <w:sz w:val="19"/>
        </w:rPr>
        <w:t>触觉市场不是单一硬件市场：每一套触觉设备都会持续产生标定、清洗、对齐、训练和评测需求，商业价值沿“传感器—数据—模型”逐层放大。</w:t>
      </w:r>
    </w:p>
    <w:p>
      <w:pPr>
        <w:pStyle w:val="ListBullet"/>
        <w:spacing w:before="0" w:after="70" w:line="271" w:lineRule="auto"/>
        <w:ind w:left="540" w:hanging="271"/>
      </w:pPr>
      <w:r>
        <w:rPr>
          <w:rFonts w:ascii="Calibri" w:hAnsi="Calibri" w:eastAsia="Arial Unicode MS" w:cs="Arial Unicode MS"/>
          <w:color w:val="1F2933"/>
          <w:sz w:val="19"/>
        </w:rPr>
        <w:t>当前供给主体多聚焦单一传感器、灵巧手或数据采集环节，能够同时覆盖触觉硬件、触觉数据加工、训练场和模型的企业仍然稀缺。</w:t>
      </w:r>
    </w:p>
    <w:p>
      <w:pPr>
        <w:keepNext/>
        <w:spacing w:before="100" w:after="60"/>
      </w:pPr>
      <w:r>
        <w:rPr>
          <w:rFonts w:ascii="Calibri" w:hAnsi="Calibri" w:eastAsia="Arial Unicode MS" w:cs="Arial Unicode MS"/>
          <w:b/>
          <w:color w:val="007F73"/>
          <w:sz w:val="20"/>
        </w:rPr>
        <w:t>建议图表与版式</w:t>
      </w:r>
    </w:p>
    <w:p>
      <w:pPr>
        <w:pStyle w:val="ListBullet"/>
        <w:spacing w:before="0" w:after="60" w:line="271" w:lineRule="auto"/>
        <w:ind w:left="540" w:hanging="271"/>
      </w:pPr>
      <w:r>
        <w:rPr>
          <w:rFonts w:ascii="Calibri" w:hAnsi="Calibri" w:eastAsia="Arial Unicode MS" w:cs="Arial Unicode MS"/>
          <w:color w:val="183247"/>
          <w:sz w:val="19"/>
        </w:rPr>
        <w:t>采用“视觉可见区—触觉不可替代区”左右对照，中间放精密抓取、柔性物体、人机接触三个典型任务。</w:t>
      </w:r>
    </w:p>
    <w:p>
      <w:pPr>
        <w:pStyle w:val="ListBullet"/>
        <w:spacing w:before="0" w:after="60" w:line="271" w:lineRule="auto"/>
        <w:ind w:left="540" w:hanging="271"/>
      </w:pPr>
      <w:r>
        <w:rPr>
          <w:rFonts w:ascii="Calibri" w:hAnsi="Calibri" w:eastAsia="Arial Unicode MS" w:cs="Arial Unicode MS"/>
          <w:color w:val="183247"/>
          <w:sz w:val="19"/>
        </w:rPr>
        <w:t>下方画触觉市场价值链：传感器硬件→多模态数据→触觉模型/技能，每层标注对应收费方式与大衍产品。</w:t>
      </w:r>
    </w:p>
    <w:p>
      <w:pPr>
        <w:keepNext/>
        <w:spacing w:before="100" w:after="60"/>
      </w:pPr>
      <w:r>
        <w:rPr>
          <w:rFonts w:ascii="Calibri" w:hAnsi="Calibri" w:eastAsia="Arial Unicode MS" w:cs="Arial Unicode MS"/>
          <w:b/>
          <w:color w:val="007F73"/>
          <w:sz w:val="20"/>
        </w:rPr>
        <w:t>关键证据与口径</w:t>
      </w:r>
    </w:p>
    <w:tbl>
      <w:tblPr>
        <w:tblStyle w:val="TableGrid"/>
        <w:tblW w:type="dxa" w:w="9360"/>
        <w:jc w:val="left"/>
        <w:tblLayout w:type="fixed"/>
        <w:tblLook w:firstColumn="1" w:firstRow="1" w:lastColumn="0" w:lastRow="0" w:noHBand="0" w:noVBand="1" w:val="04A0"/>
        <w:tblInd w:w="120" w:type="dxa"/>
      </w:tblPr>
      <w:tblGrid>
        <w:gridCol w:w="3150"/>
        <w:gridCol w:w="4380"/>
        <w:gridCol w:w="1830"/>
      </w:tblGrid>
      <w:tr>
        <w:trPr>
          <w:tblHeader w:val="true"/>
        </w:trPr>
        <w:tc>
          <w:tcPr>
            <w:tcW w:type="dxa" w:w="315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关键证据</w:t>
            </w:r>
          </w:p>
        </w:tc>
        <w:tc>
          <w:tcPr>
            <w:tcW w:type="dxa" w:w="438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建议呈现</w:t>
            </w:r>
          </w:p>
        </w:tc>
        <w:tc>
          <w:tcPr>
            <w:tcW w:type="dxa" w:w="183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来源等级</w:t>
            </w:r>
          </w:p>
        </w:tc>
      </w:tr>
      <w:tr>
        <w:tc>
          <w:tcPr>
            <w:tcW w:type="dxa" w:w="3150"/>
          </w:tcPr>
          <w:p>
            <w:pPr>
              <w:spacing w:before="0" w:after="0" w:line="269" w:lineRule="auto"/>
              <w:jc w:val="left"/>
            </w:pPr>
            <w:r>
              <w:rPr>
                <w:rFonts w:ascii="Calibri" w:hAnsi="Calibri" w:eastAsia="Arial Unicode MS" w:cs="Arial Unicode MS"/>
                <w:b w:val="0"/>
                <w:color w:val="1F2933"/>
                <w:sz w:val="17"/>
              </w:rPr>
              <w:t>高分辨率、多点接触仿人电子皮肤进入政策产品谱系</w:t>
            </w:r>
          </w:p>
        </w:tc>
        <w:tc>
          <w:tcPr>
            <w:tcW w:type="dxa" w:w="4380"/>
          </w:tcPr>
          <w:p>
            <w:pPr>
              <w:spacing w:before="0" w:after="0" w:line="269" w:lineRule="auto"/>
              <w:jc w:val="left"/>
            </w:pPr>
            <w:r>
              <w:rPr>
                <w:rFonts w:ascii="Calibri" w:hAnsi="Calibri" w:eastAsia="Arial Unicode MS" w:cs="Arial Unicode MS"/>
                <w:b w:val="0"/>
                <w:color w:val="1F2933"/>
                <w:sz w:val="17"/>
              </w:rPr>
              <w:t>政策关键词与产品链</w:t>
            </w:r>
          </w:p>
        </w:tc>
        <w:tc>
          <w:tcPr>
            <w:tcW w:type="dxa" w:w="1830"/>
          </w:tcPr>
          <w:p>
            <w:pPr>
              <w:spacing w:before="0" w:after="0" w:line="269" w:lineRule="auto"/>
              <w:jc w:val="center"/>
            </w:pPr>
            <w:r>
              <w:rPr>
                <w:rFonts w:ascii="Calibri" w:hAnsi="Calibri" w:eastAsia="Arial Unicode MS" w:cs="Arial Unicode MS"/>
                <w:b/>
                <w:color w:val="1F2933"/>
                <w:sz w:val="18"/>
              </w:rPr>
              <w:t>A｜工信部</w:t>
            </w:r>
          </w:p>
        </w:tc>
      </w:tr>
      <w:tr>
        <w:tc>
          <w:tcPr>
            <w:tcW w:type="dxa" w:w="3150"/>
            <w:shd w:fill="F2F4F7"/>
          </w:tcPr>
          <w:p>
            <w:pPr>
              <w:spacing w:before="0" w:after="0" w:line="269" w:lineRule="auto"/>
              <w:jc w:val="left"/>
            </w:pPr>
            <w:r>
              <w:rPr>
                <w:rFonts w:ascii="Calibri" w:hAnsi="Calibri" w:eastAsia="Arial Unicode MS" w:cs="Arial Unicode MS"/>
                <w:b w:val="0"/>
                <w:color w:val="1F2933"/>
                <w:sz w:val="17"/>
              </w:rPr>
              <w:t>触觉支持接触定位、交互识别与轨迹重规划</w:t>
            </w:r>
          </w:p>
        </w:tc>
        <w:tc>
          <w:tcPr>
            <w:tcW w:type="dxa" w:w="4380"/>
            <w:shd w:fill="F2F4F7"/>
          </w:tcPr>
          <w:p>
            <w:pPr>
              <w:spacing w:before="0" w:after="0" w:line="269" w:lineRule="auto"/>
              <w:jc w:val="left"/>
            </w:pPr>
            <w:r>
              <w:rPr>
                <w:rFonts w:ascii="Calibri" w:hAnsi="Calibri" w:eastAsia="Arial Unicode MS" w:cs="Arial Unicode MS"/>
                <w:b w:val="0"/>
                <w:color w:val="1F2933"/>
                <w:sz w:val="17"/>
              </w:rPr>
              <w:t>触觉能力雷达</w:t>
            </w:r>
          </w:p>
        </w:tc>
        <w:tc>
          <w:tcPr>
            <w:tcW w:type="dxa" w:w="1830"/>
            <w:shd w:fill="F2F4F7"/>
          </w:tcPr>
          <w:p>
            <w:pPr>
              <w:spacing w:before="0" w:after="0" w:line="269" w:lineRule="auto"/>
              <w:jc w:val="center"/>
            </w:pPr>
            <w:r>
              <w:rPr>
                <w:rFonts w:ascii="Calibri" w:hAnsi="Calibri" w:eastAsia="Arial Unicode MS" w:cs="Arial Unicode MS"/>
                <w:b/>
                <w:color w:val="1F2933"/>
                <w:sz w:val="18"/>
              </w:rPr>
              <w:t>A｜Nature Sensors</w:t>
            </w:r>
          </w:p>
        </w:tc>
      </w:tr>
      <w:tr>
        <w:tc>
          <w:tcPr>
            <w:tcW w:type="dxa" w:w="3150"/>
          </w:tcPr>
          <w:p>
            <w:pPr>
              <w:spacing w:before="0" w:after="0" w:line="269" w:lineRule="auto"/>
              <w:jc w:val="left"/>
            </w:pPr>
            <w:r>
              <w:rPr>
                <w:rFonts w:ascii="Calibri" w:hAnsi="Calibri" w:eastAsia="Arial Unicode MS" w:cs="Arial Unicode MS"/>
                <w:b w:val="0"/>
                <w:color w:val="1F2933"/>
                <w:sz w:val="17"/>
              </w:rPr>
              <w:t>实用型触觉传感器供给仍少，全链路企业更稀缺</w:t>
            </w:r>
          </w:p>
        </w:tc>
        <w:tc>
          <w:tcPr>
            <w:tcW w:type="dxa" w:w="4380"/>
          </w:tcPr>
          <w:p>
            <w:pPr>
              <w:spacing w:before="0" w:after="0" w:line="269" w:lineRule="auto"/>
              <w:jc w:val="left"/>
            </w:pPr>
            <w:r>
              <w:rPr>
                <w:rFonts w:ascii="Calibri" w:hAnsi="Calibri" w:eastAsia="Arial Unicode MS" w:cs="Arial Unicode MS"/>
                <w:b w:val="0"/>
                <w:color w:val="1F2933"/>
                <w:sz w:val="17"/>
              </w:rPr>
              <w:t>供给稀缺性示意</w:t>
            </w:r>
          </w:p>
        </w:tc>
        <w:tc>
          <w:tcPr>
            <w:tcW w:type="dxa" w:w="1830"/>
          </w:tcPr>
          <w:p>
            <w:pPr>
              <w:spacing w:before="0" w:after="0" w:line="269" w:lineRule="auto"/>
              <w:jc w:val="center"/>
            </w:pPr>
            <w:r>
              <w:rPr>
                <w:rFonts w:ascii="Calibri" w:hAnsi="Calibri" w:eastAsia="Arial Unicode MS" w:cs="Arial Unicode MS"/>
                <w:b/>
                <w:color w:val="1F2933"/>
                <w:sz w:val="18"/>
              </w:rPr>
              <w:t>A/B｜论文与公开产品梳理</w:t>
            </w:r>
          </w:p>
        </w:tc>
      </w:tr>
    </w:tbl>
    <w:p>
      <w:pPr>
        <w:keepLines/>
        <w:spacing w:before="120" w:after="0" w:line="288" w:lineRule="auto"/>
        <w:jc w:val="left"/>
      </w:pPr>
      <w:r>
        <w:rPr>
          <w:rFonts w:ascii="Calibri" w:hAnsi="Calibri" w:eastAsia="Arial Unicode MS" w:cs="Arial Unicode MS"/>
          <w:b w:val="0"/>
          <w:i/>
          <w:color w:val="64748B"/>
          <w:sz w:val="18"/>
        </w:rPr>
        <w:t>讲述衔接：触觉让机器人获得真实接触能力，但要把触觉训练成智能，行业首先需要解决海量数据供给与数据可用性问题。</w:t>
      </w:r>
    </w:p>
    <w:p>
      <w:r>
        <w:br w:type="page"/>
      </w:r>
    </w:p>
    <w:p>
      <w:pPr>
        <w:keepNext/>
        <w:spacing w:before="0" w:after="100" w:line="288" w:lineRule="auto"/>
        <w:jc w:val="left"/>
      </w:pPr>
      <w:r>
        <w:rPr>
          <w:rFonts w:ascii="Calibri" w:hAnsi="Calibri" w:eastAsia="Arial Unicode MS" w:cs="Arial Unicode MS"/>
          <w:b/>
          <w:i w:val="0"/>
          <w:color w:val="007F73"/>
          <w:sz w:val="19"/>
        </w:rPr>
        <w:t>第 04 页  |  行业痛点</w:t>
      </w:r>
    </w:p>
    <w:p>
      <w:pPr>
        <w:pStyle w:val="Heading1"/>
        <w:keepNext/>
      </w:pPr>
      <w:r>
        <w:t>具身智能同时面临“数据总量不足”和“可用数据不足”，海量供给与高质量加工缺一不可</w:t>
      </w:r>
    </w:p>
    <w:p>
      <w:pPr>
        <w:spacing w:before="60" w:after="120" w:line="278" w:lineRule="auto"/>
        <w:ind w:left="173" w:right="173"/>
        <w:shd w:fill="E8F4F1"/>
      </w:pPr>
      <w:r>
        <w:rPr>
          <w:rFonts w:ascii="Calibri" w:hAnsi="Calibri" w:eastAsia="Arial Unicode MS" w:cs="Arial Unicode MS"/>
          <w:b/>
          <w:color w:val="007F73"/>
          <w:sz w:val="20"/>
        </w:rPr>
        <w:t xml:space="preserve">核心观点  </w:t>
      </w:r>
      <w:r>
        <w:rPr>
          <w:rFonts w:ascii="Calibri" w:hAnsi="Calibri" w:eastAsia="Arial Unicode MS" w:cs="Arial Unicode MS"/>
          <w:b/>
          <w:color w:val="183247"/>
          <w:sz w:val="20"/>
        </w:rPr>
        <w:t>机器人尚未形成互联网级数据底座，现有数据又普遍存在模态缺失、时序错位、跨本体不统一和物理一致性不足；行业真正稀缺的是持续生产海量、可直接训练数据的系统能力。</w:t>
      </w:r>
    </w:p>
    <w:p>
      <w:pPr>
        <w:keepNext/>
        <w:spacing w:before="100" w:after="60"/>
      </w:pPr>
      <w:r>
        <w:rPr>
          <w:rFonts w:ascii="Calibri" w:hAnsi="Calibri" w:eastAsia="Arial Unicode MS" w:cs="Arial Unicode MS"/>
          <w:b/>
          <w:color w:val="007F73"/>
          <w:sz w:val="20"/>
        </w:rPr>
        <w:t>主要支撑信息</w:t>
      </w:r>
    </w:p>
    <w:p>
      <w:pPr>
        <w:pStyle w:val="ListBullet"/>
        <w:spacing w:before="0" w:after="70" w:line="271" w:lineRule="auto"/>
        <w:ind w:left="540" w:hanging="271"/>
      </w:pPr>
      <w:r>
        <w:rPr>
          <w:rFonts w:ascii="Calibri" w:hAnsi="Calibri" w:eastAsia="Arial Unicode MS" w:cs="Arial Unicode MS"/>
          <w:color w:val="1F2933"/>
          <w:sz w:val="19"/>
        </w:rPr>
        <w:t>总量缺口：Google DeepMind联合33个实验室、22种机器人，才汇集100万条以上轨迹；相比互联网文本和图像，机器人训练数据仍处于极早期。</w:t>
      </w:r>
    </w:p>
    <w:p>
      <w:pPr>
        <w:pStyle w:val="ListBullet"/>
        <w:spacing w:before="0" w:after="70" w:line="271" w:lineRule="auto"/>
        <w:ind w:left="540" w:hanging="271"/>
      </w:pPr>
      <w:r>
        <w:rPr>
          <w:rFonts w:ascii="Calibri" w:hAnsi="Calibri" w:eastAsia="Arial Unicode MS" w:cs="Arial Unicode MS"/>
          <w:color w:val="1F2933"/>
          <w:sz w:val="19"/>
        </w:rPr>
        <w:t>场景缺口：机器人每进入一种本体、工位、物体或异常工况，都需要补充长尾数据；真实采集速度难以单独支撑模型规模化。</w:t>
      </w:r>
    </w:p>
    <w:p>
      <w:pPr>
        <w:pStyle w:val="ListBullet"/>
        <w:spacing w:before="0" w:after="70" w:line="271" w:lineRule="auto"/>
        <w:ind w:left="540" w:hanging="271"/>
      </w:pPr>
      <w:r>
        <w:rPr>
          <w:rFonts w:ascii="Calibri" w:hAnsi="Calibri" w:eastAsia="Arial Unicode MS" w:cs="Arial Unicode MS"/>
          <w:color w:val="1F2933"/>
          <w:sz w:val="19"/>
        </w:rPr>
        <w:t>可用性缺口：原始数据必须同步视觉、骨架、关节、末端姿态、触觉、力位曲线和时间戳，任何模态缺失或时序漂移都会显著降低训练价值。</w:t>
      </w:r>
    </w:p>
    <w:p>
      <w:pPr>
        <w:pStyle w:val="ListBullet"/>
        <w:spacing w:before="0" w:after="70" w:line="271" w:lineRule="auto"/>
        <w:ind w:left="540" w:hanging="271"/>
      </w:pPr>
      <w:r>
        <w:rPr>
          <w:rFonts w:ascii="Calibri" w:hAnsi="Calibri" w:eastAsia="Arial Unicode MS" w:cs="Arial Unicode MS"/>
          <w:color w:val="1F2933"/>
          <w:sz w:val="19"/>
        </w:rPr>
        <w:t>处理能力缺口：切片、清洗、坐标统一、自动标注、质量验证和物理一致性评估决定数据能否直接进入训练，而市场多数供给仍停留在采集或单点加工。</w:t>
      </w:r>
    </w:p>
    <w:p>
      <w:pPr>
        <w:pStyle w:val="ListBullet"/>
        <w:spacing w:before="0" w:after="70" w:line="271" w:lineRule="auto"/>
        <w:ind w:left="540" w:hanging="271"/>
      </w:pPr>
      <w:r>
        <w:rPr>
          <w:rFonts w:ascii="Calibri" w:hAnsi="Calibri" w:eastAsia="Arial Unicode MS" w:cs="Arial Unicode MS"/>
          <w:color w:val="1F2933"/>
          <w:sz w:val="19"/>
        </w:rPr>
        <w:t>供给缺口：单纯真机采集难以扩量，纯生成难保证物理一致，传统仿真成本高；市场很少有企业能把真实采集、触觉加工、合成扩量和真机验证串成闭环。</w:t>
      </w:r>
    </w:p>
    <w:p>
      <w:pPr>
        <w:keepNext/>
        <w:spacing w:before="100" w:after="60"/>
      </w:pPr>
      <w:r>
        <w:rPr>
          <w:rFonts w:ascii="Calibri" w:hAnsi="Calibri" w:eastAsia="Arial Unicode MS" w:cs="Arial Unicode MS"/>
          <w:b/>
          <w:color w:val="007F73"/>
          <w:sz w:val="20"/>
        </w:rPr>
        <w:t>建议图表与版式</w:t>
      </w:r>
    </w:p>
    <w:p>
      <w:pPr>
        <w:pStyle w:val="ListBullet"/>
        <w:spacing w:before="0" w:after="60" w:line="271" w:lineRule="auto"/>
        <w:ind w:left="540" w:hanging="271"/>
      </w:pPr>
      <w:r>
        <w:rPr>
          <w:rFonts w:ascii="Calibri" w:hAnsi="Calibri" w:eastAsia="Arial Unicode MS" w:cs="Arial Unicode MS"/>
          <w:color w:val="183247"/>
          <w:sz w:val="19"/>
        </w:rPr>
        <w:t>采用“双漏斗”结构：左侧是海量原始数据供给，右侧是清洗加工后的可用训练数据，中间标出高损耗环节。</w:t>
      </w:r>
    </w:p>
    <w:p>
      <w:pPr>
        <w:pStyle w:val="ListBullet"/>
        <w:spacing w:before="0" w:after="60" w:line="271" w:lineRule="auto"/>
        <w:ind w:left="540" w:hanging="271"/>
      </w:pPr>
      <w:r>
        <w:rPr>
          <w:rFonts w:ascii="Calibri" w:hAnsi="Calibri" w:eastAsia="Arial Unicode MS" w:cs="Arial Unicode MS"/>
          <w:color w:val="183247"/>
          <w:sz w:val="19"/>
        </w:rPr>
        <w:t>底部用真实采集、传统仿真、纯生成三路线短表，右端突出“全链路闭环企业稀缺”。</w:t>
      </w:r>
    </w:p>
    <w:p>
      <w:pPr>
        <w:keepNext/>
        <w:spacing w:before="100" w:after="60"/>
      </w:pPr>
      <w:r>
        <w:rPr>
          <w:rFonts w:ascii="Calibri" w:hAnsi="Calibri" w:eastAsia="Arial Unicode MS" w:cs="Arial Unicode MS"/>
          <w:b/>
          <w:color w:val="007F73"/>
          <w:sz w:val="20"/>
        </w:rPr>
        <w:t>关键证据与口径</w:t>
      </w:r>
    </w:p>
    <w:tbl>
      <w:tblPr>
        <w:tblStyle w:val="TableGrid"/>
        <w:tblW w:type="dxa" w:w="9360"/>
        <w:jc w:val="left"/>
        <w:tblLayout w:type="fixed"/>
        <w:tblLook w:firstColumn="1" w:firstRow="1" w:lastColumn="0" w:lastRow="0" w:noHBand="0" w:noVBand="1" w:val="04A0"/>
        <w:tblInd w:w="120" w:type="dxa"/>
      </w:tblPr>
      <w:tblGrid>
        <w:gridCol w:w="3150"/>
        <w:gridCol w:w="4380"/>
        <w:gridCol w:w="1830"/>
      </w:tblGrid>
      <w:tr>
        <w:trPr>
          <w:tblHeader w:val="true"/>
        </w:trPr>
        <w:tc>
          <w:tcPr>
            <w:tcW w:type="dxa" w:w="315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关键证据</w:t>
            </w:r>
          </w:p>
        </w:tc>
        <w:tc>
          <w:tcPr>
            <w:tcW w:type="dxa" w:w="438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建议呈现</w:t>
            </w:r>
          </w:p>
        </w:tc>
        <w:tc>
          <w:tcPr>
            <w:tcW w:type="dxa" w:w="183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来源等级</w:t>
            </w:r>
          </w:p>
        </w:tc>
      </w:tr>
      <w:tr>
        <w:tc>
          <w:tcPr>
            <w:tcW w:type="dxa" w:w="3150"/>
          </w:tcPr>
          <w:p>
            <w:pPr>
              <w:spacing w:before="0" w:after="0" w:line="269" w:lineRule="auto"/>
              <w:jc w:val="left"/>
            </w:pPr>
            <w:r>
              <w:rPr>
                <w:rFonts w:ascii="Calibri" w:hAnsi="Calibri" w:eastAsia="Arial Unicode MS" w:cs="Arial Unicode MS"/>
                <w:b w:val="0"/>
                <w:color w:val="1F2933"/>
                <w:sz w:val="17"/>
              </w:rPr>
              <w:t>33个实验室、22种机器人合计100万+轨迹</w:t>
            </w:r>
          </w:p>
        </w:tc>
        <w:tc>
          <w:tcPr>
            <w:tcW w:type="dxa" w:w="4380"/>
          </w:tcPr>
          <w:p>
            <w:pPr>
              <w:spacing w:before="0" w:after="0" w:line="269" w:lineRule="auto"/>
              <w:jc w:val="left"/>
            </w:pPr>
            <w:r>
              <w:rPr>
                <w:rFonts w:ascii="Calibri" w:hAnsi="Calibri" w:eastAsia="Arial Unicode MS" w:cs="Arial Unicode MS"/>
                <w:b w:val="0"/>
                <w:color w:val="1F2933"/>
                <w:sz w:val="17"/>
              </w:rPr>
              <w:t>总量缺口大数字</w:t>
            </w:r>
          </w:p>
        </w:tc>
        <w:tc>
          <w:tcPr>
            <w:tcW w:type="dxa" w:w="1830"/>
          </w:tcPr>
          <w:p>
            <w:pPr>
              <w:spacing w:before="0" w:after="0" w:line="269" w:lineRule="auto"/>
              <w:jc w:val="center"/>
            </w:pPr>
            <w:r>
              <w:rPr>
                <w:rFonts w:ascii="Calibri" w:hAnsi="Calibri" w:eastAsia="Arial Unicode MS" w:cs="Arial Unicode MS"/>
                <w:b/>
                <w:color w:val="1F2933"/>
                <w:sz w:val="18"/>
              </w:rPr>
              <w:t>A｜DeepMind</w:t>
            </w:r>
          </w:p>
        </w:tc>
      </w:tr>
      <w:tr>
        <w:tc>
          <w:tcPr>
            <w:tcW w:type="dxa" w:w="3150"/>
            <w:shd w:fill="F2F4F7"/>
          </w:tcPr>
          <w:p>
            <w:pPr>
              <w:spacing w:before="0" w:after="0" w:line="269" w:lineRule="auto"/>
              <w:jc w:val="left"/>
            </w:pPr>
            <w:r>
              <w:rPr>
                <w:rFonts w:ascii="Calibri" w:hAnsi="Calibri" w:eastAsia="Arial Unicode MS" w:cs="Arial Unicode MS"/>
                <w:b w:val="0"/>
                <w:color w:val="1F2933"/>
                <w:sz w:val="17"/>
              </w:rPr>
              <w:t>训练数据需同步触觉、动力学、时序和可变形物体信息</w:t>
            </w:r>
          </w:p>
        </w:tc>
        <w:tc>
          <w:tcPr>
            <w:tcW w:type="dxa" w:w="4380"/>
            <w:shd w:fill="F2F4F7"/>
          </w:tcPr>
          <w:p>
            <w:pPr>
              <w:spacing w:before="0" w:after="0" w:line="269" w:lineRule="auto"/>
              <w:jc w:val="left"/>
            </w:pPr>
            <w:r>
              <w:rPr>
                <w:rFonts w:ascii="Calibri" w:hAnsi="Calibri" w:eastAsia="Arial Unicode MS" w:cs="Arial Unicode MS"/>
                <w:b w:val="0"/>
                <w:color w:val="1F2933"/>
                <w:sz w:val="17"/>
              </w:rPr>
              <w:t>可用性加工链</w:t>
            </w:r>
          </w:p>
        </w:tc>
        <w:tc>
          <w:tcPr>
            <w:tcW w:type="dxa" w:w="1830"/>
            <w:shd w:fill="F2F4F7"/>
          </w:tcPr>
          <w:p>
            <w:pPr>
              <w:spacing w:before="0" w:after="0" w:line="269" w:lineRule="auto"/>
              <w:jc w:val="center"/>
            </w:pPr>
            <w:r>
              <w:rPr>
                <w:rFonts w:ascii="Calibri" w:hAnsi="Calibri" w:eastAsia="Arial Unicode MS" w:cs="Arial Unicode MS"/>
                <w:b/>
                <w:color w:val="1F2933"/>
                <w:sz w:val="18"/>
              </w:rPr>
              <w:t>A｜客户访谈</w:t>
            </w:r>
          </w:p>
        </w:tc>
      </w:tr>
      <w:tr>
        <w:tc>
          <w:tcPr>
            <w:tcW w:type="dxa" w:w="3150"/>
          </w:tcPr>
          <w:p>
            <w:pPr>
              <w:spacing w:before="0" w:after="0" w:line="269" w:lineRule="auto"/>
              <w:jc w:val="left"/>
            </w:pPr>
            <w:r>
              <w:rPr>
                <w:rFonts w:ascii="Calibri" w:hAnsi="Calibri" w:eastAsia="Arial Unicode MS" w:cs="Arial Unicode MS"/>
                <w:b w:val="0"/>
                <w:color w:val="1F2933"/>
                <w:sz w:val="17"/>
              </w:rPr>
              <w:t>政策要求全身轨迹、力位曲线、异常工况等高质量数据</w:t>
            </w:r>
          </w:p>
        </w:tc>
        <w:tc>
          <w:tcPr>
            <w:tcW w:type="dxa" w:w="4380"/>
          </w:tcPr>
          <w:p>
            <w:pPr>
              <w:spacing w:before="0" w:after="0" w:line="269" w:lineRule="auto"/>
              <w:jc w:val="left"/>
            </w:pPr>
            <w:r>
              <w:rPr>
                <w:rFonts w:ascii="Calibri" w:hAnsi="Calibri" w:eastAsia="Arial Unicode MS" w:cs="Arial Unicode MS"/>
                <w:b w:val="0"/>
                <w:color w:val="1F2933"/>
                <w:sz w:val="17"/>
              </w:rPr>
              <w:t>政策原文关键词</w:t>
            </w:r>
          </w:p>
        </w:tc>
        <w:tc>
          <w:tcPr>
            <w:tcW w:type="dxa" w:w="1830"/>
          </w:tcPr>
          <w:p>
            <w:pPr>
              <w:spacing w:before="0" w:after="0" w:line="269" w:lineRule="auto"/>
              <w:jc w:val="center"/>
            </w:pPr>
            <w:r>
              <w:rPr>
                <w:rFonts w:ascii="Calibri" w:hAnsi="Calibri" w:eastAsia="Arial Unicode MS" w:cs="Arial Unicode MS"/>
                <w:b/>
                <w:color w:val="1F2933"/>
                <w:sz w:val="18"/>
              </w:rPr>
              <w:t>A｜工信部2026</w:t>
            </w:r>
          </w:p>
        </w:tc>
      </w:tr>
    </w:tbl>
    <w:p>
      <w:pPr>
        <w:keepLines/>
        <w:spacing w:before="120" w:after="0" w:line="288" w:lineRule="auto"/>
        <w:jc w:val="left"/>
      </w:pPr>
      <w:r>
        <w:rPr>
          <w:rFonts w:ascii="Calibri" w:hAnsi="Calibri" w:eastAsia="Arial Unicode MS" w:cs="Arial Unicode MS"/>
          <w:b w:val="0"/>
          <w:i/>
          <w:color w:val="64748B"/>
          <w:sz w:val="18"/>
        </w:rPr>
        <w:t>讲述衔接：大衍的产品价值正来自同时解决两件事：扩大数据供给规模，并把原始数据加工成可直接训练的资产。</w:t>
      </w:r>
    </w:p>
    <w:p>
      <w:r>
        <w:br w:type="page"/>
      </w:r>
    </w:p>
    <w:p>
      <w:pPr>
        <w:keepNext/>
        <w:spacing w:before="0" w:after="100" w:line="288" w:lineRule="auto"/>
        <w:jc w:val="left"/>
      </w:pPr>
      <w:r>
        <w:rPr>
          <w:rFonts w:ascii="Calibri" w:hAnsi="Calibri" w:eastAsia="Arial Unicode MS" w:cs="Arial Unicode MS"/>
          <w:b/>
          <w:i w:val="0"/>
          <w:color w:val="007F73"/>
          <w:sz w:val="19"/>
        </w:rPr>
        <w:t>第 05 页  |  产品</w:t>
      </w:r>
    </w:p>
    <w:p>
      <w:pPr>
        <w:pStyle w:val="Heading1"/>
        <w:keepNext/>
      </w:pPr>
      <w:r>
        <w:t>大衍以触觉为入口、以数据为核心，构建从采集硬件到训练场和模型的四层基础设施</w:t>
      </w:r>
    </w:p>
    <w:p>
      <w:pPr>
        <w:spacing w:before="60" w:after="120" w:line="278" w:lineRule="auto"/>
        <w:ind w:left="173" w:right="173"/>
        <w:shd w:fill="E8F4F1"/>
      </w:pPr>
      <w:r>
        <w:rPr>
          <w:rFonts w:ascii="Calibri" w:hAnsi="Calibri" w:eastAsia="Arial Unicode MS" w:cs="Arial Unicode MS"/>
          <w:b/>
          <w:color w:val="007F73"/>
          <w:sz w:val="20"/>
        </w:rPr>
        <w:t xml:space="preserve">核心观点  </w:t>
      </w:r>
      <w:r>
        <w:rPr>
          <w:rFonts w:ascii="Calibri" w:hAnsi="Calibri" w:eastAsia="Arial Unicode MS" w:cs="Arial Unicode MS"/>
          <w:b/>
          <w:color w:val="183247"/>
          <w:sz w:val="20"/>
        </w:rPr>
        <w:t>公司同时解决触觉感知和海量可用数据两类瓶颈：前端以触觉硬件持续获取物理交互，后端以自动化管线、虚拟训练和模型能力把数据转化为机器人技能。</w:t>
      </w:r>
    </w:p>
    <w:p>
      <w:pPr>
        <w:keepNext/>
        <w:spacing w:before="100" w:after="60"/>
      </w:pPr>
      <w:r>
        <w:rPr>
          <w:rFonts w:ascii="Calibri" w:hAnsi="Calibri" w:eastAsia="Arial Unicode MS" w:cs="Arial Unicode MS"/>
          <w:b/>
          <w:color w:val="007F73"/>
          <w:sz w:val="20"/>
        </w:rPr>
        <w:t>主要支撑信息</w:t>
      </w:r>
    </w:p>
    <w:p>
      <w:pPr>
        <w:pStyle w:val="ListBullet"/>
        <w:spacing w:before="0" w:after="70" w:line="271" w:lineRule="auto"/>
        <w:ind w:left="540" w:hanging="271"/>
      </w:pPr>
      <w:r>
        <w:rPr>
          <w:rFonts w:ascii="Calibri" w:hAnsi="Calibri" w:eastAsia="Arial Unicode MS" w:cs="Arial Unicode MS"/>
          <w:color w:val="1F2933"/>
          <w:sz w:val="19"/>
        </w:rPr>
        <w:t>采集层：触觉手套、第一视角动捕设备，同步捕捉接触力、手部动作、人体骨架与环境信息。</w:t>
      </w:r>
    </w:p>
    <w:p>
      <w:pPr>
        <w:pStyle w:val="ListBullet"/>
        <w:spacing w:before="0" w:after="70" w:line="271" w:lineRule="auto"/>
        <w:ind w:left="540" w:hanging="271"/>
      </w:pPr>
      <w:r>
        <w:rPr>
          <w:rFonts w:ascii="Calibri" w:hAnsi="Calibri" w:eastAsia="Arial Unicode MS" w:cs="Arial Unicode MS"/>
          <w:color w:val="1F2933"/>
          <w:sz w:val="19"/>
        </w:rPr>
        <w:t>数据层：真实异构数据、自动化清洗标注管线及合成数据，将原始信号加工为可直接训练的标准数据包。</w:t>
      </w:r>
    </w:p>
    <w:p>
      <w:pPr>
        <w:pStyle w:val="ListBullet"/>
        <w:spacing w:before="0" w:after="70" w:line="271" w:lineRule="auto"/>
        <w:ind w:left="540" w:hanging="271"/>
      </w:pPr>
      <w:r>
        <w:rPr>
          <w:rFonts w:ascii="Calibri" w:hAnsi="Calibri" w:eastAsia="Arial Unicode MS" w:cs="Arial Unicode MS"/>
          <w:color w:val="1F2933"/>
          <w:sz w:val="19"/>
        </w:rPr>
        <w:t>训练层：数字孪生训练场，承担机器人训练、模型测评和合成数据批量生成。</w:t>
      </w:r>
    </w:p>
    <w:p>
      <w:pPr>
        <w:pStyle w:val="ListBullet"/>
        <w:spacing w:before="0" w:after="70" w:line="271" w:lineRule="auto"/>
        <w:ind w:left="540" w:hanging="271"/>
      </w:pPr>
      <w:r>
        <w:rPr>
          <w:rFonts w:ascii="Calibri" w:hAnsi="Calibri" w:eastAsia="Arial Unicode MS" w:cs="Arial Unicode MS"/>
          <w:color w:val="1F2933"/>
          <w:sz w:val="19"/>
        </w:rPr>
        <w:t>模型层：视触觉基础模型、专用世界模型与技能库，以开源基础版+闭源商用版拓展生态。</w:t>
      </w:r>
    </w:p>
    <w:p>
      <w:pPr>
        <w:pStyle w:val="ListBullet"/>
        <w:spacing w:before="0" w:after="70" w:line="271" w:lineRule="auto"/>
        <w:ind w:left="540" w:hanging="271"/>
      </w:pPr>
      <w:r>
        <w:rPr>
          <w:rFonts w:ascii="Calibri" w:hAnsi="Calibri" w:eastAsia="Arial Unicode MS" w:cs="Arial Unicode MS"/>
          <w:color w:val="1F2933"/>
          <w:sz w:val="19"/>
        </w:rPr>
        <w:t>商业闭环：硬件带来持续数据入口，数据服务形成复购，训练场和模型放大同一数据资产的复用价值。</w:t>
      </w:r>
    </w:p>
    <w:p>
      <w:pPr>
        <w:keepNext/>
        <w:spacing w:before="100" w:after="60"/>
      </w:pPr>
      <w:r>
        <w:rPr>
          <w:rFonts w:ascii="Calibri" w:hAnsi="Calibri" w:eastAsia="Arial Unicode MS" w:cs="Arial Unicode MS"/>
          <w:b/>
          <w:color w:val="007F73"/>
          <w:sz w:val="20"/>
        </w:rPr>
        <w:t>建议图表与版式</w:t>
      </w:r>
    </w:p>
    <w:p>
      <w:pPr>
        <w:pStyle w:val="ListBullet"/>
        <w:spacing w:before="0" w:after="60" w:line="271" w:lineRule="auto"/>
        <w:ind w:left="540" w:hanging="271"/>
      </w:pPr>
      <w:r>
        <w:rPr>
          <w:rFonts w:ascii="Calibri" w:hAnsi="Calibri" w:eastAsia="Arial Unicode MS" w:cs="Arial Unicode MS"/>
          <w:color w:val="183247"/>
          <w:sz w:val="19"/>
        </w:rPr>
        <w:t>采用纵向四层架构图，左侧标产品，右侧标客户和收费方式；不使用产品卡片阵列。</w:t>
      </w:r>
    </w:p>
    <w:p>
      <w:pPr>
        <w:pStyle w:val="ListBullet"/>
        <w:spacing w:before="0" w:after="60" w:line="271" w:lineRule="auto"/>
        <w:ind w:left="540" w:hanging="271"/>
      </w:pPr>
      <w:r>
        <w:rPr>
          <w:rFonts w:ascii="Calibri" w:hAnsi="Calibri" w:eastAsia="Arial Unicode MS" w:cs="Arial Unicode MS"/>
          <w:color w:val="183247"/>
          <w:sz w:val="19"/>
        </w:rPr>
        <w:t>用颜色区分“已商业化”“测试交付”“在研”，避免把规划能力呈现为成熟产品。</w:t>
      </w:r>
    </w:p>
    <w:p>
      <w:pPr>
        <w:keepNext/>
        <w:spacing w:before="100" w:after="60"/>
      </w:pPr>
      <w:r>
        <w:rPr>
          <w:rFonts w:ascii="Calibri" w:hAnsi="Calibri" w:eastAsia="Arial Unicode MS" w:cs="Arial Unicode MS"/>
          <w:b/>
          <w:color w:val="007F73"/>
          <w:sz w:val="20"/>
        </w:rPr>
        <w:t>关键证据与口径</w:t>
      </w:r>
    </w:p>
    <w:tbl>
      <w:tblPr>
        <w:tblStyle w:val="TableGrid"/>
        <w:tblW w:type="dxa" w:w="9360"/>
        <w:jc w:val="left"/>
        <w:tblLayout w:type="fixed"/>
        <w:tblLook w:firstColumn="1" w:firstRow="1" w:lastColumn="0" w:lastRow="0" w:noHBand="0" w:noVBand="1" w:val="04A0"/>
        <w:tblInd w:w="120" w:type="dxa"/>
      </w:tblPr>
      <w:tblGrid>
        <w:gridCol w:w="3150"/>
        <w:gridCol w:w="4380"/>
        <w:gridCol w:w="1830"/>
      </w:tblGrid>
      <w:tr>
        <w:trPr>
          <w:tblHeader w:val="true"/>
        </w:trPr>
        <w:tc>
          <w:tcPr>
            <w:tcW w:type="dxa" w:w="315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关键证据</w:t>
            </w:r>
          </w:p>
        </w:tc>
        <w:tc>
          <w:tcPr>
            <w:tcW w:type="dxa" w:w="438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建议呈现</w:t>
            </w:r>
          </w:p>
        </w:tc>
        <w:tc>
          <w:tcPr>
            <w:tcW w:type="dxa" w:w="183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来源等级</w:t>
            </w:r>
          </w:p>
        </w:tc>
      </w:tr>
      <w:tr>
        <w:tc>
          <w:tcPr>
            <w:tcW w:type="dxa" w:w="3150"/>
          </w:tcPr>
          <w:p>
            <w:pPr>
              <w:spacing w:before="0" w:after="0" w:line="269" w:lineRule="auto"/>
              <w:jc w:val="left"/>
            </w:pPr>
            <w:r>
              <w:rPr>
                <w:rFonts w:ascii="Calibri" w:hAnsi="Calibri" w:eastAsia="Arial Unicode MS" w:cs="Arial Unicode MS"/>
                <w:b w:val="0"/>
                <w:color w:val="1F2933"/>
                <w:sz w:val="17"/>
              </w:rPr>
              <w:t>硬件—数据—训练场—模型四层</w:t>
            </w:r>
          </w:p>
        </w:tc>
        <w:tc>
          <w:tcPr>
            <w:tcW w:type="dxa" w:w="4380"/>
          </w:tcPr>
          <w:p>
            <w:pPr>
              <w:spacing w:before="0" w:after="0" w:line="269" w:lineRule="auto"/>
              <w:jc w:val="left"/>
            </w:pPr>
            <w:r>
              <w:rPr>
                <w:rFonts w:ascii="Calibri" w:hAnsi="Calibri" w:eastAsia="Arial Unicode MS" w:cs="Arial Unicode MS"/>
                <w:b w:val="0"/>
                <w:color w:val="1F2933"/>
                <w:sz w:val="17"/>
              </w:rPr>
              <w:t>产品栈剖面图</w:t>
            </w:r>
          </w:p>
        </w:tc>
        <w:tc>
          <w:tcPr>
            <w:tcW w:type="dxa" w:w="1830"/>
          </w:tcPr>
          <w:p>
            <w:pPr>
              <w:spacing w:before="0" w:after="0" w:line="269" w:lineRule="auto"/>
              <w:jc w:val="center"/>
            </w:pPr>
            <w:r>
              <w:rPr>
                <w:rFonts w:ascii="Calibri" w:hAnsi="Calibri" w:eastAsia="Arial Unicode MS" w:cs="Arial Unicode MS"/>
                <w:b/>
                <w:color w:val="1F2933"/>
                <w:sz w:val="18"/>
              </w:rPr>
              <w:t>B｜高管访谈</w:t>
            </w:r>
          </w:p>
        </w:tc>
      </w:tr>
      <w:tr>
        <w:tc>
          <w:tcPr>
            <w:tcW w:type="dxa" w:w="3150"/>
            <w:shd w:fill="F2F4F7"/>
          </w:tcPr>
          <w:p>
            <w:pPr>
              <w:spacing w:before="0" w:after="0" w:line="269" w:lineRule="auto"/>
              <w:jc w:val="left"/>
            </w:pPr>
            <w:r>
              <w:rPr>
                <w:rFonts w:ascii="Calibri" w:hAnsi="Calibri" w:eastAsia="Arial Unicode MS" w:cs="Arial Unicode MS"/>
                <w:b w:val="0"/>
                <w:color w:val="1F2933"/>
                <w:sz w:val="17"/>
              </w:rPr>
              <w:t>触觉硬件形成入口，数据加工形成持续复购</w:t>
            </w:r>
          </w:p>
        </w:tc>
        <w:tc>
          <w:tcPr>
            <w:tcW w:type="dxa" w:w="4380"/>
            <w:shd w:fill="F2F4F7"/>
          </w:tcPr>
          <w:p>
            <w:pPr>
              <w:spacing w:before="0" w:after="0" w:line="269" w:lineRule="auto"/>
              <w:jc w:val="left"/>
            </w:pPr>
            <w:r>
              <w:rPr>
                <w:rFonts w:ascii="Calibri" w:hAnsi="Calibri" w:eastAsia="Arial Unicode MS" w:cs="Arial Unicode MS"/>
                <w:b w:val="0"/>
                <w:color w:val="1F2933"/>
                <w:sz w:val="17"/>
              </w:rPr>
              <w:t>商业闭环箭头</w:t>
            </w:r>
          </w:p>
        </w:tc>
        <w:tc>
          <w:tcPr>
            <w:tcW w:type="dxa" w:w="1830"/>
            <w:shd w:fill="F2F4F7"/>
          </w:tcPr>
          <w:p>
            <w:pPr>
              <w:spacing w:before="0" w:after="0" w:line="269" w:lineRule="auto"/>
              <w:jc w:val="center"/>
            </w:pPr>
            <w:r>
              <w:rPr>
                <w:rFonts w:ascii="Calibri" w:hAnsi="Calibri" w:eastAsia="Arial Unicode MS" w:cs="Arial Unicode MS"/>
                <w:b/>
                <w:color w:val="1F2933"/>
                <w:sz w:val="18"/>
              </w:rPr>
              <w:t>A/B｜客户与管理层</w:t>
            </w:r>
          </w:p>
        </w:tc>
      </w:tr>
      <w:tr>
        <w:tc>
          <w:tcPr>
            <w:tcW w:type="dxa" w:w="3150"/>
          </w:tcPr>
          <w:p>
            <w:pPr>
              <w:spacing w:before="0" w:after="0" w:line="269" w:lineRule="auto"/>
              <w:jc w:val="left"/>
            </w:pPr>
            <w:r>
              <w:rPr>
                <w:rFonts w:ascii="Calibri" w:hAnsi="Calibri" w:eastAsia="Arial Unicode MS" w:cs="Arial Unicode MS"/>
                <w:b w:val="0"/>
                <w:color w:val="1F2933"/>
                <w:sz w:val="17"/>
              </w:rPr>
              <w:t>训练场承担训练、测评、生成三项功能</w:t>
            </w:r>
          </w:p>
        </w:tc>
        <w:tc>
          <w:tcPr>
            <w:tcW w:type="dxa" w:w="4380"/>
          </w:tcPr>
          <w:p>
            <w:pPr>
              <w:spacing w:before="0" w:after="0" w:line="269" w:lineRule="auto"/>
              <w:jc w:val="left"/>
            </w:pPr>
            <w:r>
              <w:rPr>
                <w:rFonts w:ascii="Calibri" w:hAnsi="Calibri" w:eastAsia="Arial Unicode MS" w:cs="Arial Unicode MS"/>
                <w:b w:val="0"/>
                <w:color w:val="1F2933"/>
                <w:sz w:val="17"/>
              </w:rPr>
              <w:t>三功能环形箭头</w:t>
            </w:r>
          </w:p>
        </w:tc>
        <w:tc>
          <w:tcPr>
            <w:tcW w:type="dxa" w:w="1830"/>
          </w:tcPr>
          <w:p>
            <w:pPr>
              <w:spacing w:before="0" w:after="0" w:line="269" w:lineRule="auto"/>
              <w:jc w:val="center"/>
            </w:pPr>
            <w:r>
              <w:rPr>
                <w:rFonts w:ascii="Calibri" w:hAnsi="Calibri" w:eastAsia="Arial Unicode MS" w:cs="Arial Unicode MS"/>
                <w:b/>
                <w:color w:val="1F2933"/>
                <w:sz w:val="18"/>
              </w:rPr>
              <w:t>B｜高管访谈</w:t>
            </w:r>
          </w:p>
        </w:tc>
      </w:tr>
    </w:tbl>
    <w:p>
      <w:pPr>
        <w:keepLines/>
        <w:spacing w:before="120" w:after="0" w:line="288" w:lineRule="auto"/>
        <w:jc w:val="left"/>
      </w:pPr>
      <w:r>
        <w:rPr>
          <w:rFonts w:ascii="Calibri" w:hAnsi="Calibri" w:eastAsia="Arial Unicode MS" w:cs="Arial Unicode MS"/>
          <w:b w:val="0"/>
          <w:i/>
          <w:color w:val="64748B"/>
          <w:sz w:val="18"/>
        </w:rPr>
        <w:t>讲述衔接：下一步不是逐项解释功能，而是说明这四层如何形成一个客户可感知的闭环。</w:t>
      </w:r>
    </w:p>
    <w:p>
      <w:r>
        <w:br w:type="page"/>
      </w:r>
    </w:p>
    <w:p>
      <w:pPr>
        <w:keepNext/>
        <w:spacing w:before="0" w:after="100" w:line="288" w:lineRule="auto"/>
        <w:jc w:val="left"/>
      </w:pPr>
      <w:r>
        <w:rPr>
          <w:rFonts w:ascii="Calibri" w:hAnsi="Calibri" w:eastAsia="Arial Unicode MS" w:cs="Arial Unicode MS"/>
          <w:b/>
          <w:i w:val="0"/>
          <w:color w:val="007F73"/>
          <w:sz w:val="19"/>
        </w:rPr>
        <w:t>第 06 页  |  解决方案</w:t>
      </w:r>
    </w:p>
    <w:p>
      <w:pPr>
        <w:pStyle w:val="Heading1"/>
        <w:keepNext/>
      </w:pPr>
      <w:r>
        <w:t>Real-Sim-Real闭环用少量真实数据锚定物理规律，再以合成与仿真规模化扩展</w:t>
      </w:r>
    </w:p>
    <w:p>
      <w:pPr>
        <w:spacing w:before="60" w:after="120" w:line="278" w:lineRule="auto"/>
        <w:ind w:left="173" w:right="173"/>
        <w:shd w:fill="E8F4F1"/>
      </w:pPr>
      <w:r>
        <w:rPr>
          <w:rFonts w:ascii="Calibri" w:hAnsi="Calibri" w:eastAsia="Arial Unicode MS" w:cs="Arial Unicode MS"/>
          <w:b/>
          <w:color w:val="007F73"/>
          <w:sz w:val="20"/>
        </w:rPr>
        <w:t xml:space="preserve">核心观点  </w:t>
      </w:r>
      <w:r>
        <w:rPr>
          <w:rFonts w:ascii="Calibri" w:hAnsi="Calibri" w:eastAsia="Arial Unicode MS" w:cs="Arial Unicode MS"/>
          <w:b/>
          <w:color w:val="183247"/>
          <w:sz w:val="20"/>
        </w:rPr>
        <w:t>大衍选择介于纯真机采集与纯生成之间的混合路线：真实数据负责锚定，仿真与世界模型负责扩量，回到真机负责验证与迭代。</w:t>
      </w:r>
    </w:p>
    <w:p>
      <w:pPr>
        <w:keepNext/>
        <w:spacing w:before="100" w:after="60"/>
      </w:pPr>
      <w:r>
        <w:rPr>
          <w:rFonts w:ascii="Calibri" w:hAnsi="Calibri" w:eastAsia="Arial Unicode MS" w:cs="Arial Unicode MS"/>
          <w:b/>
          <w:color w:val="007F73"/>
          <w:sz w:val="20"/>
        </w:rPr>
        <w:t>主要支撑信息</w:t>
      </w:r>
    </w:p>
    <w:p>
      <w:pPr>
        <w:pStyle w:val="ListBullet"/>
        <w:spacing w:before="0" w:after="70" w:line="271" w:lineRule="auto"/>
        <w:ind w:left="540" w:hanging="271"/>
      </w:pPr>
      <w:r>
        <w:rPr>
          <w:rFonts w:ascii="Calibri" w:hAnsi="Calibri" w:eastAsia="Arial Unicode MS" w:cs="Arial Unicode MS"/>
          <w:color w:val="1F2933"/>
          <w:sz w:val="19"/>
        </w:rPr>
        <w:t>Real 1：手套与第一视角设备采集触觉、动作、环境和语义信息，形成高质量种子数据。</w:t>
      </w:r>
    </w:p>
    <w:p>
      <w:pPr>
        <w:pStyle w:val="ListBullet"/>
        <w:spacing w:before="0" w:after="70" w:line="271" w:lineRule="auto"/>
        <w:ind w:left="540" w:hanging="271"/>
      </w:pPr>
      <w:r>
        <w:rPr>
          <w:rFonts w:ascii="Calibri" w:hAnsi="Calibri" w:eastAsia="Arial Unicode MS" w:cs="Arial Unicode MS"/>
          <w:color w:val="1F2933"/>
          <w:sz w:val="19"/>
        </w:rPr>
        <w:t>Sim：三维重建提取空间约束，世界模型与受约束生成模型扩展天气、视角、物体、任务和极端工况。</w:t>
      </w:r>
    </w:p>
    <w:p>
      <w:pPr>
        <w:pStyle w:val="ListBullet"/>
        <w:spacing w:before="0" w:after="70" w:line="271" w:lineRule="auto"/>
        <w:ind w:left="540" w:hanging="271"/>
      </w:pPr>
      <w:r>
        <w:rPr>
          <w:rFonts w:ascii="Calibri" w:hAnsi="Calibri" w:eastAsia="Arial Unicode MS" w:cs="Arial Unicode MS"/>
          <w:color w:val="1F2933"/>
          <w:sz w:val="19"/>
        </w:rPr>
        <w:t>Train/Test：数字孪生训练场完成策略训练、模型评测与失败场景复现。</w:t>
      </w:r>
    </w:p>
    <w:p>
      <w:pPr>
        <w:pStyle w:val="ListBullet"/>
        <w:spacing w:before="0" w:after="70" w:line="271" w:lineRule="auto"/>
        <w:ind w:left="540" w:hanging="271"/>
      </w:pPr>
      <w:r>
        <w:rPr>
          <w:rFonts w:ascii="Calibri" w:hAnsi="Calibri" w:eastAsia="Arial Unicode MS" w:cs="Arial Unicode MS"/>
          <w:color w:val="1F2933"/>
          <w:sz w:val="19"/>
        </w:rPr>
        <w:t>Real 2：客户真机数据微调和现场反馈回灌，反向优化场景、标注和生成模型。</w:t>
      </w:r>
    </w:p>
    <w:p>
      <w:pPr>
        <w:pStyle w:val="ListBullet"/>
        <w:spacing w:before="0" w:after="70" w:line="271" w:lineRule="auto"/>
        <w:ind w:left="540" w:hanging="271"/>
      </w:pPr>
      <w:r>
        <w:rPr>
          <w:rFonts w:ascii="Calibri" w:hAnsi="Calibri" w:eastAsia="Arial Unicode MS" w:cs="Arial Unicode MS"/>
          <w:color w:val="1F2933"/>
          <w:sz w:val="19"/>
        </w:rPr>
        <w:t>闭环的商业含义：一次交付可沉淀数据、算法和场景资产，为后续复购与跨客户复用提供基础。</w:t>
      </w:r>
    </w:p>
    <w:p>
      <w:pPr>
        <w:keepNext/>
        <w:spacing w:before="100" w:after="60"/>
      </w:pPr>
      <w:r>
        <w:rPr>
          <w:rFonts w:ascii="Calibri" w:hAnsi="Calibri" w:eastAsia="Arial Unicode MS" w:cs="Arial Unicode MS"/>
          <w:b/>
          <w:color w:val="007F73"/>
          <w:sz w:val="20"/>
        </w:rPr>
        <w:t>建议图表与版式</w:t>
      </w:r>
    </w:p>
    <w:p>
      <w:pPr>
        <w:pStyle w:val="ListBullet"/>
        <w:spacing w:before="0" w:after="60" w:line="271" w:lineRule="auto"/>
        <w:ind w:left="540" w:hanging="271"/>
      </w:pPr>
      <w:r>
        <w:rPr>
          <w:rFonts w:ascii="Calibri" w:hAnsi="Calibri" w:eastAsia="Arial Unicode MS" w:cs="Arial Unicode MS"/>
          <w:color w:val="183247"/>
          <w:sz w:val="19"/>
        </w:rPr>
        <w:t>使用横向R-S-R流程图，节点下方分别标数据、算法、客户价值，不写长段文字。</w:t>
      </w:r>
    </w:p>
    <w:p>
      <w:pPr>
        <w:pStyle w:val="ListBullet"/>
        <w:spacing w:before="0" w:after="60" w:line="271" w:lineRule="auto"/>
        <w:ind w:left="540" w:hanging="271"/>
      </w:pPr>
      <w:r>
        <w:rPr>
          <w:rFonts w:ascii="Calibri" w:hAnsi="Calibri" w:eastAsia="Arial Unicode MS" w:cs="Arial Unicode MS"/>
          <w:color w:val="183247"/>
          <w:sz w:val="19"/>
        </w:rPr>
        <w:t>在回环箭头上标出“失败案例→定向生成→重新训练→真机验证”的迭代链。</w:t>
      </w:r>
    </w:p>
    <w:p>
      <w:pPr>
        <w:keepNext/>
        <w:spacing w:before="100" w:after="60"/>
      </w:pPr>
      <w:r>
        <w:rPr>
          <w:rFonts w:ascii="Calibri" w:hAnsi="Calibri" w:eastAsia="Arial Unicode MS" w:cs="Arial Unicode MS"/>
          <w:b/>
          <w:color w:val="007F73"/>
          <w:sz w:val="20"/>
        </w:rPr>
        <w:t>关键证据与口径</w:t>
      </w:r>
    </w:p>
    <w:tbl>
      <w:tblPr>
        <w:tblStyle w:val="TableGrid"/>
        <w:tblW w:type="dxa" w:w="9360"/>
        <w:jc w:val="left"/>
        <w:tblLayout w:type="fixed"/>
        <w:tblLook w:firstColumn="1" w:firstRow="1" w:lastColumn="0" w:lastRow="0" w:noHBand="0" w:noVBand="1" w:val="04A0"/>
        <w:tblInd w:w="120" w:type="dxa"/>
      </w:tblPr>
      <w:tblGrid>
        <w:gridCol w:w="3150"/>
        <w:gridCol w:w="4380"/>
        <w:gridCol w:w="1830"/>
      </w:tblGrid>
      <w:tr>
        <w:trPr>
          <w:tblHeader w:val="true"/>
        </w:trPr>
        <w:tc>
          <w:tcPr>
            <w:tcW w:type="dxa" w:w="315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关键证据</w:t>
            </w:r>
          </w:p>
        </w:tc>
        <w:tc>
          <w:tcPr>
            <w:tcW w:type="dxa" w:w="438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建议呈现</w:t>
            </w:r>
          </w:p>
        </w:tc>
        <w:tc>
          <w:tcPr>
            <w:tcW w:type="dxa" w:w="183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来源等级</w:t>
            </w:r>
          </w:p>
        </w:tc>
      </w:tr>
      <w:tr>
        <w:tc>
          <w:tcPr>
            <w:tcW w:type="dxa" w:w="3150"/>
          </w:tcPr>
          <w:p>
            <w:pPr>
              <w:spacing w:before="0" w:after="0" w:line="269" w:lineRule="auto"/>
              <w:jc w:val="left"/>
            </w:pPr>
            <w:r>
              <w:rPr>
                <w:rFonts w:ascii="Calibri" w:hAnsi="Calibri" w:eastAsia="Arial Unicode MS" w:cs="Arial Unicode MS"/>
                <w:b w:val="0"/>
                <w:color w:val="1F2933"/>
                <w:sz w:val="17"/>
              </w:rPr>
              <w:t>采集、生成、训练、验证形成闭环</w:t>
            </w:r>
          </w:p>
        </w:tc>
        <w:tc>
          <w:tcPr>
            <w:tcW w:type="dxa" w:w="4380"/>
          </w:tcPr>
          <w:p>
            <w:pPr>
              <w:spacing w:before="0" w:after="0" w:line="269" w:lineRule="auto"/>
              <w:jc w:val="left"/>
            </w:pPr>
            <w:r>
              <w:rPr>
                <w:rFonts w:ascii="Calibri" w:hAnsi="Calibri" w:eastAsia="Arial Unicode MS" w:cs="Arial Unicode MS"/>
                <w:b w:val="0"/>
                <w:color w:val="1F2933"/>
                <w:sz w:val="17"/>
              </w:rPr>
              <w:t>四节点主流程</w:t>
            </w:r>
          </w:p>
        </w:tc>
        <w:tc>
          <w:tcPr>
            <w:tcW w:type="dxa" w:w="1830"/>
          </w:tcPr>
          <w:p>
            <w:pPr>
              <w:spacing w:before="0" w:after="0" w:line="269" w:lineRule="auto"/>
              <w:jc w:val="center"/>
            </w:pPr>
            <w:r>
              <w:rPr>
                <w:rFonts w:ascii="Calibri" w:hAnsi="Calibri" w:eastAsia="Arial Unicode MS" w:cs="Arial Unicode MS"/>
                <w:b/>
                <w:color w:val="1F2933"/>
                <w:sz w:val="18"/>
              </w:rPr>
              <w:t>B｜公司材料</w:t>
            </w:r>
          </w:p>
        </w:tc>
      </w:tr>
      <w:tr>
        <w:tc>
          <w:tcPr>
            <w:tcW w:type="dxa" w:w="3150"/>
            <w:shd w:fill="F2F4F7"/>
          </w:tcPr>
          <w:p>
            <w:pPr>
              <w:spacing w:before="0" w:after="0" w:line="269" w:lineRule="auto"/>
              <w:jc w:val="left"/>
            </w:pPr>
            <w:r>
              <w:rPr>
                <w:rFonts w:ascii="Calibri" w:hAnsi="Calibri" w:eastAsia="Arial Unicode MS" w:cs="Arial Unicode MS"/>
                <w:b w:val="0"/>
                <w:color w:val="1F2933"/>
                <w:sz w:val="17"/>
              </w:rPr>
              <w:t>行之途坡道湿滑故障经合成数据定位并解决</w:t>
            </w:r>
          </w:p>
        </w:tc>
        <w:tc>
          <w:tcPr>
            <w:tcW w:type="dxa" w:w="4380"/>
            <w:shd w:fill="F2F4F7"/>
          </w:tcPr>
          <w:p>
            <w:pPr>
              <w:spacing w:before="0" w:after="0" w:line="269" w:lineRule="auto"/>
              <w:jc w:val="left"/>
            </w:pPr>
            <w:r>
              <w:rPr>
                <w:rFonts w:ascii="Calibri" w:hAnsi="Calibri" w:eastAsia="Arial Unicode MS" w:cs="Arial Unicode MS"/>
                <w:b w:val="0"/>
                <w:color w:val="1F2933"/>
                <w:sz w:val="17"/>
              </w:rPr>
              <w:t>在Real 2处放案例图标</w:t>
            </w:r>
          </w:p>
        </w:tc>
        <w:tc>
          <w:tcPr>
            <w:tcW w:type="dxa" w:w="1830"/>
            <w:shd w:fill="F2F4F7"/>
          </w:tcPr>
          <w:p>
            <w:pPr>
              <w:spacing w:before="0" w:after="0" w:line="269" w:lineRule="auto"/>
              <w:jc w:val="center"/>
            </w:pPr>
            <w:r>
              <w:rPr>
                <w:rFonts w:ascii="Calibri" w:hAnsi="Calibri" w:eastAsia="Arial Unicode MS" w:cs="Arial Unicode MS"/>
                <w:b/>
                <w:color w:val="1F2933"/>
                <w:sz w:val="18"/>
              </w:rPr>
              <w:t>A｜客户访谈</w:t>
            </w:r>
          </w:p>
        </w:tc>
      </w:tr>
      <w:tr>
        <w:tc>
          <w:tcPr>
            <w:tcW w:type="dxa" w:w="3150"/>
          </w:tcPr>
          <w:p>
            <w:pPr>
              <w:spacing w:before="0" w:after="0" w:line="269" w:lineRule="auto"/>
              <w:jc w:val="left"/>
            </w:pPr>
            <w:r>
              <w:rPr>
                <w:rFonts w:ascii="Calibri" w:hAnsi="Calibri" w:eastAsia="Arial Unicode MS" w:cs="Arial Unicode MS"/>
                <w:b w:val="0"/>
                <w:color w:val="1F2933"/>
                <w:sz w:val="17"/>
              </w:rPr>
              <w:t>数据入库前经过下游验证</w:t>
            </w:r>
          </w:p>
        </w:tc>
        <w:tc>
          <w:tcPr>
            <w:tcW w:type="dxa" w:w="4380"/>
          </w:tcPr>
          <w:p>
            <w:pPr>
              <w:spacing w:before="0" w:after="0" w:line="269" w:lineRule="auto"/>
              <w:jc w:val="left"/>
            </w:pPr>
            <w:r>
              <w:rPr>
                <w:rFonts w:ascii="Calibri" w:hAnsi="Calibri" w:eastAsia="Arial Unicode MS" w:cs="Arial Unicode MS"/>
                <w:b w:val="0"/>
                <w:color w:val="1F2933"/>
                <w:sz w:val="17"/>
              </w:rPr>
              <w:t>质量闸门图</w:t>
            </w:r>
          </w:p>
        </w:tc>
        <w:tc>
          <w:tcPr>
            <w:tcW w:type="dxa" w:w="1830"/>
          </w:tcPr>
          <w:p>
            <w:pPr>
              <w:spacing w:before="0" w:after="0" w:line="269" w:lineRule="auto"/>
              <w:jc w:val="center"/>
            </w:pPr>
            <w:r>
              <w:rPr>
                <w:rFonts w:ascii="Calibri" w:hAnsi="Calibri" w:eastAsia="Arial Unicode MS" w:cs="Arial Unicode MS"/>
                <w:b/>
                <w:color w:val="1F2933"/>
                <w:sz w:val="18"/>
              </w:rPr>
              <w:t>B｜董海巍访谈</w:t>
            </w:r>
          </w:p>
        </w:tc>
      </w:tr>
    </w:tbl>
    <w:p>
      <w:pPr>
        <w:keepLines/>
        <w:spacing w:before="120" w:after="0" w:line="288" w:lineRule="auto"/>
        <w:jc w:val="left"/>
      </w:pPr>
      <w:r>
        <w:rPr>
          <w:rFonts w:ascii="Calibri" w:hAnsi="Calibri" w:eastAsia="Arial Unicode MS" w:cs="Arial Unicode MS"/>
          <w:b w:val="0"/>
          <w:i/>
          <w:color w:val="64748B"/>
          <w:sz w:val="18"/>
        </w:rPr>
        <w:t>讲述衔接：闭环是否有经济意义，要看客户如何组合数据、能否降低真机采集占比并缩短落地周期。</w:t>
      </w:r>
    </w:p>
    <w:p>
      <w:r>
        <w:br w:type="page"/>
      </w:r>
    </w:p>
    <w:p>
      <w:pPr>
        <w:keepNext/>
        <w:spacing w:before="0" w:after="100" w:line="288" w:lineRule="auto"/>
        <w:jc w:val="left"/>
      </w:pPr>
      <w:r>
        <w:rPr>
          <w:rFonts w:ascii="Calibri" w:hAnsi="Calibri" w:eastAsia="Arial Unicode MS" w:cs="Arial Unicode MS"/>
          <w:b/>
          <w:i w:val="0"/>
          <w:color w:val="007F73"/>
          <w:sz w:val="19"/>
        </w:rPr>
        <w:t>第 07 页  |  解决方案</w:t>
      </w:r>
    </w:p>
    <w:p>
      <w:pPr>
        <w:pStyle w:val="Heading1"/>
        <w:keepNext/>
      </w:pPr>
      <w:r>
        <w:t>混合数据把“大规模预训练”和“小样本现场微调”分开，直接改善成本、周期与泛化</w:t>
      </w:r>
    </w:p>
    <w:p>
      <w:pPr>
        <w:spacing w:before="60" w:after="120" w:line="278" w:lineRule="auto"/>
        <w:ind w:left="173" w:right="173"/>
        <w:shd w:fill="E8F4F1"/>
      </w:pPr>
      <w:r>
        <w:rPr>
          <w:rFonts w:ascii="Calibri" w:hAnsi="Calibri" w:eastAsia="Arial Unicode MS" w:cs="Arial Unicode MS"/>
          <w:b/>
          <w:color w:val="007F73"/>
          <w:sz w:val="20"/>
        </w:rPr>
        <w:t xml:space="preserve">核心观点  </w:t>
      </w:r>
      <w:r>
        <w:rPr>
          <w:rFonts w:ascii="Calibri" w:hAnsi="Calibri" w:eastAsia="Arial Unicode MS" w:cs="Arial Unicode MS"/>
          <w:b/>
          <w:color w:val="183247"/>
          <w:sz w:val="20"/>
        </w:rPr>
        <w:t>大衍的客户价值不是简单替代真实数据，而是把昂贵真机采集压缩到最后一公里，让通用预训练数据承担规模化学习。</w:t>
      </w:r>
    </w:p>
    <w:p>
      <w:pPr>
        <w:keepNext/>
        <w:spacing w:before="100" w:after="60"/>
      </w:pPr>
      <w:r>
        <w:rPr>
          <w:rFonts w:ascii="Calibri" w:hAnsi="Calibri" w:eastAsia="Arial Unicode MS" w:cs="Arial Unicode MS"/>
          <w:b/>
          <w:color w:val="007F73"/>
          <w:sz w:val="20"/>
        </w:rPr>
        <w:t>主要支撑信息</w:t>
      </w:r>
    </w:p>
    <w:p>
      <w:pPr>
        <w:pStyle w:val="ListBullet"/>
        <w:spacing w:before="0" w:after="70" w:line="271" w:lineRule="auto"/>
        <w:ind w:left="540" w:hanging="271"/>
      </w:pPr>
      <w:r>
        <w:rPr>
          <w:rFonts w:ascii="Calibri" w:hAnsi="Calibri" w:eastAsia="Arial Unicode MS" w:cs="Arial Unicode MS"/>
          <w:color w:val="1F2933"/>
          <w:sz w:val="19"/>
        </w:rPr>
        <w:t>普罗宇宙采用约40%仿真数据、30%异构数据、30%自采真机数据；先做通用预训练，再用现场10-20小时真机数据微调。</w:t>
      </w:r>
    </w:p>
    <w:p>
      <w:pPr>
        <w:pStyle w:val="ListBullet"/>
        <w:spacing w:before="0" w:after="70" w:line="271" w:lineRule="auto"/>
        <w:ind w:left="540" w:hanging="271"/>
      </w:pPr>
      <w:r>
        <w:rPr>
          <w:rFonts w:ascii="Calibri" w:hAnsi="Calibri" w:eastAsia="Arial Unicode MS" w:cs="Arial Unicode MS"/>
          <w:color w:val="1F2933"/>
          <w:sz w:val="19"/>
        </w:rPr>
        <w:t>客户判断通用仿真预训练可先达到60%-70%任务完成度，再针对锁具、鞋包装等具体场景训练专家模型。</w:t>
      </w:r>
    </w:p>
    <w:p>
      <w:pPr>
        <w:pStyle w:val="ListBullet"/>
        <w:spacing w:before="0" w:after="70" w:line="271" w:lineRule="auto"/>
        <w:ind w:left="540" w:hanging="271"/>
      </w:pPr>
      <w:r>
        <w:rPr>
          <w:rFonts w:ascii="Calibri" w:hAnsi="Calibri" w:eastAsia="Arial Unicode MS" w:cs="Arial Unicode MS"/>
          <w:color w:val="1F2933"/>
          <w:sz w:val="19"/>
        </w:rPr>
        <w:t>NVIDIA公开实验中，11小时生成78万条合成轨迹，相当于6,500小时真人示教；真实+合成数据使GR00T N1性能较仅使用真实数据提升40%。</w:t>
      </w:r>
    </w:p>
    <w:p>
      <w:pPr>
        <w:pStyle w:val="ListBullet"/>
        <w:spacing w:before="0" w:after="70" w:line="271" w:lineRule="auto"/>
        <w:ind w:left="540" w:hanging="271"/>
      </w:pPr>
      <w:r>
        <w:rPr>
          <w:rFonts w:ascii="Calibri" w:hAnsi="Calibri" w:eastAsia="Arial Unicode MS" w:cs="Arial Unicode MS"/>
          <w:color w:val="1F2933"/>
          <w:sz w:val="19"/>
        </w:rPr>
        <w:t>大衍的差异在于加入触觉、可变形物体耦合和客户场景定制，而非仅生成视觉视频。</w:t>
      </w:r>
    </w:p>
    <w:p>
      <w:pPr>
        <w:keepNext/>
        <w:spacing w:before="100" w:after="60"/>
      </w:pPr>
      <w:r>
        <w:rPr>
          <w:rFonts w:ascii="Calibri" w:hAnsi="Calibri" w:eastAsia="Arial Unicode MS" w:cs="Arial Unicode MS"/>
          <w:b/>
          <w:color w:val="007F73"/>
          <w:sz w:val="20"/>
        </w:rPr>
        <w:t>建议图表与版式</w:t>
      </w:r>
    </w:p>
    <w:p>
      <w:pPr>
        <w:pStyle w:val="ListBullet"/>
        <w:spacing w:before="0" w:after="60" w:line="271" w:lineRule="auto"/>
        <w:ind w:left="540" w:hanging="271"/>
      </w:pPr>
      <w:r>
        <w:rPr>
          <w:rFonts w:ascii="Calibri" w:hAnsi="Calibri" w:eastAsia="Arial Unicode MS" w:cs="Arial Unicode MS"/>
          <w:color w:val="183247"/>
          <w:sz w:val="19"/>
        </w:rPr>
        <w:t>左侧用客户40/30/30堆叠条，右侧用“通用预训练→少量微调→现场部署”的漏斗。</w:t>
      </w:r>
    </w:p>
    <w:p>
      <w:pPr>
        <w:pStyle w:val="ListBullet"/>
        <w:spacing w:before="0" w:after="60" w:line="271" w:lineRule="auto"/>
        <w:ind w:left="540" w:hanging="271"/>
      </w:pPr>
      <w:r>
        <w:rPr>
          <w:rFonts w:ascii="Calibri" w:hAnsi="Calibri" w:eastAsia="Arial Unicode MS" w:cs="Arial Unicode MS"/>
          <w:color w:val="183247"/>
          <w:sz w:val="19"/>
        </w:rPr>
        <w:t>NVIDIA数据作为外部基准放在底部，明确不是大衍自身测试结果。</w:t>
      </w:r>
    </w:p>
    <w:p>
      <w:pPr>
        <w:keepNext/>
        <w:spacing w:before="100" w:after="60"/>
      </w:pPr>
      <w:r>
        <w:rPr>
          <w:rFonts w:ascii="Calibri" w:hAnsi="Calibri" w:eastAsia="Arial Unicode MS" w:cs="Arial Unicode MS"/>
          <w:b/>
          <w:color w:val="007F73"/>
          <w:sz w:val="20"/>
        </w:rPr>
        <w:t>关键证据与口径</w:t>
      </w:r>
    </w:p>
    <w:tbl>
      <w:tblPr>
        <w:tblStyle w:val="TableGrid"/>
        <w:tblW w:type="dxa" w:w="9360"/>
        <w:jc w:val="left"/>
        <w:tblLayout w:type="fixed"/>
        <w:tblLook w:firstColumn="1" w:firstRow="1" w:lastColumn="0" w:lastRow="0" w:noHBand="0" w:noVBand="1" w:val="04A0"/>
        <w:tblInd w:w="120" w:type="dxa"/>
      </w:tblPr>
      <w:tblGrid>
        <w:gridCol w:w="3150"/>
        <w:gridCol w:w="4380"/>
        <w:gridCol w:w="1830"/>
      </w:tblGrid>
      <w:tr>
        <w:trPr>
          <w:tblHeader w:val="true"/>
        </w:trPr>
        <w:tc>
          <w:tcPr>
            <w:tcW w:type="dxa" w:w="315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关键证据</w:t>
            </w:r>
          </w:p>
        </w:tc>
        <w:tc>
          <w:tcPr>
            <w:tcW w:type="dxa" w:w="438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建议呈现</w:t>
            </w:r>
          </w:p>
        </w:tc>
        <w:tc>
          <w:tcPr>
            <w:tcW w:type="dxa" w:w="183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来源等级</w:t>
            </w:r>
          </w:p>
        </w:tc>
      </w:tr>
      <w:tr>
        <w:tc>
          <w:tcPr>
            <w:tcW w:type="dxa" w:w="3150"/>
          </w:tcPr>
          <w:p>
            <w:pPr>
              <w:spacing w:before="0" w:after="0" w:line="269" w:lineRule="auto"/>
              <w:jc w:val="left"/>
            </w:pPr>
            <w:r>
              <w:rPr>
                <w:rFonts w:ascii="Calibri" w:hAnsi="Calibri" w:eastAsia="Arial Unicode MS" w:cs="Arial Unicode MS"/>
                <w:b w:val="0"/>
                <w:color w:val="1F2933"/>
                <w:sz w:val="17"/>
              </w:rPr>
              <w:t>40%仿真+30%异构+30%真机</w:t>
            </w:r>
          </w:p>
        </w:tc>
        <w:tc>
          <w:tcPr>
            <w:tcW w:type="dxa" w:w="4380"/>
          </w:tcPr>
          <w:p>
            <w:pPr>
              <w:spacing w:before="0" w:after="0" w:line="269" w:lineRule="auto"/>
              <w:jc w:val="left"/>
            </w:pPr>
            <w:r>
              <w:rPr>
                <w:rFonts w:ascii="Calibri" w:hAnsi="Calibri" w:eastAsia="Arial Unicode MS" w:cs="Arial Unicode MS"/>
                <w:b w:val="0"/>
                <w:color w:val="1F2933"/>
                <w:sz w:val="17"/>
              </w:rPr>
              <w:t>客户数据配方</w:t>
            </w:r>
          </w:p>
        </w:tc>
        <w:tc>
          <w:tcPr>
            <w:tcW w:type="dxa" w:w="1830"/>
          </w:tcPr>
          <w:p>
            <w:pPr>
              <w:spacing w:before="0" w:after="0" w:line="269" w:lineRule="auto"/>
              <w:jc w:val="center"/>
            </w:pPr>
            <w:r>
              <w:rPr>
                <w:rFonts w:ascii="Calibri" w:hAnsi="Calibri" w:eastAsia="Arial Unicode MS" w:cs="Arial Unicode MS"/>
                <w:b/>
                <w:color w:val="1F2933"/>
                <w:sz w:val="18"/>
              </w:rPr>
              <w:t>A｜普罗宇宙访谈</w:t>
            </w:r>
          </w:p>
        </w:tc>
      </w:tr>
      <w:tr>
        <w:tc>
          <w:tcPr>
            <w:tcW w:type="dxa" w:w="3150"/>
            <w:shd w:fill="F2F4F7"/>
          </w:tcPr>
          <w:p>
            <w:pPr>
              <w:spacing w:before="0" w:after="0" w:line="269" w:lineRule="auto"/>
              <w:jc w:val="left"/>
            </w:pPr>
            <w:r>
              <w:rPr>
                <w:rFonts w:ascii="Calibri" w:hAnsi="Calibri" w:eastAsia="Arial Unicode MS" w:cs="Arial Unicode MS"/>
                <w:b w:val="0"/>
                <w:color w:val="1F2933"/>
                <w:sz w:val="17"/>
              </w:rPr>
              <w:t>现场微调仅需10-20小时真机数据</w:t>
            </w:r>
          </w:p>
        </w:tc>
        <w:tc>
          <w:tcPr>
            <w:tcW w:type="dxa" w:w="4380"/>
            <w:shd w:fill="F2F4F7"/>
          </w:tcPr>
          <w:p>
            <w:pPr>
              <w:spacing w:before="0" w:after="0" w:line="269" w:lineRule="auto"/>
              <w:jc w:val="left"/>
            </w:pPr>
            <w:r>
              <w:rPr>
                <w:rFonts w:ascii="Calibri" w:hAnsi="Calibri" w:eastAsia="Arial Unicode MS" w:cs="Arial Unicode MS"/>
                <w:b w:val="0"/>
                <w:color w:val="1F2933"/>
                <w:sz w:val="17"/>
              </w:rPr>
              <w:t>最后一公里标注</w:t>
            </w:r>
          </w:p>
        </w:tc>
        <w:tc>
          <w:tcPr>
            <w:tcW w:type="dxa" w:w="1830"/>
            <w:shd w:fill="F2F4F7"/>
          </w:tcPr>
          <w:p>
            <w:pPr>
              <w:spacing w:before="0" w:after="0" w:line="269" w:lineRule="auto"/>
              <w:jc w:val="center"/>
            </w:pPr>
            <w:r>
              <w:rPr>
                <w:rFonts w:ascii="Calibri" w:hAnsi="Calibri" w:eastAsia="Arial Unicode MS" w:cs="Arial Unicode MS"/>
                <w:b/>
                <w:color w:val="1F2933"/>
                <w:sz w:val="18"/>
              </w:rPr>
              <w:t>A｜普罗宇宙访谈</w:t>
            </w:r>
          </w:p>
        </w:tc>
      </w:tr>
      <w:tr>
        <w:tc>
          <w:tcPr>
            <w:tcW w:type="dxa" w:w="3150"/>
          </w:tcPr>
          <w:p>
            <w:pPr>
              <w:spacing w:before="0" w:after="0" w:line="269" w:lineRule="auto"/>
              <w:jc w:val="left"/>
            </w:pPr>
            <w:r>
              <w:rPr>
                <w:rFonts w:ascii="Calibri" w:hAnsi="Calibri" w:eastAsia="Arial Unicode MS" w:cs="Arial Unicode MS"/>
                <w:b w:val="0"/>
                <w:color w:val="1F2933"/>
                <w:sz w:val="17"/>
              </w:rPr>
              <w:t>78万轨迹/11小时；混合训练性能+40%</w:t>
            </w:r>
          </w:p>
        </w:tc>
        <w:tc>
          <w:tcPr>
            <w:tcW w:type="dxa" w:w="4380"/>
          </w:tcPr>
          <w:p>
            <w:pPr>
              <w:spacing w:before="0" w:after="0" w:line="269" w:lineRule="auto"/>
              <w:jc w:val="left"/>
            </w:pPr>
            <w:r>
              <w:rPr>
                <w:rFonts w:ascii="Calibri" w:hAnsi="Calibri" w:eastAsia="Arial Unicode MS" w:cs="Arial Unicode MS"/>
                <w:b w:val="0"/>
                <w:color w:val="1F2933"/>
                <w:sz w:val="17"/>
              </w:rPr>
              <w:t>外部方法论基准</w:t>
            </w:r>
          </w:p>
        </w:tc>
        <w:tc>
          <w:tcPr>
            <w:tcW w:type="dxa" w:w="1830"/>
          </w:tcPr>
          <w:p>
            <w:pPr>
              <w:spacing w:before="0" w:after="0" w:line="269" w:lineRule="auto"/>
              <w:jc w:val="center"/>
            </w:pPr>
            <w:r>
              <w:rPr>
                <w:rFonts w:ascii="Calibri" w:hAnsi="Calibri" w:eastAsia="Arial Unicode MS" w:cs="Arial Unicode MS"/>
                <w:b/>
                <w:color w:val="1F2933"/>
                <w:sz w:val="18"/>
              </w:rPr>
              <w:t>A｜NVIDIA</w:t>
            </w:r>
          </w:p>
        </w:tc>
      </w:tr>
    </w:tbl>
    <w:p>
      <w:pPr>
        <w:keepLines/>
        <w:spacing w:before="120" w:after="0" w:line="288" w:lineRule="auto"/>
        <w:jc w:val="left"/>
      </w:pPr>
      <w:r>
        <w:rPr>
          <w:rFonts w:ascii="Calibri" w:hAnsi="Calibri" w:eastAsia="Arial Unicode MS" w:cs="Arial Unicode MS"/>
          <w:b w:val="0"/>
          <w:i/>
          <w:color w:val="64748B"/>
          <w:sz w:val="18"/>
        </w:rPr>
        <w:t>讲述衔接：能同时做触觉采集、三维重建和模型训练，关键取决于团队是否真正具备跨学科能力。</w:t>
      </w:r>
    </w:p>
    <w:p>
      <w:r>
        <w:br w:type="page"/>
      </w:r>
    </w:p>
    <w:p>
      <w:pPr>
        <w:keepNext/>
        <w:spacing w:before="0" w:after="100" w:line="288" w:lineRule="auto"/>
        <w:jc w:val="left"/>
      </w:pPr>
      <w:r>
        <w:rPr>
          <w:rFonts w:ascii="Calibri" w:hAnsi="Calibri" w:eastAsia="Arial Unicode MS" w:cs="Arial Unicode MS"/>
          <w:b/>
          <w:i w:val="0"/>
          <w:color w:val="007F73"/>
          <w:sz w:val="19"/>
        </w:rPr>
        <w:t>第 08 页  |  技术团队</w:t>
      </w:r>
    </w:p>
    <w:p>
      <w:pPr>
        <w:pStyle w:val="Heading1"/>
        <w:keepNext/>
      </w:pPr>
      <w:r>
        <w:t>团队同时具备世界级触觉研究、复杂系统工程化和数据商业交付能力，组合本身具有稀缺性</w:t>
      </w:r>
    </w:p>
    <w:p>
      <w:pPr>
        <w:spacing w:before="60" w:after="120" w:line="278" w:lineRule="auto"/>
        <w:ind w:left="173" w:right="173"/>
        <w:shd w:fill="E8F4F1"/>
      </w:pPr>
      <w:r>
        <w:rPr>
          <w:rFonts w:ascii="Calibri" w:hAnsi="Calibri" w:eastAsia="Arial Unicode MS" w:cs="Arial Unicode MS"/>
          <w:b/>
          <w:color w:val="007F73"/>
          <w:sz w:val="20"/>
        </w:rPr>
        <w:t xml:space="preserve">核心观点  </w:t>
      </w:r>
      <w:r>
        <w:rPr>
          <w:rFonts w:ascii="Calibri" w:hAnsi="Calibri" w:eastAsia="Arial Unicode MS" w:cs="Arial Unicode MS"/>
          <w:b/>
          <w:color w:val="183247"/>
          <w:sz w:val="20"/>
        </w:rPr>
        <w:t>大衍不是依赖单点技术的创业团队，而是把触觉与数字孪生学术源头、华为级工程化能力、自动驾驶数据交付经验组织在同一产品闭环中。</w:t>
      </w:r>
    </w:p>
    <w:p>
      <w:pPr>
        <w:keepNext/>
        <w:spacing w:before="100" w:after="60"/>
      </w:pPr>
      <w:r>
        <w:rPr>
          <w:rFonts w:ascii="Calibri" w:hAnsi="Calibri" w:eastAsia="Arial Unicode MS" w:cs="Arial Unicode MS"/>
          <w:b/>
          <w:color w:val="007F73"/>
          <w:sz w:val="20"/>
        </w:rPr>
        <w:t>主要支撑信息</w:t>
      </w:r>
    </w:p>
    <w:p>
      <w:pPr>
        <w:pStyle w:val="ListBullet"/>
        <w:spacing w:before="0" w:after="70" w:line="271" w:lineRule="auto"/>
        <w:ind w:left="540" w:hanging="271"/>
      </w:pPr>
      <w:r>
        <w:rPr>
          <w:rFonts w:ascii="Calibri" w:hAnsi="Calibri" w:eastAsia="Arial Unicode MS" w:cs="Arial Unicode MS"/>
          <w:color w:val="1F2933"/>
          <w:sz w:val="19"/>
        </w:rPr>
        <w:t>学术源头：萨迪克院士是国际公认的触觉与数字孪生领域权威学者，主导触觉、多模态、数字孪生与基础模型方向。</w:t>
      </w:r>
    </w:p>
    <w:p>
      <w:pPr>
        <w:pStyle w:val="ListBullet"/>
        <w:spacing w:before="0" w:after="70" w:line="271" w:lineRule="auto"/>
        <w:ind w:left="540" w:hanging="271"/>
      </w:pPr>
      <w:r>
        <w:rPr>
          <w:rFonts w:ascii="Calibri" w:hAnsi="Calibri" w:eastAsia="Arial Unicode MS" w:cs="Arial Unicode MS"/>
          <w:color w:val="1F2933"/>
          <w:sz w:val="19"/>
        </w:rPr>
        <w:t>工程化：董海巍负责产品研发、团队管理与产业对接，补足从论文到可交付产品的转化。</w:t>
      </w:r>
    </w:p>
    <w:p>
      <w:pPr>
        <w:pStyle w:val="ListBullet"/>
        <w:spacing w:before="0" w:after="70" w:line="271" w:lineRule="auto"/>
        <w:ind w:left="540" w:hanging="271"/>
      </w:pPr>
      <w:r>
        <w:rPr>
          <w:rFonts w:ascii="Calibri" w:hAnsi="Calibri" w:eastAsia="Arial Unicode MS" w:cs="Arial Unicode MS"/>
          <w:color w:val="1F2933"/>
          <w:sz w:val="19"/>
        </w:rPr>
        <w:t>创业与算法：杨林负责战略与最终决策，具备自动驾驶算法、合成数据和客户Demo转订单经历。</w:t>
      </w:r>
    </w:p>
    <w:p>
      <w:pPr>
        <w:pStyle w:val="ListBullet"/>
        <w:spacing w:before="0" w:after="70" w:line="271" w:lineRule="auto"/>
        <w:ind w:left="540" w:hanging="271"/>
      </w:pPr>
      <w:r>
        <w:rPr>
          <w:rFonts w:ascii="Calibri" w:hAnsi="Calibri" w:eastAsia="Arial Unicode MS" w:cs="Arial Unicode MS"/>
          <w:color w:val="1F2933"/>
          <w:sz w:val="19"/>
        </w:rPr>
        <w:t>商业与运营：刘岩鑫负责运营、商务、财务与融资；王剑雄聚焦自动驾驶客户及产业资源。</w:t>
      </w:r>
    </w:p>
    <w:p>
      <w:pPr>
        <w:pStyle w:val="ListBullet"/>
        <w:spacing w:before="0" w:after="70" w:line="271" w:lineRule="auto"/>
        <w:ind w:left="540" w:hanging="271"/>
      </w:pPr>
      <w:r>
        <w:rPr>
          <w:rFonts w:ascii="Calibri" w:hAnsi="Calibri" w:eastAsia="Arial Unicode MS" w:cs="Arial Unicode MS"/>
          <w:color w:val="1F2933"/>
          <w:sz w:val="19"/>
        </w:rPr>
        <w:t>组织策略：研发总量控制在30人以内，采用国内全职团队+海外远程协作，保持轻组织。</w:t>
      </w:r>
    </w:p>
    <w:p>
      <w:pPr>
        <w:keepNext/>
        <w:spacing w:before="100" w:after="60"/>
      </w:pPr>
      <w:r>
        <w:rPr>
          <w:rFonts w:ascii="Calibri" w:hAnsi="Calibri" w:eastAsia="Arial Unicode MS" w:cs="Arial Unicode MS"/>
          <w:b/>
          <w:color w:val="007F73"/>
          <w:sz w:val="20"/>
        </w:rPr>
        <w:t>建议图表与版式</w:t>
      </w:r>
    </w:p>
    <w:p>
      <w:pPr>
        <w:pStyle w:val="ListBullet"/>
        <w:spacing w:before="0" w:after="60" w:line="271" w:lineRule="auto"/>
        <w:ind w:left="540" w:hanging="271"/>
      </w:pPr>
      <w:r>
        <w:rPr>
          <w:rFonts w:ascii="Calibri" w:hAnsi="Calibri" w:eastAsia="Arial Unicode MS" w:cs="Arial Unicode MS"/>
          <w:color w:val="183247"/>
          <w:sz w:val="19"/>
        </w:rPr>
        <w:t>用“三角形团队能力图”替代简历墙：触觉学术、工程产品、商业交付各一角，中心写“触觉数据基础设施”。</w:t>
      </w:r>
    </w:p>
    <w:p>
      <w:pPr>
        <w:pStyle w:val="ListBullet"/>
        <w:spacing w:before="0" w:after="60" w:line="271" w:lineRule="auto"/>
        <w:ind w:left="540" w:hanging="271"/>
      </w:pPr>
      <w:r>
        <w:rPr>
          <w:rFonts w:ascii="Calibri" w:hAnsi="Calibri" w:eastAsia="Arial Unicode MS" w:cs="Arial Unicode MS"/>
          <w:color w:val="183247"/>
          <w:sz w:val="19"/>
        </w:rPr>
        <w:t>下方用一条产品转化链标注每个人在“研究→产品→交付→回款”中的责任。</w:t>
      </w:r>
    </w:p>
    <w:p>
      <w:pPr>
        <w:keepNext/>
        <w:spacing w:before="100" w:after="60"/>
      </w:pPr>
      <w:r>
        <w:rPr>
          <w:rFonts w:ascii="Calibri" w:hAnsi="Calibri" w:eastAsia="Arial Unicode MS" w:cs="Arial Unicode MS"/>
          <w:b/>
          <w:color w:val="007F73"/>
          <w:sz w:val="20"/>
        </w:rPr>
        <w:t>关键证据与口径</w:t>
      </w:r>
    </w:p>
    <w:tbl>
      <w:tblPr>
        <w:tblStyle w:val="TableGrid"/>
        <w:tblW w:type="dxa" w:w="9360"/>
        <w:jc w:val="left"/>
        <w:tblLayout w:type="fixed"/>
        <w:tblLook w:firstColumn="1" w:firstRow="1" w:lastColumn="0" w:lastRow="0" w:noHBand="0" w:noVBand="1" w:val="04A0"/>
        <w:tblInd w:w="120" w:type="dxa"/>
      </w:tblPr>
      <w:tblGrid>
        <w:gridCol w:w="3150"/>
        <w:gridCol w:w="4380"/>
        <w:gridCol w:w="1830"/>
      </w:tblGrid>
      <w:tr>
        <w:trPr>
          <w:tblHeader w:val="true"/>
        </w:trPr>
        <w:tc>
          <w:tcPr>
            <w:tcW w:type="dxa" w:w="315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关键证据</w:t>
            </w:r>
          </w:p>
        </w:tc>
        <w:tc>
          <w:tcPr>
            <w:tcW w:type="dxa" w:w="438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建议呈现</w:t>
            </w:r>
          </w:p>
        </w:tc>
        <w:tc>
          <w:tcPr>
            <w:tcW w:type="dxa" w:w="183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来源等级</w:t>
            </w:r>
          </w:p>
        </w:tc>
      </w:tr>
      <w:tr>
        <w:tc>
          <w:tcPr>
            <w:tcW w:type="dxa" w:w="3150"/>
          </w:tcPr>
          <w:p>
            <w:pPr>
              <w:spacing w:before="0" w:after="0" w:line="269" w:lineRule="auto"/>
              <w:jc w:val="left"/>
            </w:pPr>
            <w:r>
              <w:rPr>
                <w:rFonts w:ascii="Calibri" w:hAnsi="Calibri" w:eastAsia="Arial Unicode MS" w:cs="Arial Unicode MS"/>
                <w:b w:val="0"/>
                <w:color w:val="1F2933"/>
                <w:sz w:val="17"/>
              </w:rPr>
              <w:t>学术、工程、商业三线分工明确</w:t>
            </w:r>
          </w:p>
        </w:tc>
        <w:tc>
          <w:tcPr>
            <w:tcW w:type="dxa" w:w="4380"/>
          </w:tcPr>
          <w:p>
            <w:pPr>
              <w:spacing w:before="0" w:after="0" w:line="269" w:lineRule="auto"/>
              <w:jc w:val="left"/>
            </w:pPr>
            <w:r>
              <w:rPr>
                <w:rFonts w:ascii="Calibri" w:hAnsi="Calibri" w:eastAsia="Arial Unicode MS" w:cs="Arial Unicode MS"/>
                <w:b w:val="0"/>
                <w:color w:val="1F2933"/>
                <w:sz w:val="17"/>
              </w:rPr>
              <w:t>团队能力三角</w:t>
            </w:r>
          </w:p>
        </w:tc>
        <w:tc>
          <w:tcPr>
            <w:tcW w:type="dxa" w:w="1830"/>
          </w:tcPr>
          <w:p>
            <w:pPr>
              <w:spacing w:before="0" w:after="0" w:line="269" w:lineRule="auto"/>
              <w:jc w:val="center"/>
            </w:pPr>
            <w:r>
              <w:rPr>
                <w:rFonts w:ascii="Calibri" w:hAnsi="Calibri" w:eastAsia="Arial Unicode MS" w:cs="Arial Unicode MS"/>
                <w:b/>
                <w:color w:val="1F2933"/>
                <w:sz w:val="18"/>
              </w:rPr>
              <w:t>B｜高管访谈</w:t>
            </w:r>
          </w:p>
        </w:tc>
      </w:tr>
      <w:tr>
        <w:tc>
          <w:tcPr>
            <w:tcW w:type="dxa" w:w="3150"/>
            <w:shd w:fill="F2F4F7"/>
          </w:tcPr>
          <w:p>
            <w:pPr>
              <w:spacing w:before="0" w:after="0" w:line="269" w:lineRule="auto"/>
              <w:jc w:val="left"/>
            </w:pPr>
            <w:r>
              <w:rPr>
                <w:rFonts w:ascii="Calibri" w:hAnsi="Calibri" w:eastAsia="Arial Unicode MS" w:cs="Arial Unicode MS"/>
                <w:b w:val="0"/>
                <w:color w:val="1F2933"/>
                <w:sz w:val="17"/>
              </w:rPr>
              <w:t>杨林最终拍板，萨/董牵头研发</w:t>
            </w:r>
          </w:p>
        </w:tc>
        <w:tc>
          <w:tcPr>
            <w:tcW w:type="dxa" w:w="4380"/>
            <w:shd w:fill="F2F4F7"/>
          </w:tcPr>
          <w:p>
            <w:pPr>
              <w:spacing w:before="0" w:after="0" w:line="269" w:lineRule="auto"/>
              <w:jc w:val="left"/>
            </w:pPr>
            <w:r>
              <w:rPr>
                <w:rFonts w:ascii="Calibri" w:hAnsi="Calibri" w:eastAsia="Arial Unicode MS" w:cs="Arial Unicode MS"/>
                <w:b w:val="0"/>
                <w:color w:val="1F2933"/>
                <w:sz w:val="17"/>
              </w:rPr>
              <w:t>治理箭头</w:t>
            </w:r>
          </w:p>
        </w:tc>
        <w:tc>
          <w:tcPr>
            <w:tcW w:type="dxa" w:w="1830"/>
            <w:shd w:fill="F2F4F7"/>
          </w:tcPr>
          <w:p>
            <w:pPr>
              <w:spacing w:before="0" w:after="0" w:line="269" w:lineRule="auto"/>
              <w:jc w:val="center"/>
            </w:pPr>
            <w:r>
              <w:rPr>
                <w:rFonts w:ascii="Calibri" w:hAnsi="Calibri" w:eastAsia="Arial Unicode MS" w:cs="Arial Unicode MS"/>
                <w:b/>
                <w:color w:val="1F2933"/>
                <w:sz w:val="18"/>
              </w:rPr>
              <w:t>B｜核心团队访谈</w:t>
            </w:r>
          </w:p>
        </w:tc>
      </w:tr>
      <w:tr>
        <w:tc>
          <w:tcPr>
            <w:tcW w:type="dxa" w:w="3150"/>
          </w:tcPr>
          <w:p>
            <w:pPr>
              <w:spacing w:before="0" w:after="0" w:line="269" w:lineRule="auto"/>
              <w:jc w:val="left"/>
            </w:pPr>
            <w:r>
              <w:rPr>
                <w:rFonts w:ascii="Calibri" w:hAnsi="Calibri" w:eastAsia="Arial Unicode MS" w:cs="Arial Unicode MS"/>
                <w:b w:val="0"/>
                <w:color w:val="1F2933"/>
                <w:sz w:val="17"/>
              </w:rPr>
              <w:t>研发团队计划不超过30人</w:t>
            </w:r>
          </w:p>
        </w:tc>
        <w:tc>
          <w:tcPr>
            <w:tcW w:type="dxa" w:w="4380"/>
          </w:tcPr>
          <w:p>
            <w:pPr>
              <w:spacing w:before="0" w:after="0" w:line="269" w:lineRule="auto"/>
              <w:jc w:val="left"/>
            </w:pPr>
            <w:r>
              <w:rPr>
                <w:rFonts w:ascii="Calibri" w:hAnsi="Calibri" w:eastAsia="Arial Unicode MS" w:cs="Arial Unicode MS"/>
                <w:b w:val="0"/>
                <w:color w:val="1F2933"/>
                <w:sz w:val="17"/>
              </w:rPr>
              <w:t>轻组织标签</w:t>
            </w:r>
          </w:p>
        </w:tc>
        <w:tc>
          <w:tcPr>
            <w:tcW w:type="dxa" w:w="1830"/>
          </w:tcPr>
          <w:p>
            <w:pPr>
              <w:spacing w:before="0" w:after="0" w:line="269" w:lineRule="auto"/>
              <w:jc w:val="center"/>
            </w:pPr>
            <w:r>
              <w:rPr>
                <w:rFonts w:ascii="Calibri" w:hAnsi="Calibri" w:eastAsia="Arial Unicode MS" w:cs="Arial Unicode MS"/>
                <w:b/>
                <w:color w:val="1F2933"/>
                <w:sz w:val="18"/>
              </w:rPr>
              <w:t>B｜管理层口径</w:t>
            </w:r>
          </w:p>
        </w:tc>
      </w:tr>
    </w:tbl>
    <w:p>
      <w:pPr>
        <w:keepLines/>
        <w:spacing w:before="120" w:after="0" w:line="288" w:lineRule="auto"/>
        <w:jc w:val="left"/>
      </w:pPr>
      <w:r>
        <w:rPr>
          <w:rFonts w:ascii="Calibri" w:hAnsi="Calibri" w:eastAsia="Arial Unicode MS" w:cs="Arial Unicode MS"/>
          <w:b w:val="0"/>
          <w:i/>
          <w:color w:val="64748B"/>
          <w:sz w:val="18"/>
        </w:rPr>
        <w:t>讲述衔接：团队中最难复制的技术源头是萨迪克院士在触觉数字化、触觉通信和数字孪生方向数十年的积累。</w:t>
      </w:r>
    </w:p>
    <w:p>
      <w:r>
        <w:br w:type="page"/>
      </w:r>
    </w:p>
    <w:p>
      <w:pPr>
        <w:keepNext/>
        <w:spacing w:before="0" w:after="100" w:line="288" w:lineRule="auto"/>
        <w:jc w:val="left"/>
      </w:pPr>
      <w:r>
        <w:rPr>
          <w:rFonts w:ascii="Calibri" w:hAnsi="Calibri" w:eastAsia="Arial Unicode MS" w:cs="Arial Unicode MS"/>
          <w:b/>
          <w:i w:val="0"/>
          <w:color w:val="007F73"/>
          <w:sz w:val="19"/>
        </w:rPr>
        <w:t>第 09 页  |  技术团队</w:t>
      </w:r>
    </w:p>
    <w:p>
      <w:pPr>
        <w:pStyle w:val="Heading1"/>
        <w:keepNext/>
      </w:pPr>
      <w:r>
        <w:t>萨迪克院士是国际触觉与数字孪生领域权威，其长期研究积累直接构成大衍的技术源头</w:t>
      </w:r>
    </w:p>
    <w:p>
      <w:pPr>
        <w:spacing w:before="60" w:after="120" w:line="278" w:lineRule="auto"/>
        <w:ind w:left="173" w:right="173"/>
        <w:shd w:fill="E8F4F1"/>
      </w:pPr>
      <w:r>
        <w:rPr>
          <w:rFonts w:ascii="Calibri" w:hAnsi="Calibri" w:eastAsia="Arial Unicode MS" w:cs="Arial Unicode MS"/>
          <w:b/>
          <w:color w:val="007F73"/>
          <w:sz w:val="20"/>
        </w:rPr>
        <w:t xml:space="preserve">核心观点  </w:t>
      </w:r>
      <w:r>
        <w:rPr>
          <w:rFonts w:ascii="Calibri" w:hAnsi="Calibri" w:eastAsia="Arial Unicode MS" w:cs="Arial Unicode MS"/>
          <w:b/>
          <w:color w:val="183247"/>
          <w:sz w:val="20"/>
        </w:rPr>
        <w:t>萨迪克院士围绕触觉的数字化、通信、安全和体验评价形成系统研究，其学术方向与大衍“触觉硬件—触觉数据—触觉模型—数字孪生训练场”高度同构。</w:t>
      </w:r>
    </w:p>
    <w:p>
      <w:pPr>
        <w:keepNext/>
        <w:spacing w:before="100" w:after="60"/>
      </w:pPr>
      <w:r>
        <w:rPr>
          <w:rFonts w:ascii="Calibri" w:hAnsi="Calibri" w:eastAsia="Arial Unicode MS" w:cs="Arial Unicode MS"/>
          <w:b/>
          <w:color w:val="007F73"/>
          <w:sz w:val="20"/>
        </w:rPr>
        <w:t>主要支撑信息</w:t>
      </w:r>
    </w:p>
    <w:p>
      <w:pPr>
        <w:pStyle w:val="ListBullet"/>
        <w:spacing w:before="0" w:after="70" w:line="271" w:lineRule="auto"/>
        <w:ind w:left="540" w:hanging="271"/>
      </w:pPr>
      <w:r>
        <w:rPr>
          <w:rFonts w:ascii="Calibri" w:hAnsi="Calibri" w:eastAsia="Arial Unicode MS" w:cs="Arial Unicode MS"/>
          <w:color w:val="1F2933"/>
          <w:sz w:val="19"/>
        </w:rPr>
        <w:t>渥太华大学称其为国际公认学者和触觉领域领先研究者，核心贡献聚焦“触觉的数字化、通信与安全”，并长期领导MCRLab与DISCOVER实验室。</w:t>
      </w:r>
    </w:p>
    <w:p>
      <w:pPr>
        <w:pStyle w:val="ListBullet"/>
        <w:spacing w:before="0" w:after="70" w:line="271" w:lineRule="auto"/>
        <w:ind w:left="540" w:hanging="271"/>
      </w:pPr>
      <w:r>
        <w:rPr>
          <w:rFonts w:ascii="Calibri" w:hAnsi="Calibri" w:eastAsia="Arial Unicode MS" w:cs="Arial Unicode MS"/>
          <w:color w:val="1F2933"/>
          <w:sz w:val="19"/>
        </w:rPr>
        <w:t>其因交互式触觉—音频—视觉系统贡献当选IEEE Fellow；渥太华大学资料显示该荣誉授予比例低于IEEE会员的0.1%。</w:t>
      </w:r>
    </w:p>
    <w:p>
      <w:pPr>
        <w:pStyle w:val="ListBullet"/>
        <w:spacing w:before="0" w:after="70" w:line="271" w:lineRule="auto"/>
        <w:ind w:left="540" w:hanging="271"/>
      </w:pPr>
      <w:r>
        <w:rPr>
          <w:rFonts w:ascii="Calibri" w:hAnsi="Calibri" w:eastAsia="Arial Unicode MS" w:cs="Arial Unicode MS"/>
          <w:color w:val="1F2933"/>
          <w:sz w:val="19"/>
        </w:rPr>
        <w:t>官方履历显示其发表350余项成果、累计获得超过1,700万美元科研经费并指导100余名研究人员，形成长期技术与人才供给能力。</w:t>
      </w:r>
    </w:p>
    <w:p>
      <w:pPr>
        <w:pStyle w:val="ListBullet"/>
        <w:spacing w:before="0" w:after="70" w:line="271" w:lineRule="auto"/>
        <w:ind w:left="540" w:hanging="271"/>
      </w:pPr>
      <w:r>
        <w:rPr>
          <w:rFonts w:ascii="Calibri" w:hAnsi="Calibri" w:eastAsia="Arial Unicode MS" w:cs="Arial Unicode MS"/>
          <w:color w:val="1F2933"/>
          <w:sz w:val="19"/>
        </w:rPr>
        <w:t>加拿大皇家学会将其称为触觉生物识别与数字孪生方向的开创性研究者，2020年当选加拿大皇家学会院士。</w:t>
      </w:r>
    </w:p>
    <w:p>
      <w:pPr>
        <w:pStyle w:val="ListBullet"/>
        <w:spacing w:before="0" w:after="70" w:line="271" w:lineRule="auto"/>
        <w:ind w:left="540" w:hanging="271"/>
      </w:pPr>
      <w:r>
        <w:rPr>
          <w:rFonts w:ascii="Calibri" w:hAnsi="Calibri" w:eastAsia="Arial Unicode MS" w:cs="Arial Unicode MS"/>
          <w:color w:val="1F2933"/>
          <w:sz w:val="19"/>
        </w:rPr>
        <w:t>公司访谈称其全职牵头前沿研发，现有5名学生参与基础模型和数据管线，后续逐步全职加入。</w:t>
      </w:r>
    </w:p>
    <w:p>
      <w:pPr>
        <w:pStyle w:val="ListBullet"/>
        <w:spacing w:before="0" w:after="70" w:line="271" w:lineRule="auto"/>
        <w:ind w:left="540" w:hanging="271"/>
      </w:pPr>
      <w:r>
        <w:rPr>
          <w:rFonts w:ascii="Calibri" w:hAnsi="Calibri" w:eastAsia="Arial Unicode MS" w:cs="Arial Unicode MS"/>
          <w:color w:val="1F2933"/>
          <w:sz w:val="19"/>
        </w:rPr>
        <w:t>股权安排上，萨迪克院士实际享有16.4667%权益，由刘岩鑫代持部分已按投资文件明确归属；这是长期绑定的重要基础。</w:t>
      </w:r>
    </w:p>
    <w:p>
      <w:pPr>
        <w:keepNext/>
        <w:spacing w:before="100" w:after="60"/>
      </w:pPr>
      <w:r>
        <w:rPr>
          <w:rFonts w:ascii="Calibri" w:hAnsi="Calibri" w:eastAsia="Arial Unicode MS" w:cs="Arial Unicode MS"/>
          <w:b/>
          <w:color w:val="007F73"/>
          <w:sz w:val="20"/>
        </w:rPr>
        <w:t>建议图表与版式</w:t>
      </w:r>
    </w:p>
    <w:p>
      <w:pPr>
        <w:pStyle w:val="ListBullet"/>
        <w:spacing w:before="0" w:after="60" w:line="271" w:lineRule="auto"/>
        <w:ind w:left="540" w:hanging="271"/>
      </w:pPr>
      <w:r>
        <w:rPr>
          <w:rFonts w:ascii="Calibri" w:hAnsi="Calibri" w:eastAsia="Arial Unicode MS" w:cs="Arial Unicode MS"/>
          <w:color w:val="183247"/>
          <w:sz w:val="19"/>
        </w:rPr>
        <w:t>上半页用“研究积累→公司产品”的一一映射：触觉→手套/模型，数字孪生→训练场，多模态→数据管线。</w:t>
      </w:r>
    </w:p>
    <w:p>
      <w:pPr>
        <w:pStyle w:val="ListBullet"/>
        <w:spacing w:before="0" w:after="60" w:line="271" w:lineRule="auto"/>
        <w:ind w:left="540" w:hanging="271"/>
      </w:pPr>
      <w:r>
        <w:rPr>
          <w:rFonts w:ascii="Calibri" w:hAnsi="Calibri" w:eastAsia="Arial Unicode MS" w:cs="Arial Unicode MS"/>
          <w:color w:val="183247"/>
          <w:sz w:val="19"/>
        </w:rPr>
        <w:t>右侧只保留四个权威标签：IEEE Fellow、加拿大皇家学会院士、350+成果、1,700万美元+科研经费；下方呈现股权与人才绑定。</w:t>
      </w:r>
    </w:p>
    <w:p>
      <w:pPr>
        <w:keepNext/>
        <w:spacing w:before="100" w:after="60"/>
      </w:pPr>
      <w:r>
        <w:rPr>
          <w:rFonts w:ascii="Calibri" w:hAnsi="Calibri" w:eastAsia="Arial Unicode MS" w:cs="Arial Unicode MS"/>
          <w:b/>
          <w:color w:val="007F73"/>
          <w:sz w:val="20"/>
        </w:rPr>
        <w:t>关键证据与口径</w:t>
      </w:r>
    </w:p>
    <w:tbl>
      <w:tblPr>
        <w:tblStyle w:val="TableGrid"/>
        <w:tblW w:type="dxa" w:w="9360"/>
        <w:jc w:val="left"/>
        <w:tblLayout w:type="fixed"/>
        <w:tblLook w:firstColumn="1" w:firstRow="1" w:lastColumn="0" w:lastRow="0" w:noHBand="0" w:noVBand="1" w:val="04A0"/>
        <w:tblInd w:w="120" w:type="dxa"/>
      </w:tblPr>
      <w:tblGrid>
        <w:gridCol w:w="3150"/>
        <w:gridCol w:w="4380"/>
        <w:gridCol w:w="1830"/>
      </w:tblGrid>
      <w:tr>
        <w:trPr>
          <w:tblHeader w:val="true"/>
        </w:trPr>
        <w:tc>
          <w:tcPr>
            <w:tcW w:type="dxa" w:w="315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关键证据</w:t>
            </w:r>
          </w:p>
        </w:tc>
        <w:tc>
          <w:tcPr>
            <w:tcW w:type="dxa" w:w="438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建议呈现</w:t>
            </w:r>
          </w:p>
        </w:tc>
        <w:tc>
          <w:tcPr>
            <w:tcW w:type="dxa" w:w="183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来源等级</w:t>
            </w:r>
          </w:p>
        </w:tc>
      </w:tr>
      <w:tr>
        <w:tc>
          <w:tcPr>
            <w:tcW w:type="dxa" w:w="3150"/>
          </w:tcPr>
          <w:p>
            <w:pPr>
              <w:spacing w:before="0" w:after="0" w:line="269" w:lineRule="auto"/>
              <w:jc w:val="left"/>
            </w:pPr>
            <w:r>
              <w:rPr>
                <w:rFonts w:ascii="Calibri" w:hAnsi="Calibri" w:eastAsia="Arial Unicode MS" w:cs="Arial Unicode MS"/>
                <w:b w:val="0"/>
                <w:color w:val="1F2933"/>
                <w:sz w:val="17"/>
              </w:rPr>
              <w:t>触觉数字化、通信与安全；数字孪生开创性研究</w:t>
            </w:r>
          </w:p>
        </w:tc>
        <w:tc>
          <w:tcPr>
            <w:tcW w:type="dxa" w:w="4380"/>
          </w:tcPr>
          <w:p>
            <w:pPr>
              <w:spacing w:before="0" w:after="0" w:line="269" w:lineRule="auto"/>
              <w:jc w:val="left"/>
            </w:pPr>
            <w:r>
              <w:rPr>
                <w:rFonts w:ascii="Calibri" w:hAnsi="Calibri" w:eastAsia="Arial Unicode MS" w:cs="Arial Unicode MS"/>
                <w:b w:val="0"/>
                <w:color w:val="1F2933"/>
                <w:sz w:val="17"/>
              </w:rPr>
              <w:t>研究—产品映射</w:t>
            </w:r>
          </w:p>
        </w:tc>
        <w:tc>
          <w:tcPr>
            <w:tcW w:type="dxa" w:w="1830"/>
          </w:tcPr>
          <w:p>
            <w:pPr>
              <w:spacing w:before="0" w:after="0" w:line="269" w:lineRule="auto"/>
              <w:jc w:val="center"/>
            </w:pPr>
            <w:r>
              <w:rPr>
                <w:rFonts w:ascii="Calibri" w:hAnsi="Calibri" w:eastAsia="Arial Unicode MS" w:cs="Arial Unicode MS"/>
                <w:b/>
                <w:color w:val="1F2933"/>
                <w:sz w:val="18"/>
              </w:rPr>
              <w:t>A｜UOttawa/RSC</w:t>
            </w:r>
          </w:p>
        </w:tc>
      </w:tr>
      <w:tr>
        <w:tc>
          <w:tcPr>
            <w:tcW w:type="dxa" w:w="3150"/>
            <w:shd w:fill="F2F4F7"/>
          </w:tcPr>
          <w:p>
            <w:pPr>
              <w:spacing w:before="0" w:after="0" w:line="269" w:lineRule="auto"/>
              <w:jc w:val="left"/>
            </w:pPr>
            <w:r>
              <w:rPr>
                <w:rFonts w:ascii="Calibri" w:hAnsi="Calibri" w:eastAsia="Arial Unicode MS" w:cs="Arial Unicode MS"/>
                <w:b w:val="0"/>
                <w:color w:val="1F2933"/>
                <w:sz w:val="17"/>
              </w:rPr>
              <w:t>IEEE Fellow、350+成果、1,700万美元+科研经费</w:t>
            </w:r>
          </w:p>
        </w:tc>
        <w:tc>
          <w:tcPr>
            <w:tcW w:type="dxa" w:w="4380"/>
            <w:shd w:fill="F2F4F7"/>
          </w:tcPr>
          <w:p>
            <w:pPr>
              <w:spacing w:before="0" w:after="0" w:line="269" w:lineRule="auto"/>
              <w:jc w:val="left"/>
            </w:pPr>
            <w:r>
              <w:rPr>
                <w:rFonts w:ascii="Calibri" w:hAnsi="Calibri" w:eastAsia="Arial Unicode MS" w:cs="Arial Unicode MS"/>
                <w:b w:val="0"/>
                <w:color w:val="1F2933"/>
                <w:sz w:val="17"/>
              </w:rPr>
              <w:t>权威性大数字</w:t>
            </w:r>
          </w:p>
        </w:tc>
        <w:tc>
          <w:tcPr>
            <w:tcW w:type="dxa" w:w="1830"/>
            <w:shd w:fill="F2F4F7"/>
          </w:tcPr>
          <w:p>
            <w:pPr>
              <w:spacing w:before="0" w:after="0" w:line="269" w:lineRule="auto"/>
              <w:jc w:val="center"/>
            </w:pPr>
            <w:r>
              <w:rPr>
                <w:rFonts w:ascii="Calibri" w:hAnsi="Calibri" w:eastAsia="Arial Unicode MS" w:cs="Arial Unicode MS"/>
                <w:b/>
                <w:color w:val="1F2933"/>
                <w:sz w:val="18"/>
              </w:rPr>
              <w:t>A｜UOttawa</w:t>
            </w:r>
          </w:p>
        </w:tc>
      </w:tr>
      <w:tr>
        <w:tc>
          <w:tcPr>
            <w:tcW w:type="dxa" w:w="3150"/>
          </w:tcPr>
          <w:p>
            <w:pPr>
              <w:spacing w:before="0" w:after="0" w:line="269" w:lineRule="auto"/>
              <w:jc w:val="left"/>
            </w:pPr>
            <w:r>
              <w:rPr>
                <w:rFonts w:ascii="Calibri" w:hAnsi="Calibri" w:eastAsia="Arial Unicode MS" w:cs="Arial Unicode MS"/>
                <w:b w:val="0"/>
                <w:color w:val="1F2933"/>
                <w:sz w:val="17"/>
              </w:rPr>
              <w:t>5名学生参与公司研发</w:t>
            </w:r>
          </w:p>
        </w:tc>
        <w:tc>
          <w:tcPr>
            <w:tcW w:type="dxa" w:w="4380"/>
          </w:tcPr>
          <w:p>
            <w:pPr>
              <w:spacing w:before="0" w:after="0" w:line="269" w:lineRule="auto"/>
              <w:jc w:val="left"/>
            </w:pPr>
            <w:r>
              <w:rPr>
                <w:rFonts w:ascii="Calibri" w:hAnsi="Calibri" w:eastAsia="Arial Unicode MS" w:cs="Arial Unicode MS"/>
                <w:b w:val="0"/>
                <w:color w:val="1F2933"/>
                <w:sz w:val="17"/>
              </w:rPr>
              <w:t>人才输送管线</w:t>
            </w:r>
          </w:p>
        </w:tc>
        <w:tc>
          <w:tcPr>
            <w:tcW w:type="dxa" w:w="1830"/>
          </w:tcPr>
          <w:p>
            <w:pPr>
              <w:spacing w:before="0" w:after="0" w:line="269" w:lineRule="auto"/>
              <w:jc w:val="center"/>
            </w:pPr>
            <w:r>
              <w:rPr>
                <w:rFonts w:ascii="Calibri" w:hAnsi="Calibri" w:eastAsia="Arial Unicode MS" w:cs="Arial Unicode MS"/>
                <w:b/>
                <w:color w:val="1F2933"/>
                <w:sz w:val="18"/>
              </w:rPr>
              <w:t>B｜院士访谈</w:t>
            </w:r>
          </w:p>
        </w:tc>
      </w:tr>
    </w:tbl>
    <w:p>
      <w:pPr>
        <w:keepLines/>
        <w:spacing w:before="120" w:after="0" w:line="288" w:lineRule="auto"/>
        <w:jc w:val="left"/>
      </w:pPr>
      <w:r>
        <w:rPr>
          <w:rFonts w:ascii="Calibri" w:hAnsi="Calibri" w:eastAsia="Arial Unicode MS" w:cs="Arial Unicode MS"/>
          <w:b w:val="0"/>
          <w:i/>
          <w:color w:val="64748B"/>
          <w:sz w:val="18"/>
        </w:rPr>
        <w:t>讲述衔接：萨迪克院士解决触觉技术的高度与连续性，董海巍和杨林则把学术积累转化为产品、数据和客户收入。</w:t>
      </w:r>
    </w:p>
    <w:p>
      <w:r>
        <w:br w:type="page"/>
      </w:r>
    </w:p>
    <w:p>
      <w:pPr>
        <w:keepNext/>
        <w:spacing w:before="0" w:after="100" w:line="288" w:lineRule="auto"/>
        <w:jc w:val="left"/>
      </w:pPr>
      <w:r>
        <w:rPr>
          <w:rFonts w:ascii="Calibri" w:hAnsi="Calibri" w:eastAsia="Arial Unicode MS" w:cs="Arial Unicode MS"/>
          <w:b/>
          <w:i w:val="0"/>
          <w:color w:val="007F73"/>
          <w:sz w:val="19"/>
        </w:rPr>
        <w:t>第 10 页  |  技术团队</w:t>
      </w:r>
    </w:p>
    <w:p>
      <w:pPr>
        <w:pStyle w:val="Heading1"/>
        <w:keepNext/>
      </w:pPr>
      <w:r>
        <w:t>董海巍与杨林把院士技术转化为产品和订单，运营团队进一步完成从交付到回款的闭环</w:t>
      </w:r>
    </w:p>
    <w:p>
      <w:pPr>
        <w:spacing w:before="60" w:after="120" w:line="278" w:lineRule="auto"/>
        <w:ind w:left="173" w:right="173"/>
        <w:shd w:fill="E8F4F1"/>
      </w:pPr>
      <w:r>
        <w:rPr>
          <w:rFonts w:ascii="Calibri" w:hAnsi="Calibri" w:eastAsia="Arial Unicode MS" w:cs="Arial Unicode MS"/>
          <w:b/>
          <w:color w:val="007F73"/>
          <w:sz w:val="20"/>
        </w:rPr>
        <w:t xml:space="preserve">核心观点  </w:t>
      </w:r>
      <w:r>
        <w:rPr>
          <w:rFonts w:ascii="Calibri" w:hAnsi="Calibri" w:eastAsia="Arial Unicode MS" w:cs="Arial Unicode MS"/>
          <w:b/>
          <w:color w:val="183247"/>
          <w:sz w:val="20"/>
        </w:rPr>
        <w:t>大衍已经形成“院士定义前沿方向—董海巍负责工程产品化—杨林统筹战略与客户—运营团队保障交付回款”的完整执行链。</w:t>
      </w:r>
    </w:p>
    <w:p>
      <w:pPr>
        <w:keepNext/>
        <w:spacing w:before="100" w:after="60"/>
      </w:pPr>
      <w:r>
        <w:rPr>
          <w:rFonts w:ascii="Calibri" w:hAnsi="Calibri" w:eastAsia="Arial Unicode MS" w:cs="Arial Unicode MS"/>
          <w:b/>
          <w:color w:val="007F73"/>
          <w:sz w:val="20"/>
        </w:rPr>
        <w:t>主要支撑信息</w:t>
      </w:r>
    </w:p>
    <w:p>
      <w:pPr>
        <w:pStyle w:val="ListBullet"/>
        <w:spacing w:before="0" w:after="70" w:line="271" w:lineRule="auto"/>
        <w:ind w:left="540" w:hanging="271"/>
      </w:pPr>
      <w:r>
        <w:rPr>
          <w:rFonts w:ascii="Calibri" w:hAnsi="Calibri" w:eastAsia="Arial Unicode MS" w:cs="Arial Unicode MS"/>
          <w:color w:val="1F2933"/>
          <w:sz w:val="19"/>
        </w:rPr>
        <w:t>董海巍拥有护理机器人、救火机器人、自动采血机器人及华为自动驾驶/网络AI经历，负责工程落地、产品研发和团队管理。</w:t>
      </w:r>
    </w:p>
    <w:p>
      <w:pPr>
        <w:pStyle w:val="ListBullet"/>
        <w:spacing w:before="0" w:after="70" w:line="271" w:lineRule="auto"/>
        <w:ind w:left="540" w:hanging="271"/>
      </w:pPr>
      <w:r>
        <w:rPr>
          <w:rFonts w:ascii="Calibri" w:hAnsi="Calibri" w:eastAsia="Arial Unicode MS" w:cs="Arial Unicode MS"/>
          <w:color w:val="1F2933"/>
          <w:sz w:val="19"/>
        </w:rPr>
        <w:t>杨林从合成数据Demo出发验证订单，当前承担整体战略、组织统筹和最终决策，是公司经营主心骨。</w:t>
      </w:r>
    </w:p>
    <w:p>
      <w:pPr>
        <w:pStyle w:val="ListBullet"/>
        <w:spacing w:before="0" w:after="70" w:line="271" w:lineRule="auto"/>
        <w:ind w:left="540" w:hanging="271"/>
      </w:pPr>
      <w:r>
        <w:rPr>
          <w:rFonts w:ascii="Calibri" w:hAnsi="Calibri" w:eastAsia="Arial Unicode MS" w:cs="Arial Unicode MS"/>
          <w:color w:val="1F2933"/>
          <w:sz w:val="19"/>
        </w:rPr>
        <w:t>刘岩鑫负责运营、商务、财务与融资但不作为本轮回购责任主体；王剑雄承担自动驾驶现金流业务的客户拓展。</w:t>
      </w:r>
    </w:p>
    <w:p>
      <w:pPr>
        <w:pStyle w:val="ListBullet"/>
        <w:spacing w:before="0" w:after="70" w:line="271" w:lineRule="auto"/>
        <w:ind w:left="540" w:hanging="271"/>
      </w:pPr>
      <w:r>
        <w:rPr>
          <w:rFonts w:ascii="Calibri" w:hAnsi="Calibri" w:eastAsia="Arial Unicode MS" w:cs="Arial Unicode MS"/>
          <w:color w:val="1F2933"/>
          <w:sz w:val="19"/>
        </w:rPr>
        <w:t>研发采用国内团队与加拿大远程研究人员协同，在保持轻组织的同时连接高密度博士人才与国内工程交付资源。</w:t>
      </w:r>
    </w:p>
    <w:p>
      <w:pPr>
        <w:pStyle w:val="ListBullet"/>
        <w:spacing w:before="0" w:after="70" w:line="271" w:lineRule="auto"/>
        <w:ind w:left="540" w:hanging="271"/>
      </w:pPr>
      <w:r>
        <w:rPr>
          <w:rFonts w:ascii="Calibri" w:hAnsi="Calibri" w:eastAsia="Arial Unicode MS" w:cs="Arial Unicode MS"/>
          <w:color w:val="1F2933"/>
          <w:sz w:val="19"/>
        </w:rPr>
        <w:t>团队分工覆盖技术路线、产品研发、客户销售、项目交付和财务融资，为触觉与数据两条业务线提供完整组织保障。</w:t>
      </w:r>
    </w:p>
    <w:p>
      <w:pPr>
        <w:keepNext/>
        <w:spacing w:before="100" w:after="60"/>
      </w:pPr>
      <w:r>
        <w:rPr>
          <w:rFonts w:ascii="Calibri" w:hAnsi="Calibri" w:eastAsia="Arial Unicode MS" w:cs="Arial Unicode MS"/>
          <w:b/>
          <w:color w:val="007F73"/>
          <w:sz w:val="20"/>
        </w:rPr>
        <w:t>建议图表与版式</w:t>
      </w:r>
    </w:p>
    <w:p>
      <w:pPr>
        <w:pStyle w:val="ListBullet"/>
        <w:spacing w:before="0" w:after="60" w:line="271" w:lineRule="auto"/>
        <w:ind w:left="540" w:hanging="271"/>
      </w:pPr>
      <w:r>
        <w:rPr>
          <w:rFonts w:ascii="Calibri" w:hAnsi="Calibri" w:eastAsia="Arial Unicode MS" w:cs="Arial Unicode MS"/>
          <w:color w:val="183247"/>
          <w:sz w:val="19"/>
        </w:rPr>
        <w:t>使用RACI责任矩阵，横轴为技术路线、产品、客户、融资、财务，纵轴为核心成员。</w:t>
      </w:r>
    </w:p>
    <w:p>
      <w:pPr>
        <w:pStyle w:val="ListBullet"/>
        <w:spacing w:before="0" w:after="60" w:line="271" w:lineRule="auto"/>
        <w:ind w:left="540" w:hanging="271"/>
      </w:pPr>
      <w:r>
        <w:rPr>
          <w:rFonts w:ascii="Calibri" w:hAnsi="Calibri" w:eastAsia="Arial Unicode MS" w:cs="Arial Unicode MS"/>
          <w:color w:val="183247"/>
          <w:sz w:val="19"/>
        </w:rPr>
        <w:t>底部用产品转化链标出萨迪克院士、董海巍、杨林三人在“前沿研究→工程产品→商业交付”中的接力关系。</w:t>
      </w:r>
    </w:p>
    <w:p>
      <w:pPr>
        <w:keepNext/>
        <w:spacing w:before="100" w:after="60"/>
      </w:pPr>
      <w:r>
        <w:rPr>
          <w:rFonts w:ascii="Calibri" w:hAnsi="Calibri" w:eastAsia="Arial Unicode MS" w:cs="Arial Unicode MS"/>
          <w:b/>
          <w:color w:val="007F73"/>
          <w:sz w:val="20"/>
        </w:rPr>
        <w:t>关键证据与口径</w:t>
      </w:r>
    </w:p>
    <w:tbl>
      <w:tblPr>
        <w:tblStyle w:val="TableGrid"/>
        <w:tblW w:type="dxa" w:w="9360"/>
        <w:jc w:val="left"/>
        <w:tblLayout w:type="fixed"/>
        <w:tblLook w:firstColumn="1" w:firstRow="1" w:lastColumn="0" w:lastRow="0" w:noHBand="0" w:noVBand="1" w:val="04A0"/>
        <w:tblInd w:w="120" w:type="dxa"/>
      </w:tblPr>
      <w:tblGrid>
        <w:gridCol w:w="3150"/>
        <w:gridCol w:w="4380"/>
        <w:gridCol w:w="1830"/>
      </w:tblGrid>
      <w:tr>
        <w:trPr>
          <w:tblHeader w:val="true"/>
        </w:trPr>
        <w:tc>
          <w:tcPr>
            <w:tcW w:type="dxa" w:w="315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关键证据</w:t>
            </w:r>
          </w:p>
        </w:tc>
        <w:tc>
          <w:tcPr>
            <w:tcW w:type="dxa" w:w="438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建议呈现</w:t>
            </w:r>
          </w:p>
        </w:tc>
        <w:tc>
          <w:tcPr>
            <w:tcW w:type="dxa" w:w="183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来源等级</w:t>
            </w:r>
          </w:p>
        </w:tc>
      </w:tr>
      <w:tr>
        <w:tc>
          <w:tcPr>
            <w:tcW w:type="dxa" w:w="3150"/>
          </w:tcPr>
          <w:p>
            <w:pPr>
              <w:spacing w:before="0" w:after="0" w:line="269" w:lineRule="auto"/>
              <w:jc w:val="left"/>
            </w:pPr>
            <w:r>
              <w:rPr>
                <w:rFonts w:ascii="Calibri" w:hAnsi="Calibri" w:eastAsia="Arial Unicode MS" w:cs="Arial Unicode MS"/>
                <w:b w:val="0"/>
                <w:color w:val="1F2933"/>
                <w:sz w:val="17"/>
              </w:rPr>
              <w:t>董海巍：前沿技术工程化和团队日常管理</w:t>
            </w:r>
          </w:p>
        </w:tc>
        <w:tc>
          <w:tcPr>
            <w:tcW w:type="dxa" w:w="4380"/>
          </w:tcPr>
          <w:p>
            <w:pPr>
              <w:spacing w:before="0" w:after="0" w:line="269" w:lineRule="auto"/>
              <w:jc w:val="left"/>
            </w:pPr>
            <w:r>
              <w:rPr>
                <w:rFonts w:ascii="Calibri" w:hAnsi="Calibri" w:eastAsia="Arial Unicode MS" w:cs="Arial Unicode MS"/>
                <w:b w:val="0"/>
                <w:color w:val="1F2933"/>
                <w:sz w:val="17"/>
              </w:rPr>
              <w:t>工程化责任主线</w:t>
            </w:r>
          </w:p>
        </w:tc>
        <w:tc>
          <w:tcPr>
            <w:tcW w:type="dxa" w:w="1830"/>
          </w:tcPr>
          <w:p>
            <w:pPr>
              <w:spacing w:before="0" w:after="0" w:line="269" w:lineRule="auto"/>
              <w:jc w:val="center"/>
            </w:pPr>
            <w:r>
              <w:rPr>
                <w:rFonts w:ascii="Calibri" w:hAnsi="Calibri" w:eastAsia="Arial Unicode MS" w:cs="Arial Unicode MS"/>
                <w:b/>
                <w:color w:val="1F2933"/>
                <w:sz w:val="18"/>
              </w:rPr>
              <w:t>B｜董海巍访谈</w:t>
            </w:r>
          </w:p>
        </w:tc>
      </w:tr>
      <w:tr>
        <w:tc>
          <w:tcPr>
            <w:tcW w:type="dxa" w:w="3150"/>
            <w:shd w:fill="F2F4F7"/>
          </w:tcPr>
          <w:p>
            <w:pPr>
              <w:spacing w:before="0" w:after="0" w:line="269" w:lineRule="auto"/>
              <w:jc w:val="left"/>
            </w:pPr>
            <w:r>
              <w:rPr>
                <w:rFonts w:ascii="Calibri" w:hAnsi="Calibri" w:eastAsia="Arial Unicode MS" w:cs="Arial Unicode MS"/>
                <w:b w:val="0"/>
                <w:color w:val="1F2933"/>
                <w:sz w:val="17"/>
              </w:rPr>
              <w:t>杨林：最终决策与总体战略</w:t>
            </w:r>
          </w:p>
        </w:tc>
        <w:tc>
          <w:tcPr>
            <w:tcW w:type="dxa" w:w="4380"/>
            <w:shd w:fill="F2F4F7"/>
          </w:tcPr>
          <w:p>
            <w:pPr>
              <w:spacing w:before="0" w:after="0" w:line="269" w:lineRule="auto"/>
              <w:jc w:val="left"/>
            </w:pPr>
            <w:r>
              <w:rPr>
                <w:rFonts w:ascii="Calibri" w:hAnsi="Calibri" w:eastAsia="Arial Unicode MS" w:cs="Arial Unicode MS"/>
                <w:b w:val="0"/>
                <w:color w:val="1F2933"/>
                <w:sz w:val="17"/>
              </w:rPr>
              <w:t>决策权主线</w:t>
            </w:r>
          </w:p>
        </w:tc>
        <w:tc>
          <w:tcPr>
            <w:tcW w:type="dxa" w:w="1830"/>
            <w:shd w:fill="F2F4F7"/>
          </w:tcPr>
          <w:p>
            <w:pPr>
              <w:spacing w:before="0" w:after="0" w:line="269" w:lineRule="auto"/>
              <w:jc w:val="center"/>
            </w:pPr>
            <w:r>
              <w:rPr>
                <w:rFonts w:ascii="Calibri" w:hAnsi="Calibri" w:eastAsia="Arial Unicode MS" w:cs="Arial Unicode MS"/>
                <w:b/>
                <w:color w:val="1F2933"/>
                <w:sz w:val="18"/>
              </w:rPr>
              <w:t>B｜杨林访谈</w:t>
            </w:r>
          </w:p>
        </w:tc>
      </w:tr>
      <w:tr>
        <w:tc>
          <w:tcPr>
            <w:tcW w:type="dxa" w:w="3150"/>
          </w:tcPr>
          <w:p>
            <w:pPr>
              <w:spacing w:before="0" w:after="0" w:line="269" w:lineRule="auto"/>
              <w:jc w:val="left"/>
            </w:pPr>
            <w:r>
              <w:rPr>
                <w:rFonts w:ascii="Calibri" w:hAnsi="Calibri" w:eastAsia="Arial Unicode MS" w:cs="Arial Unicode MS"/>
                <w:b w:val="0"/>
                <w:color w:val="1F2933"/>
                <w:sz w:val="17"/>
              </w:rPr>
              <w:t>刘岩鑫非本轮责任主体</w:t>
            </w:r>
          </w:p>
        </w:tc>
        <w:tc>
          <w:tcPr>
            <w:tcW w:type="dxa" w:w="4380"/>
          </w:tcPr>
          <w:p>
            <w:pPr>
              <w:spacing w:before="0" w:after="0" w:line="269" w:lineRule="auto"/>
              <w:jc w:val="left"/>
            </w:pPr>
            <w:r>
              <w:rPr>
                <w:rFonts w:ascii="Calibri" w:hAnsi="Calibri" w:eastAsia="Arial Unicode MS" w:cs="Arial Unicode MS"/>
                <w:b w:val="0"/>
                <w:color w:val="1F2933"/>
                <w:sz w:val="17"/>
              </w:rPr>
              <w:t>治理边界注释</w:t>
            </w:r>
          </w:p>
        </w:tc>
        <w:tc>
          <w:tcPr>
            <w:tcW w:type="dxa" w:w="1830"/>
          </w:tcPr>
          <w:p>
            <w:pPr>
              <w:spacing w:before="0" w:after="0" w:line="269" w:lineRule="auto"/>
              <w:jc w:val="center"/>
            </w:pPr>
            <w:r>
              <w:rPr>
                <w:rFonts w:ascii="Calibri" w:hAnsi="Calibri" w:eastAsia="Arial Unicode MS" w:cs="Arial Unicode MS"/>
                <w:b/>
                <w:color w:val="1F2933"/>
                <w:sz w:val="18"/>
              </w:rPr>
              <w:t>A｜投资文件</w:t>
            </w:r>
          </w:p>
        </w:tc>
      </w:tr>
    </w:tbl>
    <w:p>
      <w:pPr>
        <w:keepLines/>
        <w:spacing w:before="120" w:after="0" w:line="288" w:lineRule="auto"/>
        <w:jc w:val="left"/>
      </w:pPr>
      <w:r>
        <w:rPr>
          <w:rFonts w:ascii="Calibri" w:hAnsi="Calibri" w:eastAsia="Arial Unicode MS" w:cs="Arial Unicode MS"/>
          <w:b w:val="0"/>
          <w:i/>
          <w:color w:val="64748B"/>
          <w:sz w:val="18"/>
        </w:rPr>
        <w:t>讲述衔接：团队优势最终要落到可验证的技术能力，下面分别拆解采集管线、生成路线和验证闭环。</w:t>
      </w:r>
    </w:p>
    <w:p>
      <w:r>
        <w:br w:type="page"/>
      </w:r>
    </w:p>
    <w:p>
      <w:pPr>
        <w:keepNext/>
        <w:spacing w:before="0" w:after="100" w:line="288" w:lineRule="auto"/>
        <w:jc w:val="left"/>
      </w:pPr>
      <w:r>
        <w:rPr>
          <w:rFonts w:ascii="Calibri" w:hAnsi="Calibri" w:eastAsia="Arial Unicode MS" w:cs="Arial Unicode MS"/>
          <w:b/>
          <w:i w:val="0"/>
          <w:color w:val="007F73"/>
          <w:sz w:val="19"/>
        </w:rPr>
        <w:t>第 11 页  |  技术优势</w:t>
      </w:r>
    </w:p>
    <w:p>
      <w:pPr>
        <w:pStyle w:val="Heading1"/>
        <w:keepNext/>
      </w:pPr>
      <w:r>
        <w:t>优势一：以触觉为核心的高精度采集硬件，让机器人数据第一次包含真实、连续的物理接触</w:t>
      </w:r>
    </w:p>
    <w:p>
      <w:pPr>
        <w:spacing w:before="60" w:after="120" w:line="278" w:lineRule="auto"/>
        <w:ind w:left="173" w:right="173"/>
        <w:shd w:fill="E8F4F1"/>
      </w:pPr>
      <w:r>
        <w:rPr>
          <w:rFonts w:ascii="Calibri" w:hAnsi="Calibri" w:eastAsia="Arial Unicode MS" w:cs="Arial Unicode MS"/>
          <w:b/>
          <w:color w:val="007F73"/>
          <w:sz w:val="20"/>
        </w:rPr>
        <w:t xml:space="preserve">核心观点  </w:t>
      </w:r>
      <w:r>
        <w:rPr>
          <w:rFonts w:ascii="Calibri" w:hAnsi="Calibri" w:eastAsia="Arial Unicode MS" w:cs="Arial Unicode MS"/>
          <w:b/>
          <w:color w:val="183247"/>
          <w:sz w:val="20"/>
        </w:rPr>
        <w:t>视觉能够记录动作外观，却无法完整表达接触力、滑移、材料属性和柔性形变；大衍依托萨迪克院士的触觉研究，把高精度触觉感知与人体动作、环境信息同步采集。</w:t>
      </w:r>
    </w:p>
    <w:p>
      <w:pPr>
        <w:keepNext/>
        <w:spacing w:before="100" w:after="60"/>
      </w:pPr>
      <w:r>
        <w:rPr>
          <w:rFonts w:ascii="Calibri" w:hAnsi="Calibri" w:eastAsia="Arial Unicode MS" w:cs="Arial Unicode MS"/>
          <w:b/>
          <w:color w:val="007F73"/>
          <w:sz w:val="20"/>
        </w:rPr>
        <w:t>主要支撑信息</w:t>
      </w:r>
    </w:p>
    <w:p>
      <w:pPr>
        <w:pStyle w:val="ListBullet"/>
        <w:spacing w:before="0" w:after="70" w:line="271" w:lineRule="auto"/>
        <w:ind w:left="540" w:hanging="271"/>
      </w:pPr>
      <w:r>
        <w:rPr>
          <w:rFonts w:ascii="Calibri" w:hAnsi="Calibri" w:eastAsia="Arial Unicode MS" w:cs="Arial Unicode MS"/>
          <w:color w:val="1F2933"/>
          <w:sz w:val="19"/>
        </w:rPr>
        <w:t>触觉信息覆盖接触位置、受力大小、滑移趋势和物体形变，是精密抓取、柔性装配和人机安全交互不可替代的数据模态。</w:t>
      </w:r>
    </w:p>
    <w:p>
      <w:pPr>
        <w:pStyle w:val="ListBullet"/>
        <w:spacing w:before="0" w:after="70" w:line="271" w:lineRule="auto"/>
        <w:ind w:left="540" w:hanging="271"/>
      </w:pPr>
      <w:r>
        <w:rPr>
          <w:rFonts w:ascii="Calibri" w:hAnsi="Calibri" w:eastAsia="Arial Unicode MS" w:cs="Arial Unicode MS"/>
          <w:color w:val="1F2933"/>
          <w:sz w:val="19"/>
        </w:rPr>
        <w:t>硬件同步采集人体三维骨架、手部触觉与环境信息，避免视觉、动作与触觉数据相互割裂。</w:t>
      </w:r>
    </w:p>
    <w:p>
      <w:pPr>
        <w:pStyle w:val="ListBullet"/>
        <w:spacing w:before="0" w:after="70" w:line="271" w:lineRule="auto"/>
        <w:ind w:left="540" w:hanging="271"/>
      </w:pPr>
      <w:r>
        <w:rPr>
          <w:rFonts w:ascii="Calibri" w:hAnsi="Calibri" w:eastAsia="Arial Unicode MS" w:cs="Arial Unicode MS"/>
          <w:color w:val="1F2933"/>
          <w:sz w:val="19"/>
        </w:rPr>
        <w:t>最新访谈参数：角度分辨率约0.1度、触力量程0-40N、单点分辨率0.01N、18万次弯折，兼顾精度、量程与耐久性。</w:t>
      </w:r>
    </w:p>
    <w:p>
      <w:pPr>
        <w:pStyle w:val="ListBullet"/>
        <w:spacing w:before="0" w:after="70" w:line="271" w:lineRule="auto"/>
        <w:ind w:left="540" w:hanging="271"/>
      </w:pPr>
      <w:r>
        <w:rPr>
          <w:rFonts w:ascii="Calibri" w:hAnsi="Calibri" w:eastAsia="Arial Unicode MS" w:cs="Arial Unicode MS"/>
          <w:color w:val="1F2933"/>
          <w:sz w:val="19"/>
        </w:rPr>
        <w:t>触觉手套已进入普罗宇宙等客户的第二批采购，并形成接近500套意向在手订单，验证触觉能力具备明确商业需求。</w:t>
      </w:r>
    </w:p>
    <w:p>
      <w:pPr>
        <w:pStyle w:val="ListBullet"/>
        <w:spacing w:before="0" w:after="70" w:line="271" w:lineRule="auto"/>
        <w:ind w:left="540" w:hanging="271"/>
      </w:pPr>
      <w:r>
        <w:rPr>
          <w:rFonts w:ascii="Calibri" w:hAnsi="Calibri" w:eastAsia="Arial Unicode MS" w:cs="Arial Unicode MS"/>
          <w:color w:val="1F2933"/>
          <w:sz w:val="19"/>
        </w:rPr>
        <w:t>硬件既可直接销售，也持续产生触觉数据、标定加工和模型训练需求，是大衍数据飞轮的高价值入口。</w:t>
      </w:r>
    </w:p>
    <w:p>
      <w:pPr>
        <w:keepNext/>
        <w:spacing w:before="100" w:after="60"/>
      </w:pPr>
      <w:r>
        <w:rPr>
          <w:rFonts w:ascii="Calibri" w:hAnsi="Calibri" w:eastAsia="Arial Unicode MS" w:cs="Arial Unicode MS"/>
          <w:b/>
          <w:color w:val="007F73"/>
          <w:sz w:val="20"/>
        </w:rPr>
        <w:t>建议图表与版式</w:t>
      </w:r>
    </w:p>
    <w:p>
      <w:pPr>
        <w:pStyle w:val="ListBullet"/>
        <w:spacing w:before="0" w:after="60" w:line="271" w:lineRule="auto"/>
        <w:ind w:left="540" w:hanging="271"/>
      </w:pPr>
      <w:r>
        <w:rPr>
          <w:rFonts w:ascii="Calibri" w:hAnsi="Calibri" w:eastAsia="Arial Unicode MS" w:cs="Arial Unicode MS"/>
          <w:color w:val="183247"/>
          <w:sz w:val="19"/>
        </w:rPr>
        <w:t>左侧画“视觉能看到什么 / 触觉能补充什么”的对照手掌，突出力、滑移、材质、形变四类信息。</w:t>
      </w:r>
    </w:p>
    <w:p>
      <w:pPr>
        <w:pStyle w:val="ListBullet"/>
        <w:spacing w:before="0" w:after="60" w:line="271" w:lineRule="auto"/>
        <w:ind w:left="540" w:hanging="271"/>
      </w:pPr>
      <w:r>
        <w:rPr>
          <w:rFonts w:ascii="Calibri" w:hAnsi="Calibri" w:eastAsia="Arial Unicode MS" w:cs="Arial Unicode MS"/>
          <w:color w:val="183247"/>
          <w:sz w:val="19"/>
        </w:rPr>
        <w:t>右侧放手套四项核心参数与客户采购验证，底部连接“硬件→数据→模型”的复购飞轮。</w:t>
      </w:r>
    </w:p>
    <w:p>
      <w:pPr>
        <w:keepNext/>
        <w:spacing w:before="100" w:after="60"/>
      </w:pPr>
      <w:r>
        <w:rPr>
          <w:rFonts w:ascii="Calibri" w:hAnsi="Calibri" w:eastAsia="Arial Unicode MS" w:cs="Arial Unicode MS"/>
          <w:b/>
          <w:color w:val="007F73"/>
          <w:sz w:val="20"/>
        </w:rPr>
        <w:t>关键证据与口径</w:t>
      </w:r>
    </w:p>
    <w:tbl>
      <w:tblPr>
        <w:tblStyle w:val="TableGrid"/>
        <w:tblW w:type="dxa" w:w="9360"/>
        <w:jc w:val="left"/>
        <w:tblLayout w:type="fixed"/>
        <w:tblLook w:firstColumn="1" w:firstRow="1" w:lastColumn="0" w:lastRow="0" w:noHBand="0" w:noVBand="1" w:val="04A0"/>
        <w:tblInd w:w="120" w:type="dxa"/>
      </w:tblPr>
      <w:tblGrid>
        <w:gridCol w:w="3150"/>
        <w:gridCol w:w="4380"/>
        <w:gridCol w:w="1830"/>
      </w:tblGrid>
      <w:tr>
        <w:trPr>
          <w:tblHeader w:val="true"/>
        </w:trPr>
        <w:tc>
          <w:tcPr>
            <w:tcW w:type="dxa" w:w="315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关键证据</w:t>
            </w:r>
          </w:p>
        </w:tc>
        <w:tc>
          <w:tcPr>
            <w:tcW w:type="dxa" w:w="438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建议呈现</w:t>
            </w:r>
          </w:p>
        </w:tc>
        <w:tc>
          <w:tcPr>
            <w:tcW w:type="dxa" w:w="183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来源等级</w:t>
            </w:r>
          </w:p>
        </w:tc>
      </w:tr>
      <w:tr>
        <w:tc>
          <w:tcPr>
            <w:tcW w:type="dxa" w:w="3150"/>
          </w:tcPr>
          <w:p>
            <w:pPr>
              <w:spacing w:before="0" w:after="0" w:line="269" w:lineRule="auto"/>
              <w:jc w:val="left"/>
            </w:pPr>
            <w:r>
              <w:rPr>
                <w:rFonts w:ascii="Calibri" w:hAnsi="Calibri" w:eastAsia="Arial Unicode MS" w:cs="Arial Unicode MS"/>
                <w:b w:val="0"/>
                <w:color w:val="1F2933"/>
                <w:sz w:val="17"/>
              </w:rPr>
              <w:t>0.1度、0.01N、0-40N、18万次弯折</w:t>
            </w:r>
          </w:p>
        </w:tc>
        <w:tc>
          <w:tcPr>
            <w:tcW w:type="dxa" w:w="4380"/>
          </w:tcPr>
          <w:p>
            <w:pPr>
              <w:spacing w:before="0" w:after="0" w:line="269" w:lineRule="auto"/>
              <w:jc w:val="left"/>
            </w:pPr>
            <w:r>
              <w:rPr>
                <w:rFonts w:ascii="Calibri" w:hAnsi="Calibri" w:eastAsia="Arial Unicode MS" w:cs="Arial Unicode MS"/>
                <w:b w:val="0"/>
                <w:color w:val="1F2933"/>
                <w:sz w:val="17"/>
              </w:rPr>
              <w:t>四项参数大数字</w:t>
            </w:r>
          </w:p>
        </w:tc>
        <w:tc>
          <w:tcPr>
            <w:tcW w:type="dxa" w:w="1830"/>
          </w:tcPr>
          <w:p>
            <w:pPr>
              <w:spacing w:before="0" w:after="0" w:line="269" w:lineRule="auto"/>
              <w:jc w:val="center"/>
            </w:pPr>
            <w:r>
              <w:rPr>
                <w:rFonts w:ascii="Calibri" w:hAnsi="Calibri" w:eastAsia="Arial Unicode MS" w:cs="Arial Unicode MS"/>
                <w:b/>
                <w:color w:val="1F2933"/>
                <w:sz w:val="18"/>
              </w:rPr>
              <w:t>B｜最新产品口径</w:t>
            </w:r>
          </w:p>
        </w:tc>
      </w:tr>
      <w:tr>
        <w:tc>
          <w:tcPr>
            <w:tcW w:type="dxa" w:w="3150"/>
            <w:shd w:fill="F2F4F7"/>
          </w:tcPr>
          <w:p>
            <w:pPr>
              <w:spacing w:before="0" w:after="0" w:line="269" w:lineRule="auto"/>
              <w:jc w:val="left"/>
            </w:pPr>
            <w:r>
              <w:rPr>
                <w:rFonts w:ascii="Calibri" w:hAnsi="Calibri" w:eastAsia="Arial Unicode MS" w:cs="Arial Unicode MS"/>
                <w:b w:val="0"/>
                <w:color w:val="1F2933"/>
                <w:sz w:val="17"/>
              </w:rPr>
              <w:t>客户第二批采购触觉手套</w:t>
            </w:r>
          </w:p>
        </w:tc>
        <w:tc>
          <w:tcPr>
            <w:tcW w:type="dxa" w:w="4380"/>
            <w:shd w:fill="F2F4F7"/>
          </w:tcPr>
          <w:p>
            <w:pPr>
              <w:spacing w:before="0" w:after="0" w:line="269" w:lineRule="auto"/>
              <w:jc w:val="left"/>
            </w:pPr>
            <w:r>
              <w:rPr>
                <w:rFonts w:ascii="Calibri" w:hAnsi="Calibri" w:eastAsia="Arial Unicode MS" w:cs="Arial Unicode MS"/>
                <w:b w:val="0"/>
                <w:color w:val="1F2933"/>
                <w:sz w:val="17"/>
              </w:rPr>
              <w:t>商业验证印章</w:t>
            </w:r>
          </w:p>
        </w:tc>
        <w:tc>
          <w:tcPr>
            <w:tcW w:type="dxa" w:w="1830"/>
            <w:shd w:fill="F2F4F7"/>
          </w:tcPr>
          <w:p>
            <w:pPr>
              <w:spacing w:before="0" w:after="0" w:line="269" w:lineRule="auto"/>
              <w:jc w:val="center"/>
            </w:pPr>
            <w:r>
              <w:rPr>
                <w:rFonts w:ascii="Calibri" w:hAnsi="Calibri" w:eastAsia="Arial Unicode MS" w:cs="Arial Unicode MS"/>
                <w:b/>
                <w:color w:val="1F2933"/>
                <w:sz w:val="18"/>
              </w:rPr>
              <w:t>A｜普罗宇宙访谈</w:t>
            </w:r>
          </w:p>
        </w:tc>
      </w:tr>
      <w:tr>
        <w:tc>
          <w:tcPr>
            <w:tcW w:type="dxa" w:w="3150"/>
          </w:tcPr>
          <w:p>
            <w:pPr>
              <w:spacing w:before="0" w:after="0" w:line="269" w:lineRule="auto"/>
              <w:jc w:val="left"/>
            </w:pPr>
            <w:r>
              <w:rPr>
                <w:rFonts w:ascii="Calibri" w:hAnsi="Calibri" w:eastAsia="Arial Unicode MS" w:cs="Arial Unicode MS"/>
                <w:b w:val="0"/>
                <w:color w:val="1F2933"/>
                <w:sz w:val="17"/>
              </w:rPr>
              <w:t>接近500套意向在手订单</w:t>
            </w:r>
          </w:p>
        </w:tc>
        <w:tc>
          <w:tcPr>
            <w:tcW w:type="dxa" w:w="4380"/>
          </w:tcPr>
          <w:p>
            <w:pPr>
              <w:spacing w:before="0" w:after="0" w:line="269" w:lineRule="auto"/>
              <w:jc w:val="left"/>
            </w:pPr>
            <w:r>
              <w:rPr>
                <w:rFonts w:ascii="Calibri" w:hAnsi="Calibri" w:eastAsia="Arial Unicode MS" w:cs="Arial Unicode MS"/>
                <w:b w:val="0"/>
                <w:color w:val="1F2933"/>
                <w:sz w:val="17"/>
              </w:rPr>
              <w:t>量产需求池</w:t>
            </w:r>
          </w:p>
        </w:tc>
        <w:tc>
          <w:tcPr>
            <w:tcW w:type="dxa" w:w="1830"/>
          </w:tcPr>
          <w:p>
            <w:pPr>
              <w:spacing w:before="0" w:after="0" w:line="269" w:lineRule="auto"/>
              <w:jc w:val="center"/>
            </w:pPr>
            <w:r>
              <w:rPr>
                <w:rFonts w:ascii="Calibri" w:hAnsi="Calibri" w:eastAsia="Arial Unicode MS" w:cs="Arial Unicode MS"/>
                <w:b/>
                <w:color w:val="1F2933"/>
                <w:sz w:val="18"/>
              </w:rPr>
              <w:t>B/C｜管理层确认</w:t>
            </w:r>
          </w:p>
        </w:tc>
      </w:tr>
    </w:tbl>
    <w:p>
      <w:pPr>
        <w:keepLines/>
        <w:spacing w:before="120" w:after="0" w:line="288" w:lineRule="auto"/>
        <w:jc w:val="left"/>
      </w:pPr>
      <w:r>
        <w:rPr>
          <w:rFonts w:ascii="Calibri" w:hAnsi="Calibri" w:eastAsia="Arial Unicode MS" w:cs="Arial Unicode MS"/>
          <w:b w:val="0"/>
          <w:i/>
          <w:color w:val="64748B"/>
          <w:sz w:val="18"/>
        </w:rPr>
        <w:t>讲述衔接：触觉硬件解决物理世界的数据入口，自动化管线与生成模型则把这些高价值种子数据扩展为海量可用数据。</w:t>
      </w:r>
    </w:p>
    <w:p>
      <w:r>
        <w:br w:type="page"/>
      </w:r>
    </w:p>
    <w:p>
      <w:pPr>
        <w:keepNext/>
        <w:spacing w:before="0" w:after="100" w:line="288" w:lineRule="auto"/>
        <w:jc w:val="left"/>
      </w:pPr>
      <w:r>
        <w:rPr>
          <w:rFonts w:ascii="Calibri" w:hAnsi="Calibri" w:eastAsia="Arial Unicode MS" w:cs="Arial Unicode MS"/>
          <w:b/>
          <w:i w:val="0"/>
          <w:color w:val="007F73"/>
          <w:sz w:val="19"/>
        </w:rPr>
        <w:t>第 12 页  |  技术优势</w:t>
      </w:r>
    </w:p>
    <w:p>
      <w:pPr>
        <w:pStyle w:val="Heading1"/>
        <w:keepNext/>
      </w:pPr>
      <w:r>
        <w:t>优势二：自动化数据管线叠加重建约束生成，同时解决数据加工效率、扩量速度和物理一致性</w:t>
      </w:r>
    </w:p>
    <w:p>
      <w:pPr>
        <w:spacing w:before="60" w:after="120" w:line="278" w:lineRule="auto"/>
        <w:ind w:left="173" w:right="173"/>
        <w:shd w:fill="E8F4F1"/>
      </w:pPr>
      <w:r>
        <w:rPr>
          <w:rFonts w:ascii="Calibri" w:hAnsi="Calibri" w:eastAsia="Arial Unicode MS" w:cs="Arial Unicode MS"/>
          <w:b/>
          <w:color w:val="007F73"/>
          <w:sz w:val="20"/>
        </w:rPr>
        <w:t xml:space="preserve">核心观点  </w:t>
      </w:r>
      <w:r>
        <w:rPr>
          <w:rFonts w:ascii="Calibri" w:hAnsi="Calibri" w:eastAsia="Arial Unicode MS" w:cs="Arial Unicode MS"/>
          <w:b/>
          <w:color w:val="183247"/>
          <w:sz w:val="20"/>
        </w:rPr>
        <w:t>大衍不仅能够采到触觉数据，更能自动完成切片、清洗、坐标统一、时序标注和质量验证，并以真实数据锚定的生成模型实现规模化扩量。</w:t>
      </w:r>
    </w:p>
    <w:p>
      <w:pPr>
        <w:keepNext/>
        <w:spacing w:before="100" w:after="60"/>
      </w:pPr>
      <w:r>
        <w:rPr>
          <w:rFonts w:ascii="Calibri" w:hAnsi="Calibri" w:eastAsia="Arial Unicode MS" w:cs="Arial Unicode MS"/>
          <w:b/>
          <w:color w:val="007F73"/>
          <w:sz w:val="20"/>
        </w:rPr>
        <w:t>主要支撑信息</w:t>
      </w:r>
    </w:p>
    <w:p>
      <w:pPr>
        <w:pStyle w:val="ListBullet"/>
        <w:spacing w:before="0" w:after="70" w:line="271" w:lineRule="auto"/>
        <w:ind w:left="540" w:hanging="271"/>
      </w:pPr>
      <w:r>
        <w:rPr>
          <w:rFonts w:ascii="Calibri" w:hAnsi="Calibri" w:eastAsia="Arial Unicode MS" w:cs="Arial Unicode MS"/>
          <w:color w:val="1F2933"/>
          <w:sz w:val="19"/>
        </w:rPr>
        <w:t>自动化加工：云端管线完成数据切片、骨架提取、关节轨迹计算、多模态对齐和多层语义标注，仅保留人工质检。</w:t>
      </w:r>
    </w:p>
    <w:p>
      <w:pPr>
        <w:pStyle w:val="ListBullet"/>
        <w:spacing w:before="0" w:after="70" w:line="271" w:lineRule="auto"/>
        <w:ind w:left="540" w:hanging="271"/>
      </w:pPr>
      <w:r>
        <w:rPr>
          <w:rFonts w:ascii="Calibri" w:hAnsi="Calibri" w:eastAsia="Arial Unicode MS" w:cs="Arial Unicode MS"/>
          <w:color w:val="1F2933"/>
          <w:sz w:val="19"/>
        </w:rPr>
        <w:t>质量控制：多帧一致性、标注时序精度和物理约束共同降低无效数据比例，让数据从“采集结果”升级为“训练成品”。</w:t>
      </w:r>
    </w:p>
    <w:p>
      <w:pPr>
        <w:pStyle w:val="ListBullet"/>
        <w:spacing w:before="0" w:after="70" w:line="271" w:lineRule="auto"/>
        <w:ind w:left="540" w:hanging="271"/>
      </w:pPr>
      <w:r>
        <w:rPr>
          <w:rFonts w:ascii="Calibri" w:hAnsi="Calibri" w:eastAsia="Arial Unicode MS" w:cs="Arial Unicode MS"/>
          <w:color w:val="1F2933"/>
          <w:sz w:val="19"/>
        </w:rPr>
        <w:t>规模扩展：三维重建获取几何与拓扑约束，叠加多视角一致性、时序算子和物理保真评价，再进行可控生成。</w:t>
      </w:r>
    </w:p>
    <w:p>
      <w:pPr>
        <w:pStyle w:val="ListBullet"/>
        <w:spacing w:before="0" w:after="70" w:line="271" w:lineRule="auto"/>
        <w:ind w:left="540" w:hanging="271"/>
      </w:pPr>
      <w:r>
        <w:rPr>
          <w:rFonts w:ascii="Calibri" w:hAnsi="Calibri" w:eastAsia="Arial Unicode MS" w:cs="Arial Unicode MS"/>
          <w:color w:val="1F2933"/>
          <w:sz w:val="19"/>
        </w:rPr>
        <w:t>路线优势：比单纯真机采集更易扩量，比纯生成更具物理一致性，比传统仿真更适合批量场景生产。</w:t>
      </w:r>
    </w:p>
    <w:p>
      <w:pPr>
        <w:pStyle w:val="ListBullet"/>
        <w:spacing w:before="0" w:after="70" w:line="271" w:lineRule="auto"/>
        <w:ind w:left="540" w:hanging="271"/>
      </w:pPr>
      <w:r>
        <w:rPr>
          <w:rFonts w:ascii="Calibri" w:hAnsi="Calibri" w:eastAsia="Arial Unicode MS" w:cs="Arial Unicode MS"/>
          <w:color w:val="1F2933"/>
          <w:sz w:val="19"/>
        </w:rPr>
        <w:t>异构数据裸数据成本约60-70元/小时、处理后售价300-400元/小时，体现高质量加工和可用性带来的显著价值增量。</w:t>
      </w:r>
    </w:p>
    <w:p>
      <w:pPr>
        <w:keepNext/>
        <w:spacing w:before="100" w:after="60"/>
      </w:pPr>
      <w:r>
        <w:rPr>
          <w:rFonts w:ascii="Calibri" w:hAnsi="Calibri" w:eastAsia="Arial Unicode MS" w:cs="Arial Unicode MS"/>
          <w:b/>
          <w:color w:val="007F73"/>
          <w:sz w:val="20"/>
        </w:rPr>
        <w:t>建议图表与版式</w:t>
      </w:r>
    </w:p>
    <w:p>
      <w:pPr>
        <w:pStyle w:val="ListBullet"/>
        <w:spacing w:before="0" w:after="60" w:line="271" w:lineRule="auto"/>
        <w:ind w:left="540" w:hanging="271"/>
      </w:pPr>
      <w:r>
        <w:rPr>
          <w:rFonts w:ascii="Calibri" w:hAnsi="Calibri" w:eastAsia="Arial Unicode MS" w:cs="Arial Unicode MS"/>
          <w:color w:val="183247"/>
          <w:sz w:val="19"/>
        </w:rPr>
        <w:t>上半页画“原始数据→自动加工→受约束生成→训练成品”的四段产线，并标出每段质量闸门。</w:t>
      </w:r>
    </w:p>
    <w:p>
      <w:pPr>
        <w:pStyle w:val="ListBullet"/>
        <w:spacing w:before="0" w:after="60" w:line="271" w:lineRule="auto"/>
        <w:ind w:left="540" w:hanging="271"/>
      </w:pPr>
      <w:r>
        <w:rPr>
          <w:rFonts w:ascii="Calibri" w:hAnsi="Calibri" w:eastAsia="Arial Unicode MS" w:cs="Arial Unicode MS"/>
          <w:color w:val="183247"/>
          <w:sz w:val="19"/>
        </w:rPr>
        <w:t>下半页用三路线坐标图比较真机采集、传统仿真和纯生成，大衍位于规模化与物理可信度的交汇位置。</w:t>
      </w:r>
    </w:p>
    <w:p>
      <w:pPr>
        <w:keepNext/>
        <w:spacing w:before="100" w:after="60"/>
      </w:pPr>
      <w:r>
        <w:rPr>
          <w:rFonts w:ascii="Calibri" w:hAnsi="Calibri" w:eastAsia="Arial Unicode MS" w:cs="Arial Unicode MS"/>
          <w:b/>
          <w:color w:val="007F73"/>
          <w:sz w:val="20"/>
        </w:rPr>
        <w:t>关键证据与口径</w:t>
      </w:r>
    </w:p>
    <w:tbl>
      <w:tblPr>
        <w:tblStyle w:val="TableGrid"/>
        <w:tblW w:type="dxa" w:w="9360"/>
        <w:jc w:val="left"/>
        <w:tblLayout w:type="fixed"/>
        <w:tblLook w:firstColumn="1" w:firstRow="1" w:lastColumn="0" w:lastRow="0" w:noHBand="0" w:noVBand="1" w:val="04A0"/>
        <w:tblInd w:w="120" w:type="dxa"/>
      </w:tblPr>
      <w:tblGrid>
        <w:gridCol w:w="3150"/>
        <w:gridCol w:w="4380"/>
        <w:gridCol w:w="1830"/>
      </w:tblGrid>
      <w:tr>
        <w:trPr>
          <w:tblHeader w:val="true"/>
        </w:trPr>
        <w:tc>
          <w:tcPr>
            <w:tcW w:type="dxa" w:w="315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关键证据</w:t>
            </w:r>
          </w:p>
        </w:tc>
        <w:tc>
          <w:tcPr>
            <w:tcW w:type="dxa" w:w="438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建议呈现</w:t>
            </w:r>
          </w:p>
        </w:tc>
        <w:tc>
          <w:tcPr>
            <w:tcW w:type="dxa" w:w="183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来源等级</w:t>
            </w:r>
          </w:p>
        </w:tc>
      </w:tr>
      <w:tr>
        <w:tc>
          <w:tcPr>
            <w:tcW w:type="dxa" w:w="3150"/>
          </w:tcPr>
          <w:p>
            <w:pPr>
              <w:spacing w:before="0" w:after="0" w:line="269" w:lineRule="auto"/>
              <w:jc w:val="left"/>
            </w:pPr>
            <w:r>
              <w:rPr>
                <w:rFonts w:ascii="Calibri" w:hAnsi="Calibri" w:eastAsia="Arial Unicode MS" w:cs="Arial Unicode MS"/>
                <w:b w:val="0"/>
                <w:color w:val="1F2933"/>
                <w:sz w:val="17"/>
              </w:rPr>
              <w:t>切片、骨架、轨迹、对齐、标注自动化</w:t>
            </w:r>
          </w:p>
        </w:tc>
        <w:tc>
          <w:tcPr>
            <w:tcW w:type="dxa" w:w="4380"/>
          </w:tcPr>
          <w:p>
            <w:pPr>
              <w:spacing w:before="0" w:after="0" w:line="269" w:lineRule="auto"/>
              <w:jc w:val="left"/>
            </w:pPr>
            <w:r>
              <w:rPr>
                <w:rFonts w:ascii="Calibri" w:hAnsi="Calibri" w:eastAsia="Arial Unicode MS" w:cs="Arial Unicode MS"/>
                <w:b w:val="0"/>
                <w:color w:val="1F2933"/>
                <w:sz w:val="17"/>
              </w:rPr>
              <w:t>数据加工产线</w:t>
            </w:r>
          </w:p>
        </w:tc>
        <w:tc>
          <w:tcPr>
            <w:tcW w:type="dxa" w:w="1830"/>
          </w:tcPr>
          <w:p>
            <w:pPr>
              <w:spacing w:before="0" w:after="0" w:line="269" w:lineRule="auto"/>
              <w:jc w:val="center"/>
            </w:pPr>
            <w:r>
              <w:rPr>
                <w:rFonts w:ascii="Calibri" w:hAnsi="Calibri" w:eastAsia="Arial Unicode MS" w:cs="Arial Unicode MS"/>
                <w:b/>
                <w:color w:val="1F2933"/>
                <w:sz w:val="18"/>
              </w:rPr>
              <w:t>B｜高管访谈</w:t>
            </w:r>
          </w:p>
        </w:tc>
      </w:tr>
      <w:tr>
        <w:tc>
          <w:tcPr>
            <w:tcW w:type="dxa" w:w="3150"/>
            <w:shd w:fill="F2F4F7"/>
          </w:tcPr>
          <w:p>
            <w:pPr>
              <w:spacing w:before="0" w:after="0" w:line="269" w:lineRule="auto"/>
              <w:jc w:val="left"/>
            </w:pPr>
            <w:r>
              <w:rPr>
                <w:rFonts w:ascii="Calibri" w:hAnsi="Calibri" w:eastAsia="Arial Unicode MS" w:cs="Arial Unicode MS"/>
                <w:b w:val="0"/>
                <w:color w:val="1F2933"/>
                <w:sz w:val="17"/>
              </w:rPr>
              <w:t>重建约束+世界模型+保真评价</w:t>
            </w:r>
          </w:p>
        </w:tc>
        <w:tc>
          <w:tcPr>
            <w:tcW w:type="dxa" w:w="4380"/>
            <w:shd w:fill="F2F4F7"/>
          </w:tcPr>
          <w:p>
            <w:pPr>
              <w:spacing w:before="0" w:after="0" w:line="269" w:lineRule="auto"/>
              <w:jc w:val="left"/>
            </w:pPr>
            <w:r>
              <w:rPr>
                <w:rFonts w:ascii="Calibri" w:hAnsi="Calibri" w:eastAsia="Arial Unicode MS" w:cs="Arial Unicode MS"/>
                <w:b w:val="0"/>
                <w:color w:val="1F2933"/>
                <w:sz w:val="17"/>
              </w:rPr>
              <w:t>混合扩量路线</w:t>
            </w:r>
          </w:p>
        </w:tc>
        <w:tc>
          <w:tcPr>
            <w:tcW w:type="dxa" w:w="1830"/>
            <w:shd w:fill="F2F4F7"/>
          </w:tcPr>
          <w:p>
            <w:pPr>
              <w:spacing w:before="0" w:after="0" w:line="269" w:lineRule="auto"/>
              <w:jc w:val="center"/>
            </w:pPr>
            <w:r>
              <w:rPr>
                <w:rFonts w:ascii="Calibri" w:hAnsi="Calibri" w:eastAsia="Arial Unicode MS" w:cs="Arial Unicode MS"/>
                <w:b/>
                <w:color w:val="1F2933"/>
                <w:sz w:val="18"/>
              </w:rPr>
              <w:t>B｜公司材料</w:t>
            </w:r>
          </w:p>
        </w:tc>
      </w:tr>
      <w:tr>
        <w:tc>
          <w:tcPr>
            <w:tcW w:type="dxa" w:w="3150"/>
          </w:tcPr>
          <w:p>
            <w:pPr>
              <w:spacing w:before="0" w:after="0" w:line="269" w:lineRule="auto"/>
              <w:jc w:val="left"/>
            </w:pPr>
            <w:r>
              <w:rPr>
                <w:rFonts w:ascii="Calibri" w:hAnsi="Calibri" w:eastAsia="Arial Unicode MS" w:cs="Arial Unicode MS"/>
                <w:b w:val="0"/>
                <w:color w:val="1F2933"/>
                <w:sz w:val="17"/>
              </w:rPr>
              <w:t>裸数据60-70元/小时、成品300-400元/小时</w:t>
            </w:r>
          </w:p>
        </w:tc>
        <w:tc>
          <w:tcPr>
            <w:tcW w:type="dxa" w:w="4380"/>
          </w:tcPr>
          <w:p>
            <w:pPr>
              <w:spacing w:before="0" w:after="0" w:line="269" w:lineRule="auto"/>
              <w:jc w:val="left"/>
            </w:pPr>
            <w:r>
              <w:rPr>
                <w:rFonts w:ascii="Calibri" w:hAnsi="Calibri" w:eastAsia="Arial Unicode MS" w:cs="Arial Unicode MS"/>
                <w:b w:val="0"/>
                <w:color w:val="1F2933"/>
                <w:sz w:val="17"/>
              </w:rPr>
              <w:t>加工价值瀑布</w:t>
            </w:r>
          </w:p>
        </w:tc>
        <w:tc>
          <w:tcPr>
            <w:tcW w:type="dxa" w:w="1830"/>
          </w:tcPr>
          <w:p>
            <w:pPr>
              <w:spacing w:before="0" w:after="0" w:line="269" w:lineRule="auto"/>
              <w:jc w:val="center"/>
            </w:pPr>
            <w:r>
              <w:rPr>
                <w:rFonts w:ascii="Calibri" w:hAnsi="Calibri" w:eastAsia="Arial Unicode MS" w:cs="Arial Unicode MS"/>
                <w:b/>
                <w:color w:val="1F2933"/>
                <w:sz w:val="18"/>
              </w:rPr>
              <w:t>B｜运营访谈</w:t>
            </w:r>
          </w:p>
        </w:tc>
      </w:tr>
    </w:tbl>
    <w:p>
      <w:pPr>
        <w:keepLines/>
        <w:spacing w:before="120" w:after="0" w:line="288" w:lineRule="auto"/>
        <w:jc w:val="left"/>
      </w:pPr>
      <w:r>
        <w:rPr>
          <w:rFonts w:ascii="Calibri" w:hAnsi="Calibri" w:eastAsia="Arial Unicode MS" w:cs="Arial Unicode MS"/>
          <w:b w:val="0"/>
          <w:i/>
          <w:color w:val="64748B"/>
          <w:sz w:val="18"/>
        </w:rPr>
        <w:t>讲述衔接：技术路线本身不是壁垒，真正决定商业价值的是能否被客户验证、复现失败工况并形成数据飞轮。</w:t>
      </w:r>
    </w:p>
    <w:p>
      <w:r>
        <w:br w:type="page"/>
      </w:r>
    </w:p>
    <w:p>
      <w:pPr>
        <w:keepNext/>
        <w:spacing w:before="0" w:after="100" w:line="288" w:lineRule="auto"/>
        <w:jc w:val="left"/>
      </w:pPr>
      <w:r>
        <w:rPr>
          <w:rFonts w:ascii="Calibri" w:hAnsi="Calibri" w:eastAsia="Arial Unicode MS" w:cs="Arial Unicode MS"/>
          <w:b/>
          <w:i w:val="0"/>
          <w:color w:val="007F73"/>
          <w:sz w:val="19"/>
        </w:rPr>
        <w:t>第 13 页  |  技术优势</w:t>
      </w:r>
    </w:p>
    <w:p>
      <w:pPr>
        <w:pStyle w:val="Heading1"/>
        <w:keepNext/>
      </w:pPr>
      <w:r>
        <w:t>优势三：触觉验证、柔性物体耦合与失败场景复现已获客户点名认可，形成难替代的技术闭环</w:t>
      </w:r>
    </w:p>
    <w:p>
      <w:pPr>
        <w:spacing w:before="60" w:after="120" w:line="278" w:lineRule="auto"/>
        <w:ind w:left="173" w:right="173"/>
        <w:shd w:fill="E8F4F1"/>
      </w:pPr>
      <w:r>
        <w:rPr>
          <w:rFonts w:ascii="Calibri" w:hAnsi="Calibri" w:eastAsia="Arial Unicode MS" w:cs="Arial Unicode MS"/>
          <w:b/>
          <w:color w:val="007F73"/>
          <w:sz w:val="20"/>
        </w:rPr>
        <w:t xml:space="preserve">核心观点  </w:t>
      </w:r>
      <w:r>
        <w:rPr>
          <w:rFonts w:ascii="Calibri" w:hAnsi="Calibri" w:eastAsia="Arial Unicode MS" w:cs="Arial Unicode MS"/>
          <w:b/>
          <w:color w:val="183247"/>
          <w:sz w:val="20"/>
        </w:rPr>
        <w:t>大衍的触觉能力已经从学术积累和产品参数走向客户任务：触觉验证、可变形物体耦合和失败工况复现均被客户用于供应商选择和真实问题解决。</w:t>
      </w:r>
    </w:p>
    <w:p>
      <w:pPr>
        <w:keepNext/>
        <w:spacing w:before="100" w:after="60"/>
      </w:pPr>
      <w:r>
        <w:rPr>
          <w:rFonts w:ascii="Calibri" w:hAnsi="Calibri" w:eastAsia="Arial Unicode MS" w:cs="Arial Unicode MS"/>
          <w:b/>
          <w:color w:val="007F73"/>
          <w:sz w:val="20"/>
        </w:rPr>
        <w:t>主要支撑信息</w:t>
      </w:r>
    </w:p>
    <w:p>
      <w:pPr>
        <w:pStyle w:val="ListBullet"/>
        <w:spacing w:before="0" w:after="70" w:line="271" w:lineRule="auto"/>
        <w:ind w:left="540" w:hanging="271"/>
      </w:pPr>
      <w:r>
        <w:rPr>
          <w:rFonts w:ascii="Calibri" w:hAnsi="Calibri" w:eastAsia="Arial Unicode MS" w:cs="Arial Unicode MS"/>
          <w:color w:val="1F2933"/>
          <w:sz w:val="19"/>
        </w:rPr>
        <w:t>普罗宇宙明确表示，触觉验证与可变形固体耦合仿真是其他备选供应商尚未满足的能力，也是工业长时任务的核心需求。</w:t>
      </w:r>
    </w:p>
    <w:p>
      <w:pPr>
        <w:pStyle w:val="ListBullet"/>
        <w:spacing w:before="0" w:after="70" w:line="271" w:lineRule="auto"/>
        <w:ind w:left="540" w:hanging="271"/>
      </w:pPr>
      <w:r>
        <w:rPr>
          <w:rFonts w:ascii="Calibri" w:hAnsi="Calibri" w:eastAsia="Arial Unicode MS" w:cs="Arial Unicode MS"/>
          <w:color w:val="1F2933"/>
          <w:sz w:val="19"/>
        </w:rPr>
        <w:t>行之途认为大衍在成本、响应速度、场景丰富度和长尾覆盖上优于对比供应商，并能节省客户研发侧数据处理精力。</w:t>
      </w:r>
    </w:p>
    <w:p>
      <w:pPr>
        <w:pStyle w:val="ListBullet"/>
        <w:spacing w:before="0" w:after="70" w:line="271" w:lineRule="auto"/>
        <w:ind w:left="540" w:hanging="271"/>
      </w:pPr>
      <w:r>
        <w:rPr>
          <w:rFonts w:ascii="Calibri" w:hAnsi="Calibri" w:eastAsia="Arial Unicode MS" w:cs="Arial Unicode MS"/>
          <w:color w:val="1F2933"/>
          <w:sz w:val="19"/>
        </w:rPr>
        <w:t>昆明校园坡道湿滑案例证明，大衍不仅生成画面，而是复现故障工况并帮助客户修改控制逻辑和硬件配置。</w:t>
      </w:r>
    </w:p>
    <w:p>
      <w:pPr>
        <w:pStyle w:val="ListBullet"/>
        <w:spacing w:before="0" w:after="70" w:line="271" w:lineRule="auto"/>
        <w:ind w:left="540" w:hanging="271"/>
      </w:pPr>
      <w:r>
        <w:rPr>
          <w:rFonts w:ascii="Calibri" w:hAnsi="Calibri" w:eastAsia="Arial Unicode MS" w:cs="Arial Unicode MS"/>
          <w:color w:val="1F2933"/>
          <w:sz w:val="19"/>
        </w:rPr>
        <w:t>数字孪生训练场同时承载训练、评测和合成数据生产，有条件形成“客户问题—场景资产—数据—模型效果”的长期复用。</w:t>
      </w:r>
    </w:p>
    <w:p>
      <w:pPr>
        <w:pStyle w:val="ListBullet"/>
        <w:spacing w:before="0" w:after="70" w:line="271" w:lineRule="auto"/>
        <w:ind w:left="540" w:hanging="271"/>
      </w:pPr>
      <w:r>
        <w:rPr>
          <w:rFonts w:ascii="Calibri" w:hAnsi="Calibri" w:eastAsia="Arial Unicode MS" w:cs="Arial Unicode MS"/>
          <w:color w:val="1F2933"/>
          <w:sz w:val="19"/>
        </w:rPr>
        <w:t>随着客户问题持续沉淀为场景资产、触觉数据和模型效果，大衍有望形成跨客户复用的数据飞轮与标准化平台壁垒。</w:t>
      </w:r>
    </w:p>
    <w:p>
      <w:pPr>
        <w:keepNext/>
        <w:spacing w:before="100" w:after="60"/>
      </w:pPr>
      <w:r>
        <w:rPr>
          <w:rFonts w:ascii="Calibri" w:hAnsi="Calibri" w:eastAsia="Arial Unicode MS" w:cs="Arial Unicode MS"/>
          <w:b/>
          <w:color w:val="007F73"/>
          <w:sz w:val="20"/>
        </w:rPr>
        <w:t>建议图表与版式</w:t>
      </w:r>
    </w:p>
    <w:p>
      <w:pPr>
        <w:pStyle w:val="ListBullet"/>
        <w:spacing w:before="0" w:after="60" w:line="271" w:lineRule="auto"/>
        <w:ind w:left="540" w:hanging="271"/>
      </w:pPr>
      <w:r>
        <w:rPr>
          <w:rFonts w:ascii="Calibri" w:hAnsi="Calibri" w:eastAsia="Arial Unicode MS" w:cs="Arial Unicode MS"/>
          <w:color w:val="183247"/>
          <w:sz w:val="19"/>
        </w:rPr>
        <w:t>以客户证言为中心，左右分别放“独有能力”和“可量化结果”，避免堆叠算法名词。</w:t>
      </w:r>
    </w:p>
    <w:p>
      <w:pPr>
        <w:pStyle w:val="ListBullet"/>
        <w:spacing w:before="0" w:after="60" w:line="271" w:lineRule="auto"/>
        <w:ind w:left="540" w:hanging="271"/>
      </w:pPr>
      <w:r>
        <w:rPr>
          <w:rFonts w:ascii="Calibri" w:hAnsi="Calibri" w:eastAsia="Arial Unicode MS" w:cs="Arial Unicode MS"/>
          <w:color w:val="183247"/>
          <w:sz w:val="19"/>
        </w:rPr>
        <w:t>用失败工况闭环图呈现坡道案例：问题→生成→定位→算法/ABS改进→故障消失。</w:t>
      </w:r>
    </w:p>
    <w:p>
      <w:pPr>
        <w:keepNext/>
        <w:spacing w:before="100" w:after="60"/>
      </w:pPr>
      <w:r>
        <w:rPr>
          <w:rFonts w:ascii="Calibri" w:hAnsi="Calibri" w:eastAsia="Arial Unicode MS" w:cs="Arial Unicode MS"/>
          <w:b/>
          <w:color w:val="007F73"/>
          <w:sz w:val="20"/>
        </w:rPr>
        <w:t>关键证据与口径</w:t>
      </w:r>
    </w:p>
    <w:tbl>
      <w:tblPr>
        <w:tblStyle w:val="TableGrid"/>
        <w:tblW w:type="dxa" w:w="9360"/>
        <w:jc w:val="left"/>
        <w:tblLayout w:type="fixed"/>
        <w:tblLook w:firstColumn="1" w:firstRow="1" w:lastColumn="0" w:lastRow="0" w:noHBand="0" w:noVBand="1" w:val="04A0"/>
        <w:tblInd w:w="120" w:type="dxa"/>
      </w:tblPr>
      <w:tblGrid>
        <w:gridCol w:w="3150"/>
        <w:gridCol w:w="4380"/>
        <w:gridCol w:w="1830"/>
      </w:tblGrid>
      <w:tr>
        <w:trPr>
          <w:tblHeader w:val="true"/>
        </w:trPr>
        <w:tc>
          <w:tcPr>
            <w:tcW w:type="dxa" w:w="315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关键证据</w:t>
            </w:r>
          </w:p>
        </w:tc>
        <w:tc>
          <w:tcPr>
            <w:tcW w:type="dxa" w:w="438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建议呈现</w:t>
            </w:r>
          </w:p>
        </w:tc>
        <w:tc>
          <w:tcPr>
            <w:tcW w:type="dxa" w:w="183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来源等级</w:t>
            </w:r>
          </w:p>
        </w:tc>
      </w:tr>
      <w:tr>
        <w:tc>
          <w:tcPr>
            <w:tcW w:type="dxa" w:w="3150"/>
          </w:tcPr>
          <w:p>
            <w:pPr>
              <w:spacing w:before="0" w:after="0" w:line="269" w:lineRule="auto"/>
              <w:jc w:val="left"/>
            </w:pPr>
            <w:r>
              <w:rPr>
                <w:rFonts w:ascii="Calibri" w:hAnsi="Calibri" w:eastAsia="Arial Unicode MS" w:cs="Arial Unicode MS"/>
                <w:b w:val="0"/>
                <w:color w:val="1F2933"/>
                <w:sz w:val="17"/>
              </w:rPr>
              <w:t>触觉验证、可变形固体耦合为选型关键</w:t>
            </w:r>
          </w:p>
        </w:tc>
        <w:tc>
          <w:tcPr>
            <w:tcW w:type="dxa" w:w="4380"/>
          </w:tcPr>
          <w:p>
            <w:pPr>
              <w:spacing w:before="0" w:after="0" w:line="269" w:lineRule="auto"/>
              <w:jc w:val="left"/>
            </w:pPr>
            <w:r>
              <w:rPr>
                <w:rFonts w:ascii="Calibri" w:hAnsi="Calibri" w:eastAsia="Arial Unicode MS" w:cs="Arial Unicode MS"/>
                <w:b w:val="0"/>
                <w:color w:val="1F2933"/>
                <w:sz w:val="17"/>
              </w:rPr>
              <w:t>客户原话摘要</w:t>
            </w:r>
          </w:p>
        </w:tc>
        <w:tc>
          <w:tcPr>
            <w:tcW w:type="dxa" w:w="1830"/>
          </w:tcPr>
          <w:p>
            <w:pPr>
              <w:spacing w:before="0" w:after="0" w:line="269" w:lineRule="auto"/>
              <w:jc w:val="center"/>
            </w:pPr>
            <w:r>
              <w:rPr>
                <w:rFonts w:ascii="Calibri" w:hAnsi="Calibri" w:eastAsia="Arial Unicode MS" w:cs="Arial Unicode MS"/>
                <w:b/>
                <w:color w:val="1F2933"/>
                <w:sz w:val="18"/>
              </w:rPr>
              <w:t>A｜普罗宇宙</w:t>
            </w:r>
          </w:p>
        </w:tc>
      </w:tr>
      <w:tr>
        <w:tc>
          <w:tcPr>
            <w:tcW w:type="dxa" w:w="3150"/>
            <w:shd w:fill="F2F4F7"/>
          </w:tcPr>
          <w:p>
            <w:pPr>
              <w:spacing w:before="0" w:after="0" w:line="269" w:lineRule="auto"/>
              <w:jc w:val="left"/>
            </w:pPr>
            <w:r>
              <w:rPr>
                <w:rFonts w:ascii="Calibri" w:hAnsi="Calibri" w:eastAsia="Arial Unicode MS" w:cs="Arial Unicode MS"/>
                <w:b w:val="0"/>
                <w:color w:val="1F2933"/>
                <w:sz w:val="17"/>
              </w:rPr>
              <w:t>坡道湿滑侧翻问题被复现并解决</w:t>
            </w:r>
          </w:p>
        </w:tc>
        <w:tc>
          <w:tcPr>
            <w:tcW w:type="dxa" w:w="4380"/>
            <w:shd w:fill="F2F4F7"/>
          </w:tcPr>
          <w:p>
            <w:pPr>
              <w:spacing w:before="0" w:after="0" w:line="269" w:lineRule="auto"/>
              <w:jc w:val="left"/>
            </w:pPr>
            <w:r>
              <w:rPr>
                <w:rFonts w:ascii="Calibri" w:hAnsi="Calibri" w:eastAsia="Arial Unicode MS" w:cs="Arial Unicode MS"/>
                <w:b w:val="0"/>
                <w:color w:val="1F2933"/>
                <w:sz w:val="17"/>
              </w:rPr>
              <w:t>单案例闭环</w:t>
            </w:r>
          </w:p>
        </w:tc>
        <w:tc>
          <w:tcPr>
            <w:tcW w:type="dxa" w:w="1830"/>
            <w:shd w:fill="F2F4F7"/>
          </w:tcPr>
          <w:p>
            <w:pPr>
              <w:spacing w:before="0" w:after="0" w:line="269" w:lineRule="auto"/>
              <w:jc w:val="center"/>
            </w:pPr>
            <w:r>
              <w:rPr>
                <w:rFonts w:ascii="Calibri" w:hAnsi="Calibri" w:eastAsia="Arial Unicode MS" w:cs="Arial Unicode MS"/>
                <w:b/>
                <w:color w:val="1F2933"/>
                <w:sz w:val="18"/>
              </w:rPr>
              <w:t>A｜行之途</w:t>
            </w:r>
          </w:p>
        </w:tc>
      </w:tr>
      <w:tr>
        <w:tc>
          <w:tcPr>
            <w:tcW w:type="dxa" w:w="3150"/>
          </w:tcPr>
          <w:p>
            <w:pPr>
              <w:spacing w:before="0" w:after="0" w:line="269" w:lineRule="auto"/>
              <w:jc w:val="left"/>
            </w:pPr>
            <w:r>
              <w:rPr>
                <w:rFonts w:ascii="Calibri" w:hAnsi="Calibri" w:eastAsia="Arial Unicode MS" w:cs="Arial Unicode MS"/>
                <w:b w:val="0"/>
                <w:color w:val="1F2933"/>
                <w:sz w:val="17"/>
              </w:rPr>
              <w:t>训练场三功能与资产复用</w:t>
            </w:r>
          </w:p>
        </w:tc>
        <w:tc>
          <w:tcPr>
            <w:tcW w:type="dxa" w:w="4380"/>
          </w:tcPr>
          <w:p>
            <w:pPr>
              <w:spacing w:before="0" w:after="0" w:line="269" w:lineRule="auto"/>
              <w:jc w:val="left"/>
            </w:pPr>
            <w:r>
              <w:rPr>
                <w:rFonts w:ascii="Calibri" w:hAnsi="Calibri" w:eastAsia="Arial Unicode MS" w:cs="Arial Unicode MS"/>
                <w:b w:val="0"/>
                <w:color w:val="1F2933"/>
                <w:sz w:val="17"/>
              </w:rPr>
              <w:t>平台飞轮</w:t>
            </w:r>
          </w:p>
        </w:tc>
        <w:tc>
          <w:tcPr>
            <w:tcW w:type="dxa" w:w="1830"/>
          </w:tcPr>
          <w:p>
            <w:pPr>
              <w:spacing w:before="0" w:after="0" w:line="269" w:lineRule="auto"/>
              <w:jc w:val="center"/>
            </w:pPr>
            <w:r>
              <w:rPr>
                <w:rFonts w:ascii="Calibri" w:hAnsi="Calibri" w:eastAsia="Arial Unicode MS" w:cs="Arial Unicode MS"/>
                <w:b/>
                <w:color w:val="1F2933"/>
                <w:sz w:val="18"/>
              </w:rPr>
              <w:t>B｜公司材料</w:t>
            </w:r>
          </w:p>
        </w:tc>
      </w:tr>
    </w:tbl>
    <w:p>
      <w:pPr>
        <w:keepLines/>
        <w:spacing w:before="120" w:after="0" w:line="288" w:lineRule="auto"/>
        <w:jc w:val="left"/>
      </w:pPr>
      <w:r>
        <w:rPr>
          <w:rFonts w:ascii="Calibri" w:hAnsi="Calibri" w:eastAsia="Arial Unicode MS" w:cs="Arial Unicode MS"/>
          <w:b w:val="0"/>
          <w:i/>
          <w:color w:val="64748B"/>
          <w:sz w:val="18"/>
        </w:rPr>
        <w:t>讲述衔接：客户验证说明技术有用，下一部分判断它是否已经转化为可持续的商业化和收入质量。</w:t>
      </w:r>
    </w:p>
    <w:p>
      <w:r>
        <w:br w:type="page"/>
      </w:r>
    </w:p>
    <w:p>
      <w:pPr>
        <w:keepNext/>
        <w:spacing w:before="0" w:after="100" w:line="288" w:lineRule="auto"/>
        <w:jc w:val="left"/>
      </w:pPr>
      <w:r>
        <w:rPr>
          <w:rFonts w:ascii="Calibri" w:hAnsi="Calibri" w:eastAsia="Arial Unicode MS" w:cs="Arial Unicode MS"/>
          <w:b/>
          <w:i w:val="0"/>
          <w:color w:val="007F73"/>
          <w:sz w:val="19"/>
        </w:rPr>
        <w:t>第 14 页  |  商业化</w:t>
      </w:r>
    </w:p>
    <w:p>
      <w:pPr>
        <w:pStyle w:val="Heading1"/>
        <w:keepNext/>
      </w:pPr>
      <w:r>
        <w:t>商业化已完成从0到1，2026年将形成自动驾驶数据、具身数据和触觉硬件三轮驱动</w:t>
      </w:r>
    </w:p>
    <w:p>
      <w:pPr>
        <w:spacing w:before="60" w:after="120" w:line="278" w:lineRule="auto"/>
        <w:ind w:left="173" w:right="173"/>
        <w:shd w:fill="E8F4F1"/>
      </w:pPr>
      <w:r>
        <w:rPr>
          <w:rFonts w:ascii="Calibri" w:hAnsi="Calibri" w:eastAsia="Arial Unicode MS" w:cs="Arial Unicode MS"/>
          <w:b/>
          <w:color w:val="007F73"/>
          <w:sz w:val="20"/>
        </w:rPr>
        <w:t xml:space="preserve">核心观点  </w:t>
      </w:r>
      <w:r>
        <w:rPr>
          <w:rFonts w:ascii="Calibri" w:hAnsi="Calibri" w:eastAsia="Arial Unicode MS" w:cs="Arial Unicode MS"/>
          <w:b/>
          <w:color w:val="183247"/>
          <w:sz w:val="20"/>
        </w:rPr>
        <w:t>2025年自动驾驶数据验证团队的销售与交付能力，2026年具身数据和触觉硬件开始贡献新增量，业务结构由单一项目收入升级为三条产品线协同增长。</w:t>
      </w:r>
    </w:p>
    <w:p>
      <w:pPr>
        <w:keepNext/>
        <w:spacing w:before="100" w:after="60"/>
      </w:pPr>
      <w:r>
        <w:rPr>
          <w:rFonts w:ascii="Calibri" w:hAnsi="Calibri" w:eastAsia="Arial Unicode MS" w:cs="Arial Unicode MS"/>
          <w:b/>
          <w:color w:val="007F73"/>
          <w:sz w:val="20"/>
        </w:rPr>
        <w:t>主要支撑信息</w:t>
      </w:r>
    </w:p>
    <w:p>
      <w:pPr>
        <w:pStyle w:val="ListBullet"/>
        <w:spacing w:before="0" w:after="70" w:line="271" w:lineRule="auto"/>
        <w:ind w:left="540" w:hanging="271"/>
      </w:pPr>
      <w:r>
        <w:rPr>
          <w:rFonts w:ascii="Calibri" w:hAnsi="Calibri" w:eastAsia="Arial Unicode MS" w:cs="Arial Unicode MS"/>
          <w:color w:val="1F2933"/>
          <w:sz w:val="19"/>
        </w:rPr>
        <w:t>2025年财务报表营收1,302.83万元，合同签订额公司材料口径约2,700万元，首年实现盈利。</w:t>
      </w:r>
    </w:p>
    <w:p>
      <w:pPr>
        <w:pStyle w:val="ListBullet"/>
        <w:spacing w:before="0" w:after="70" w:line="271" w:lineRule="auto"/>
        <w:ind w:left="540" w:hanging="271"/>
      </w:pPr>
      <w:r>
        <w:rPr>
          <w:rFonts w:ascii="Calibri" w:hAnsi="Calibri" w:eastAsia="Arial Unicode MS" w:cs="Arial Unicode MS"/>
          <w:color w:val="1F2933"/>
          <w:sz w:val="19"/>
        </w:rPr>
        <w:t>2025年收入以自动驾驶数据、工具链和项目交付为主，证明团队具备将复杂技术转化为订单和回款的能力。</w:t>
      </w:r>
    </w:p>
    <w:p>
      <w:pPr>
        <w:pStyle w:val="ListBullet"/>
        <w:spacing w:before="0" w:after="70" w:line="271" w:lineRule="auto"/>
        <w:ind w:left="540" w:hanging="271"/>
      </w:pPr>
      <w:r>
        <w:rPr>
          <w:rFonts w:ascii="Calibri" w:hAnsi="Calibri" w:eastAsia="Arial Unicode MS" w:cs="Arial Unicode MS"/>
          <w:color w:val="1F2933"/>
          <w:sz w:val="19"/>
        </w:rPr>
        <w:t>2026年目标收入4,000万元：自动驾驶数据1,500万元、具身智能数据1,500万元、触觉硬件1,000万元。</w:t>
      </w:r>
    </w:p>
    <w:p>
      <w:pPr>
        <w:pStyle w:val="ListBullet"/>
        <w:spacing w:before="0" w:after="70" w:line="271" w:lineRule="auto"/>
        <w:ind w:left="540" w:hanging="271"/>
      </w:pPr>
      <w:r>
        <w:rPr>
          <w:rFonts w:ascii="Calibri" w:hAnsi="Calibri" w:eastAsia="Arial Unicode MS" w:cs="Arial Unicode MS"/>
          <w:color w:val="1F2933"/>
          <w:sz w:val="19"/>
        </w:rPr>
        <w:t>触觉手套已形成接近500套意向在手订单，按3-4万元/套测算对应1,500-2,000万元订单储备，为硬件收入放量提供直接支撑。</w:t>
      </w:r>
    </w:p>
    <w:p>
      <w:pPr>
        <w:pStyle w:val="ListBullet"/>
        <w:spacing w:before="0" w:after="70" w:line="271" w:lineRule="auto"/>
        <w:ind w:left="540" w:hanging="271"/>
      </w:pPr>
      <w:r>
        <w:rPr>
          <w:rFonts w:ascii="Calibri" w:hAnsi="Calibri" w:eastAsia="Arial Unicode MS" w:cs="Arial Unicode MS"/>
          <w:color w:val="1F2933"/>
          <w:sz w:val="19"/>
        </w:rPr>
        <w:t>长期看，触觉硬件扩大数据入口，数据服务形成持续复购，合成数据与训练场进一步放大平台收入弹性。</w:t>
      </w:r>
    </w:p>
    <w:p>
      <w:pPr>
        <w:keepNext/>
        <w:spacing w:before="100" w:after="60"/>
      </w:pPr>
      <w:r>
        <w:rPr>
          <w:rFonts w:ascii="Calibri" w:hAnsi="Calibri" w:eastAsia="Arial Unicode MS" w:cs="Arial Unicode MS"/>
          <w:b/>
          <w:color w:val="007F73"/>
          <w:sz w:val="20"/>
        </w:rPr>
        <w:t>建议图表与版式</w:t>
      </w:r>
    </w:p>
    <w:p>
      <w:pPr>
        <w:pStyle w:val="ListBullet"/>
        <w:spacing w:before="0" w:after="60" w:line="271" w:lineRule="auto"/>
        <w:ind w:left="540" w:hanging="271"/>
      </w:pPr>
      <w:r>
        <w:rPr>
          <w:rFonts w:ascii="Calibri" w:hAnsi="Calibri" w:eastAsia="Arial Unicode MS" w:cs="Arial Unicode MS"/>
          <w:color w:val="183247"/>
          <w:sz w:val="19"/>
        </w:rPr>
        <w:t>采用2025A—2026E—2027E收入结构迁移图，区分已实现、目标和长期假设。</w:t>
      </w:r>
    </w:p>
    <w:p>
      <w:pPr>
        <w:pStyle w:val="ListBullet"/>
        <w:spacing w:before="0" w:after="60" w:line="271" w:lineRule="auto"/>
        <w:ind w:left="540" w:hanging="271"/>
      </w:pPr>
      <w:r>
        <w:rPr>
          <w:rFonts w:ascii="Calibri" w:hAnsi="Calibri" w:eastAsia="Arial Unicode MS" w:cs="Arial Unicode MS"/>
          <w:color w:val="183247"/>
          <w:sz w:val="19"/>
        </w:rPr>
        <w:t>在2026年柱形图旁单列“500套触觉手套意向在手订单”，突出硬件业务的规模化牵引力。</w:t>
      </w:r>
    </w:p>
    <w:p>
      <w:pPr>
        <w:keepNext/>
        <w:spacing w:before="100" w:after="60"/>
      </w:pPr>
      <w:r>
        <w:rPr>
          <w:rFonts w:ascii="Calibri" w:hAnsi="Calibri" w:eastAsia="Arial Unicode MS" w:cs="Arial Unicode MS"/>
          <w:b/>
          <w:color w:val="007F73"/>
          <w:sz w:val="20"/>
        </w:rPr>
        <w:t>关键证据与口径</w:t>
      </w:r>
    </w:p>
    <w:tbl>
      <w:tblPr>
        <w:tblStyle w:val="TableGrid"/>
        <w:tblW w:type="dxa" w:w="9360"/>
        <w:jc w:val="left"/>
        <w:tblLayout w:type="fixed"/>
        <w:tblLook w:firstColumn="1" w:firstRow="1" w:lastColumn="0" w:lastRow="0" w:noHBand="0" w:noVBand="1" w:val="04A0"/>
        <w:tblInd w:w="120" w:type="dxa"/>
      </w:tblPr>
      <w:tblGrid>
        <w:gridCol w:w="3150"/>
        <w:gridCol w:w="4380"/>
        <w:gridCol w:w="1830"/>
      </w:tblGrid>
      <w:tr>
        <w:trPr>
          <w:tblHeader w:val="true"/>
        </w:trPr>
        <w:tc>
          <w:tcPr>
            <w:tcW w:type="dxa" w:w="315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关键证据</w:t>
            </w:r>
          </w:p>
        </w:tc>
        <w:tc>
          <w:tcPr>
            <w:tcW w:type="dxa" w:w="438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建议呈现</w:t>
            </w:r>
          </w:p>
        </w:tc>
        <w:tc>
          <w:tcPr>
            <w:tcW w:type="dxa" w:w="183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来源等级</w:t>
            </w:r>
          </w:p>
        </w:tc>
      </w:tr>
      <w:tr>
        <w:tc>
          <w:tcPr>
            <w:tcW w:type="dxa" w:w="3150"/>
          </w:tcPr>
          <w:p>
            <w:pPr>
              <w:spacing w:before="0" w:after="0" w:line="269" w:lineRule="auto"/>
              <w:jc w:val="left"/>
            </w:pPr>
            <w:r>
              <w:rPr>
                <w:rFonts w:ascii="Calibri" w:hAnsi="Calibri" w:eastAsia="Arial Unicode MS" w:cs="Arial Unicode MS"/>
                <w:b w:val="0"/>
                <w:color w:val="1F2933"/>
                <w:sz w:val="17"/>
              </w:rPr>
              <w:t>2025A营收1,302.83万元</w:t>
            </w:r>
          </w:p>
        </w:tc>
        <w:tc>
          <w:tcPr>
            <w:tcW w:type="dxa" w:w="4380"/>
          </w:tcPr>
          <w:p>
            <w:pPr>
              <w:spacing w:before="0" w:after="0" w:line="269" w:lineRule="auto"/>
              <w:jc w:val="left"/>
            </w:pPr>
            <w:r>
              <w:rPr>
                <w:rFonts w:ascii="Calibri" w:hAnsi="Calibri" w:eastAsia="Arial Unicode MS" w:cs="Arial Unicode MS"/>
                <w:b w:val="0"/>
                <w:color w:val="1F2933"/>
                <w:sz w:val="17"/>
              </w:rPr>
              <w:t>实际收入起点</w:t>
            </w:r>
          </w:p>
        </w:tc>
        <w:tc>
          <w:tcPr>
            <w:tcW w:type="dxa" w:w="1830"/>
          </w:tcPr>
          <w:p>
            <w:pPr>
              <w:spacing w:before="0" w:after="0" w:line="269" w:lineRule="auto"/>
              <w:jc w:val="center"/>
            </w:pPr>
            <w:r>
              <w:rPr>
                <w:rFonts w:ascii="Calibri" w:hAnsi="Calibri" w:eastAsia="Arial Unicode MS" w:cs="Arial Unicode MS"/>
                <w:b/>
                <w:color w:val="1F2933"/>
                <w:sz w:val="18"/>
              </w:rPr>
              <w:t>A｜财务报表</w:t>
            </w:r>
          </w:p>
        </w:tc>
      </w:tr>
      <w:tr>
        <w:tc>
          <w:tcPr>
            <w:tcW w:type="dxa" w:w="3150"/>
            <w:shd w:fill="F2F4F7"/>
          </w:tcPr>
          <w:p>
            <w:pPr>
              <w:spacing w:before="0" w:after="0" w:line="269" w:lineRule="auto"/>
              <w:jc w:val="left"/>
            </w:pPr>
            <w:r>
              <w:rPr>
                <w:rFonts w:ascii="Calibri" w:hAnsi="Calibri" w:eastAsia="Arial Unicode MS" w:cs="Arial Unicode MS"/>
                <w:b w:val="0"/>
                <w:color w:val="1F2933"/>
                <w:sz w:val="17"/>
              </w:rPr>
              <w:t>2026E 4,000万元，三块各1,500/1,500/1,000万元</w:t>
            </w:r>
          </w:p>
        </w:tc>
        <w:tc>
          <w:tcPr>
            <w:tcW w:type="dxa" w:w="4380"/>
            <w:shd w:fill="F2F4F7"/>
          </w:tcPr>
          <w:p>
            <w:pPr>
              <w:spacing w:before="0" w:after="0" w:line="269" w:lineRule="auto"/>
              <w:jc w:val="left"/>
            </w:pPr>
            <w:r>
              <w:rPr>
                <w:rFonts w:ascii="Calibri" w:hAnsi="Calibri" w:eastAsia="Arial Unicode MS" w:cs="Arial Unicode MS"/>
                <w:b w:val="0"/>
                <w:color w:val="1F2933"/>
                <w:sz w:val="17"/>
              </w:rPr>
              <w:t>收入结构柱形图</w:t>
            </w:r>
          </w:p>
        </w:tc>
        <w:tc>
          <w:tcPr>
            <w:tcW w:type="dxa" w:w="1830"/>
            <w:shd w:fill="F2F4F7"/>
          </w:tcPr>
          <w:p>
            <w:pPr>
              <w:spacing w:before="0" w:after="0" w:line="269" w:lineRule="auto"/>
              <w:jc w:val="center"/>
            </w:pPr>
            <w:r>
              <w:rPr>
                <w:rFonts w:ascii="Calibri" w:hAnsi="Calibri" w:eastAsia="Arial Unicode MS" w:cs="Arial Unicode MS"/>
                <w:b/>
                <w:color w:val="1F2933"/>
                <w:sz w:val="18"/>
              </w:rPr>
              <w:t>B｜管理层目标</w:t>
            </w:r>
          </w:p>
        </w:tc>
      </w:tr>
      <w:tr>
        <w:tc>
          <w:tcPr>
            <w:tcW w:type="dxa" w:w="3150"/>
          </w:tcPr>
          <w:p>
            <w:pPr>
              <w:spacing w:before="0" w:after="0" w:line="269" w:lineRule="auto"/>
              <w:jc w:val="left"/>
            </w:pPr>
            <w:r>
              <w:rPr>
                <w:rFonts w:ascii="Calibri" w:hAnsi="Calibri" w:eastAsia="Arial Unicode MS" w:cs="Arial Unicode MS"/>
                <w:b w:val="0"/>
                <w:color w:val="1F2933"/>
                <w:sz w:val="17"/>
              </w:rPr>
              <w:t>触觉手套意向在手订单接近500套</w:t>
            </w:r>
          </w:p>
        </w:tc>
        <w:tc>
          <w:tcPr>
            <w:tcW w:type="dxa" w:w="4380"/>
          </w:tcPr>
          <w:p>
            <w:pPr>
              <w:spacing w:before="0" w:after="0" w:line="269" w:lineRule="auto"/>
              <w:jc w:val="left"/>
            </w:pPr>
            <w:r>
              <w:rPr>
                <w:rFonts w:ascii="Calibri" w:hAnsi="Calibri" w:eastAsia="Arial Unicode MS" w:cs="Arial Unicode MS"/>
                <w:b w:val="0"/>
                <w:color w:val="1F2933"/>
                <w:sz w:val="17"/>
              </w:rPr>
              <w:t>硬件增长支撑</w:t>
            </w:r>
          </w:p>
        </w:tc>
        <w:tc>
          <w:tcPr>
            <w:tcW w:type="dxa" w:w="1830"/>
          </w:tcPr>
          <w:p>
            <w:pPr>
              <w:spacing w:before="0" w:after="0" w:line="269" w:lineRule="auto"/>
              <w:jc w:val="center"/>
            </w:pPr>
            <w:r>
              <w:rPr>
                <w:rFonts w:ascii="Calibri" w:hAnsi="Calibri" w:eastAsia="Arial Unicode MS" w:cs="Arial Unicode MS"/>
                <w:b/>
                <w:color w:val="1F2933"/>
                <w:sz w:val="18"/>
              </w:rPr>
              <w:t>B/C｜管理层确认</w:t>
            </w:r>
          </w:p>
        </w:tc>
      </w:tr>
    </w:tbl>
    <w:p>
      <w:pPr>
        <w:keepLines/>
        <w:spacing w:before="120" w:after="0" w:line="288" w:lineRule="auto"/>
        <w:jc w:val="left"/>
      </w:pPr>
      <w:r>
        <w:rPr>
          <w:rFonts w:ascii="Calibri" w:hAnsi="Calibri" w:eastAsia="Arial Unicode MS" w:cs="Arial Unicode MS"/>
          <w:b w:val="0"/>
          <w:i/>
          <w:color w:val="64748B"/>
          <w:sz w:val="18"/>
        </w:rPr>
        <w:t>讲述衔接：三条收入线已经建立，下一页进一步观察毛利、预付款和复购所体现的商业质量。</w:t>
      </w:r>
    </w:p>
    <w:p>
      <w:r>
        <w:br w:type="page"/>
      </w:r>
    </w:p>
    <w:p>
      <w:pPr>
        <w:keepNext/>
        <w:spacing w:before="0" w:after="100" w:line="288" w:lineRule="auto"/>
        <w:jc w:val="left"/>
      </w:pPr>
      <w:r>
        <w:rPr>
          <w:rFonts w:ascii="Calibri" w:hAnsi="Calibri" w:eastAsia="Arial Unicode MS" w:cs="Arial Unicode MS"/>
          <w:b/>
          <w:i w:val="0"/>
          <w:color w:val="007F73"/>
          <w:sz w:val="19"/>
        </w:rPr>
        <w:t>第 15 页  |  商业化</w:t>
      </w:r>
    </w:p>
    <w:p>
      <w:pPr>
        <w:pStyle w:val="Heading1"/>
        <w:keepNext/>
      </w:pPr>
      <w:r>
        <w:t>高毛利、较高预付款与客户复购相互印证，大衍已经展现出良好的商业质量</w:t>
      </w:r>
    </w:p>
    <w:p>
      <w:pPr>
        <w:spacing w:before="60" w:after="120" w:line="278" w:lineRule="auto"/>
        <w:ind w:left="173" w:right="173"/>
        <w:shd w:fill="E8F4F1"/>
      </w:pPr>
      <w:r>
        <w:rPr>
          <w:rFonts w:ascii="Calibri" w:hAnsi="Calibri" w:eastAsia="Arial Unicode MS" w:cs="Arial Unicode MS"/>
          <w:b/>
          <w:color w:val="007F73"/>
          <w:sz w:val="20"/>
        </w:rPr>
        <w:t xml:space="preserve">核心观点  </w:t>
      </w:r>
      <w:r>
        <w:rPr>
          <w:rFonts w:ascii="Calibri" w:hAnsi="Calibri" w:eastAsia="Arial Unicode MS" w:cs="Arial Unicode MS"/>
          <w:b/>
          <w:color w:val="183247"/>
          <w:sz w:val="20"/>
        </w:rPr>
        <w:t>数据、硬件和工具链均具备较好的单位经济性，客户以预付款和分批验收降低资金占用，复购与交叉销售进一步验证产品价值。</w:t>
      </w:r>
    </w:p>
    <w:p>
      <w:pPr>
        <w:keepNext/>
        <w:spacing w:before="100" w:after="60"/>
      </w:pPr>
      <w:r>
        <w:rPr>
          <w:rFonts w:ascii="Calibri" w:hAnsi="Calibri" w:eastAsia="Arial Unicode MS" w:cs="Arial Unicode MS"/>
          <w:b/>
          <w:color w:val="007F73"/>
          <w:sz w:val="20"/>
        </w:rPr>
        <w:t>主要支撑信息</w:t>
      </w:r>
    </w:p>
    <w:p>
      <w:pPr>
        <w:pStyle w:val="ListBullet"/>
        <w:spacing w:before="0" w:after="70" w:line="271" w:lineRule="auto"/>
        <w:ind w:left="540" w:hanging="271"/>
      </w:pPr>
      <w:r>
        <w:rPr>
          <w:rFonts w:ascii="Calibri" w:hAnsi="Calibri" w:eastAsia="Arial Unicode MS" w:cs="Arial Unicode MS"/>
          <w:color w:val="1F2933"/>
          <w:sz w:val="19"/>
        </w:rPr>
        <w:t>自动驾驶合成数据管理层口径毛利约60%；某300万帧、185万元项目测算毛利率65.7%。</w:t>
      </w:r>
    </w:p>
    <w:p>
      <w:pPr>
        <w:pStyle w:val="ListBullet"/>
        <w:spacing w:before="0" w:after="70" w:line="271" w:lineRule="auto"/>
        <w:ind w:left="540" w:hanging="271"/>
      </w:pPr>
      <w:r>
        <w:rPr>
          <w:rFonts w:ascii="Calibri" w:hAnsi="Calibri" w:eastAsia="Arial Unicode MS" w:cs="Arial Unicode MS"/>
          <w:color w:val="1F2933"/>
          <w:sz w:val="19"/>
        </w:rPr>
        <w:t>触觉手套售价约3-4万元、单套成本大几千元，管理层口径毛利约70%；良率当前80%以上，目标95%。</w:t>
      </w:r>
    </w:p>
    <w:p>
      <w:pPr>
        <w:pStyle w:val="ListBullet"/>
        <w:spacing w:before="0" w:after="70" w:line="271" w:lineRule="auto"/>
        <w:ind w:left="540" w:hanging="271"/>
      </w:pPr>
      <w:r>
        <w:rPr>
          <w:rFonts w:ascii="Calibri" w:hAnsi="Calibri" w:eastAsia="Arial Unicode MS" w:cs="Arial Unicode MS"/>
          <w:color w:val="1F2933"/>
          <w:sz w:val="19"/>
        </w:rPr>
        <w:t>异构数据一般30%-40%预付款，分批验收，整体回款约3个月；客户反馈账期短、流程顺畅。</w:t>
      </w:r>
    </w:p>
    <w:p>
      <w:pPr>
        <w:pStyle w:val="ListBullet"/>
        <w:spacing w:before="0" w:after="70" w:line="271" w:lineRule="auto"/>
        <w:ind w:left="540" w:hanging="271"/>
      </w:pPr>
      <w:r>
        <w:rPr>
          <w:rFonts w:ascii="Calibri" w:hAnsi="Calibri" w:eastAsia="Arial Unicode MS" w:cs="Arial Unicode MS"/>
          <w:color w:val="1F2933"/>
          <w:sz w:val="19"/>
        </w:rPr>
        <w:t>普罗宇宙已签两批订单，行之途累计合作约300-400万元并按月结算，复购已出现。</w:t>
      </w:r>
    </w:p>
    <w:p>
      <w:pPr>
        <w:pStyle w:val="ListBullet"/>
        <w:spacing w:before="0" w:after="70" w:line="271" w:lineRule="auto"/>
        <w:ind w:left="540" w:hanging="271"/>
      </w:pPr>
      <w:r>
        <w:rPr>
          <w:rFonts w:ascii="Calibri" w:hAnsi="Calibri" w:eastAsia="Arial Unicode MS" w:cs="Arial Unicode MS"/>
          <w:color w:val="1F2933"/>
          <w:sz w:val="19"/>
        </w:rPr>
        <w:t>随着自动化管线和场景资产复用提升，数据加工、触觉硬件和训练场可逐步形成标准产品与平台复售。</w:t>
      </w:r>
    </w:p>
    <w:p>
      <w:pPr>
        <w:keepNext/>
        <w:spacing w:before="100" w:after="60"/>
      </w:pPr>
      <w:r>
        <w:rPr>
          <w:rFonts w:ascii="Calibri" w:hAnsi="Calibri" w:eastAsia="Arial Unicode MS" w:cs="Arial Unicode MS"/>
          <w:b/>
          <w:color w:val="007F73"/>
          <w:sz w:val="20"/>
        </w:rPr>
        <w:t>建议图表与版式</w:t>
      </w:r>
    </w:p>
    <w:p>
      <w:pPr>
        <w:pStyle w:val="ListBullet"/>
        <w:spacing w:before="0" w:after="60" w:line="271" w:lineRule="auto"/>
        <w:ind w:left="540" w:hanging="271"/>
      </w:pPr>
      <w:r>
        <w:rPr>
          <w:rFonts w:ascii="Calibri" w:hAnsi="Calibri" w:eastAsia="Arial Unicode MS" w:cs="Arial Unicode MS"/>
          <w:color w:val="183247"/>
          <w:sz w:val="19"/>
        </w:rPr>
        <w:t>上半页展示数据、硬件、工具链三类单位经济性；下半页展示“项目制→标准产品→平台复售”的升级阶梯。</w:t>
      </w:r>
    </w:p>
    <w:p>
      <w:pPr>
        <w:pStyle w:val="ListBullet"/>
        <w:spacing w:before="0" w:after="60" w:line="271" w:lineRule="auto"/>
        <w:ind w:left="540" w:hanging="271"/>
      </w:pPr>
      <w:r>
        <w:rPr>
          <w:rFonts w:ascii="Calibri" w:hAnsi="Calibri" w:eastAsia="Arial Unicode MS" w:cs="Arial Unicode MS"/>
          <w:color w:val="183247"/>
          <w:sz w:val="19"/>
        </w:rPr>
        <w:t>把良率80%→95%画成量产爬坡曲线，体现硬件规模化对收入和毛利的进一步放大。</w:t>
      </w:r>
    </w:p>
    <w:p>
      <w:pPr>
        <w:keepNext/>
        <w:spacing w:before="100" w:after="60"/>
      </w:pPr>
      <w:r>
        <w:rPr>
          <w:rFonts w:ascii="Calibri" w:hAnsi="Calibri" w:eastAsia="Arial Unicode MS" w:cs="Arial Unicode MS"/>
          <w:b/>
          <w:color w:val="007F73"/>
          <w:sz w:val="20"/>
        </w:rPr>
        <w:t>关键证据与口径</w:t>
      </w:r>
    </w:p>
    <w:tbl>
      <w:tblPr>
        <w:tblStyle w:val="TableGrid"/>
        <w:tblW w:type="dxa" w:w="9360"/>
        <w:jc w:val="left"/>
        <w:tblLayout w:type="fixed"/>
        <w:tblLook w:firstColumn="1" w:firstRow="1" w:lastColumn="0" w:lastRow="0" w:noHBand="0" w:noVBand="1" w:val="04A0"/>
        <w:tblInd w:w="120" w:type="dxa"/>
      </w:tblPr>
      <w:tblGrid>
        <w:gridCol w:w="3150"/>
        <w:gridCol w:w="4380"/>
        <w:gridCol w:w="1830"/>
      </w:tblGrid>
      <w:tr>
        <w:trPr>
          <w:tblHeader w:val="true"/>
        </w:trPr>
        <w:tc>
          <w:tcPr>
            <w:tcW w:type="dxa" w:w="315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关键证据</w:t>
            </w:r>
          </w:p>
        </w:tc>
        <w:tc>
          <w:tcPr>
            <w:tcW w:type="dxa" w:w="438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建议呈现</w:t>
            </w:r>
          </w:p>
        </w:tc>
        <w:tc>
          <w:tcPr>
            <w:tcW w:type="dxa" w:w="183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来源等级</w:t>
            </w:r>
          </w:p>
        </w:tc>
      </w:tr>
      <w:tr>
        <w:tc>
          <w:tcPr>
            <w:tcW w:type="dxa" w:w="3150"/>
          </w:tcPr>
          <w:p>
            <w:pPr>
              <w:spacing w:before="0" w:after="0" w:line="269" w:lineRule="auto"/>
              <w:jc w:val="left"/>
            </w:pPr>
            <w:r>
              <w:rPr>
                <w:rFonts w:ascii="Calibri" w:hAnsi="Calibri" w:eastAsia="Arial Unicode MS" w:cs="Arial Unicode MS"/>
                <w:b w:val="0"/>
                <w:color w:val="1F2933"/>
                <w:sz w:val="17"/>
              </w:rPr>
              <w:t>300万帧项目毛利65.7%</w:t>
            </w:r>
          </w:p>
        </w:tc>
        <w:tc>
          <w:tcPr>
            <w:tcW w:type="dxa" w:w="4380"/>
          </w:tcPr>
          <w:p>
            <w:pPr>
              <w:spacing w:before="0" w:after="0" w:line="269" w:lineRule="auto"/>
              <w:jc w:val="left"/>
            </w:pPr>
            <w:r>
              <w:rPr>
                <w:rFonts w:ascii="Calibri" w:hAnsi="Calibri" w:eastAsia="Arial Unicode MS" w:cs="Arial Unicode MS"/>
                <w:b w:val="0"/>
                <w:color w:val="1F2933"/>
                <w:sz w:val="17"/>
              </w:rPr>
              <w:t>案例毛利桥</w:t>
            </w:r>
          </w:p>
        </w:tc>
        <w:tc>
          <w:tcPr>
            <w:tcW w:type="dxa" w:w="1830"/>
          </w:tcPr>
          <w:p>
            <w:pPr>
              <w:spacing w:before="0" w:after="0" w:line="269" w:lineRule="auto"/>
              <w:jc w:val="center"/>
            </w:pPr>
            <w:r>
              <w:rPr>
                <w:rFonts w:ascii="Calibri" w:hAnsi="Calibri" w:eastAsia="Arial Unicode MS" w:cs="Arial Unicode MS"/>
                <w:b/>
                <w:color w:val="1F2933"/>
                <w:sz w:val="18"/>
              </w:rPr>
              <w:t>A/B｜项目测算</w:t>
            </w:r>
          </w:p>
        </w:tc>
      </w:tr>
      <w:tr>
        <w:tc>
          <w:tcPr>
            <w:tcW w:type="dxa" w:w="3150"/>
            <w:shd w:fill="F2F4F7"/>
          </w:tcPr>
          <w:p>
            <w:pPr>
              <w:spacing w:before="0" w:after="0" w:line="269" w:lineRule="auto"/>
              <w:jc w:val="left"/>
            </w:pPr>
            <w:r>
              <w:rPr>
                <w:rFonts w:ascii="Calibri" w:hAnsi="Calibri" w:eastAsia="Arial Unicode MS" w:cs="Arial Unicode MS"/>
                <w:b w:val="0"/>
                <w:color w:val="1F2933"/>
                <w:sz w:val="17"/>
              </w:rPr>
              <w:t>手套良率80%+，目标95%</w:t>
            </w:r>
          </w:p>
        </w:tc>
        <w:tc>
          <w:tcPr>
            <w:tcW w:type="dxa" w:w="4380"/>
            <w:shd w:fill="F2F4F7"/>
          </w:tcPr>
          <w:p>
            <w:pPr>
              <w:spacing w:before="0" w:after="0" w:line="269" w:lineRule="auto"/>
              <w:jc w:val="left"/>
            </w:pPr>
            <w:r>
              <w:rPr>
                <w:rFonts w:ascii="Calibri" w:hAnsi="Calibri" w:eastAsia="Arial Unicode MS" w:cs="Arial Unicode MS"/>
                <w:b w:val="0"/>
                <w:color w:val="1F2933"/>
                <w:sz w:val="17"/>
              </w:rPr>
              <w:t>量产闸门</w:t>
            </w:r>
          </w:p>
        </w:tc>
        <w:tc>
          <w:tcPr>
            <w:tcW w:type="dxa" w:w="1830"/>
            <w:shd w:fill="F2F4F7"/>
          </w:tcPr>
          <w:p>
            <w:pPr>
              <w:spacing w:before="0" w:after="0" w:line="269" w:lineRule="auto"/>
              <w:jc w:val="center"/>
            </w:pPr>
            <w:r>
              <w:rPr>
                <w:rFonts w:ascii="Calibri" w:hAnsi="Calibri" w:eastAsia="Arial Unicode MS" w:cs="Arial Unicode MS"/>
                <w:b/>
                <w:color w:val="1F2933"/>
                <w:sz w:val="18"/>
              </w:rPr>
              <w:t>B｜管理层口径</w:t>
            </w:r>
          </w:p>
        </w:tc>
      </w:tr>
      <w:tr>
        <w:tc>
          <w:tcPr>
            <w:tcW w:type="dxa" w:w="3150"/>
          </w:tcPr>
          <w:p>
            <w:pPr>
              <w:spacing w:before="0" w:after="0" w:line="269" w:lineRule="auto"/>
              <w:jc w:val="left"/>
            </w:pPr>
            <w:r>
              <w:rPr>
                <w:rFonts w:ascii="Calibri" w:hAnsi="Calibri" w:eastAsia="Arial Unicode MS" w:cs="Arial Unicode MS"/>
                <w:b w:val="0"/>
                <w:color w:val="1F2933"/>
                <w:sz w:val="17"/>
              </w:rPr>
              <w:t>两批订单、按月复购、30%-40%预付款</w:t>
            </w:r>
          </w:p>
        </w:tc>
        <w:tc>
          <w:tcPr>
            <w:tcW w:type="dxa" w:w="4380"/>
          </w:tcPr>
          <w:p>
            <w:pPr>
              <w:spacing w:before="0" w:after="0" w:line="269" w:lineRule="auto"/>
              <w:jc w:val="left"/>
            </w:pPr>
            <w:r>
              <w:rPr>
                <w:rFonts w:ascii="Calibri" w:hAnsi="Calibri" w:eastAsia="Arial Unicode MS" w:cs="Arial Unicode MS"/>
                <w:b w:val="0"/>
                <w:color w:val="1F2933"/>
                <w:sz w:val="17"/>
              </w:rPr>
              <w:t>回款与复购链</w:t>
            </w:r>
          </w:p>
        </w:tc>
        <w:tc>
          <w:tcPr>
            <w:tcW w:type="dxa" w:w="1830"/>
          </w:tcPr>
          <w:p>
            <w:pPr>
              <w:spacing w:before="0" w:after="0" w:line="269" w:lineRule="auto"/>
              <w:jc w:val="center"/>
            </w:pPr>
            <w:r>
              <w:rPr>
                <w:rFonts w:ascii="Calibri" w:hAnsi="Calibri" w:eastAsia="Arial Unicode MS" w:cs="Arial Unicode MS"/>
                <w:b/>
                <w:color w:val="1F2933"/>
                <w:sz w:val="18"/>
              </w:rPr>
              <w:t>A｜客户访谈</w:t>
            </w:r>
          </w:p>
        </w:tc>
      </w:tr>
    </w:tbl>
    <w:p>
      <w:pPr>
        <w:keepLines/>
        <w:spacing w:before="120" w:after="0" w:line="288" w:lineRule="auto"/>
        <w:jc w:val="left"/>
      </w:pPr>
      <w:r>
        <w:rPr>
          <w:rFonts w:ascii="Calibri" w:hAnsi="Calibri" w:eastAsia="Arial Unicode MS" w:cs="Arial Unicode MS"/>
          <w:b w:val="0"/>
          <w:i/>
          <w:color w:val="64748B"/>
          <w:sz w:val="18"/>
        </w:rPr>
        <w:t>讲述衔接：下面用两家客户把“技术有用、持续采购”分别坐实，并进一步展示需求扩张与交叉销售空间。</w:t>
      </w:r>
    </w:p>
    <w:p>
      <w:r>
        <w:br w:type="page"/>
      </w:r>
    </w:p>
    <w:p>
      <w:pPr>
        <w:keepNext/>
        <w:spacing w:before="0" w:after="100" w:line="288" w:lineRule="auto"/>
        <w:jc w:val="left"/>
      </w:pPr>
      <w:r>
        <w:rPr>
          <w:rFonts w:ascii="Calibri" w:hAnsi="Calibri" w:eastAsia="Arial Unicode MS" w:cs="Arial Unicode MS"/>
          <w:b/>
          <w:i w:val="0"/>
          <w:color w:val="007F73"/>
          <w:sz w:val="19"/>
        </w:rPr>
        <w:t>第 16 页  |  客户评价</w:t>
      </w:r>
    </w:p>
    <w:p>
      <w:pPr>
        <w:pStyle w:val="Heading1"/>
        <w:keepNext/>
      </w:pPr>
      <w:r>
        <w:t>普罗宇宙：大衍已从仿真数据供应商扩展为异构数据与触觉硬件的全产品线合作方</w:t>
      </w:r>
    </w:p>
    <w:p>
      <w:pPr>
        <w:spacing w:before="60" w:after="120" w:line="278" w:lineRule="auto"/>
        <w:ind w:left="173" w:right="173"/>
        <w:shd w:fill="E8F4F1"/>
      </w:pPr>
      <w:r>
        <w:rPr>
          <w:rFonts w:ascii="Calibri" w:hAnsi="Calibri" w:eastAsia="Arial Unicode MS" w:cs="Arial Unicode MS"/>
          <w:b/>
          <w:color w:val="007F73"/>
          <w:sz w:val="20"/>
        </w:rPr>
        <w:t xml:space="preserve">核心观点  </w:t>
      </w:r>
      <w:r>
        <w:rPr>
          <w:rFonts w:ascii="Calibri" w:hAnsi="Calibri" w:eastAsia="Arial Unicode MS" w:cs="Arial Unicode MS"/>
          <w:b/>
          <w:color w:val="183247"/>
          <w:sz w:val="20"/>
        </w:rPr>
        <w:t>在要求最高的工业精密装配场景，大衍凭触觉与柔性物体仿真形成独特性，已完成首单并产生第二批复购。</w:t>
      </w:r>
    </w:p>
    <w:p>
      <w:pPr>
        <w:keepNext/>
        <w:spacing w:before="100" w:after="60"/>
      </w:pPr>
      <w:r>
        <w:rPr>
          <w:rFonts w:ascii="Calibri" w:hAnsi="Calibri" w:eastAsia="Arial Unicode MS" w:cs="Arial Unicode MS"/>
          <w:b/>
          <w:color w:val="007F73"/>
          <w:sz w:val="20"/>
        </w:rPr>
        <w:t>主要支撑信息</w:t>
      </w:r>
    </w:p>
    <w:p>
      <w:pPr>
        <w:pStyle w:val="ListBullet"/>
        <w:spacing w:before="0" w:after="70" w:line="271" w:lineRule="auto"/>
        <w:ind w:left="540" w:hanging="271"/>
      </w:pPr>
      <w:r>
        <w:rPr>
          <w:rFonts w:ascii="Calibri" w:hAnsi="Calibri" w:eastAsia="Arial Unicode MS" w:cs="Arial Unicode MS"/>
          <w:color w:val="1F2933"/>
          <w:sz w:val="19"/>
        </w:rPr>
        <w:t>合作现状：第一批仿真数据已交付且效果符合预期；第二批采购异构数据和触觉手套，正在交付。</w:t>
      </w:r>
    </w:p>
    <w:p>
      <w:pPr>
        <w:pStyle w:val="ListBullet"/>
        <w:spacing w:before="0" w:after="70" w:line="271" w:lineRule="auto"/>
        <w:ind w:left="540" w:hanging="271"/>
      </w:pPr>
      <w:r>
        <w:rPr>
          <w:rFonts w:ascii="Calibri" w:hAnsi="Calibri" w:eastAsia="Arial Unicode MS" w:cs="Arial Unicode MS"/>
          <w:color w:val="1F2933"/>
          <w:sz w:val="19"/>
        </w:rPr>
        <w:t>供应商地位：目前只与大衍一家开展数据业务，选型时曾比较国地中心等供应商。</w:t>
      </w:r>
    </w:p>
    <w:p>
      <w:pPr>
        <w:pStyle w:val="ListBullet"/>
        <w:spacing w:before="0" w:after="70" w:line="271" w:lineRule="auto"/>
        <w:ind w:left="540" w:hanging="271"/>
      </w:pPr>
      <w:r>
        <w:rPr>
          <w:rFonts w:ascii="Calibri" w:hAnsi="Calibri" w:eastAsia="Arial Unicode MS" w:cs="Arial Unicode MS"/>
          <w:color w:val="1F2933"/>
          <w:sz w:val="19"/>
        </w:rPr>
        <w:t>选择原因：触觉验证、可变形固体耦合仿真能力具有稀缺性，适合工业场景长时间任务。</w:t>
      </w:r>
    </w:p>
    <w:p>
      <w:pPr>
        <w:pStyle w:val="ListBullet"/>
        <w:spacing w:before="0" w:after="70" w:line="271" w:lineRule="auto"/>
        <w:ind w:left="540" w:hanging="271"/>
      </w:pPr>
      <w:r>
        <w:rPr>
          <w:rFonts w:ascii="Calibri" w:hAnsi="Calibri" w:eastAsia="Arial Unicode MS" w:cs="Arial Unicode MS"/>
          <w:color w:val="1F2933"/>
          <w:sz w:val="19"/>
        </w:rPr>
        <w:t>需求规模：客户预计行业数据需求快速增长；其垂直模型至少需20-30万小时数据，按现价对应数千万元预算，但该数字属于客户判断。</w:t>
      </w:r>
    </w:p>
    <w:p>
      <w:pPr>
        <w:pStyle w:val="ListBullet"/>
        <w:spacing w:before="0" w:after="70" w:line="271" w:lineRule="auto"/>
        <w:ind w:left="540" w:hanging="271"/>
      </w:pPr>
      <w:r>
        <w:rPr>
          <w:rFonts w:ascii="Calibri" w:hAnsi="Calibri" w:eastAsia="Arial Unicode MS" w:cs="Arial Unicode MS"/>
          <w:color w:val="1F2933"/>
          <w:sz w:val="19"/>
        </w:rPr>
        <w:t>扩展潜力：客户预计垂直模型至少需要20-30万小时数据，触觉手套与异构数据的组合采购有望持续扩大合作深度。</w:t>
      </w:r>
    </w:p>
    <w:p>
      <w:pPr>
        <w:keepNext/>
        <w:spacing w:before="100" w:after="60"/>
      </w:pPr>
      <w:r>
        <w:rPr>
          <w:rFonts w:ascii="Calibri" w:hAnsi="Calibri" w:eastAsia="Arial Unicode MS" w:cs="Arial Unicode MS"/>
          <w:b/>
          <w:color w:val="007F73"/>
          <w:sz w:val="20"/>
        </w:rPr>
        <w:t>建议图表与版式</w:t>
      </w:r>
    </w:p>
    <w:p>
      <w:pPr>
        <w:pStyle w:val="ListBullet"/>
        <w:spacing w:before="0" w:after="60" w:line="271" w:lineRule="auto"/>
        <w:ind w:left="540" w:hanging="271"/>
      </w:pPr>
      <w:r>
        <w:rPr>
          <w:rFonts w:ascii="Calibri" w:hAnsi="Calibri" w:eastAsia="Arial Unicode MS" w:cs="Arial Unicode MS"/>
          <w:color w:val="183247"/>
          <w:sz w:val="19"/>
        </w:rPr>
        <w:t>采用一页客户档案：左侧合作时间线，右侧“为什么选大衍”三条证据，底部放复购与需求扩展空间。</w:t>
      </w:r>
    </w:p>
    <w:p>
      <w:pPr>
        <w:pStyle w:val="ListBullet"/>
        <w:spacing w:before="0" w:after="60" w:line="271" w:lineRule="auto"/>
        <w:ind w:left="540" w:hanging="271"/>
      </w:pPr>
      <w:r>
        <w:rPr>
          <w:rFonts w:ascii="Calibri" w:hAnsi="Calibri" w:eastAsia="Arial Unicode MS" w:cs="Arial Unicode MS"/>
          <w:color w:val="183247"/>
          <w:sz w:val="19"/>
        </w:rPr>
        <w:t>保留客户原话的短句，但不使用大段引号。</w:t>
      </w:r>
    </w:p>
    <w:p>
      <w:pPr>
        <w:keepNext/>
        <w:spacing w:before="100" w:after="60"/>
      </w:pPr>
      <w:r>
        <w:rPr>
          <w:rFonts w:ascii="Calibri" w:hAnsi="Calibri" w:eastAsia="Arial Unicode MS" w:cs="Arial Unicode MS"/>
          <w:b/>
          <w:color w:val="007F73"/>
          <w:sz w:val="20"/>
        </w:rPr>
        <w:t>关键证据与口径</w:t>
      </w:r>
    </w:p>
    <w:tbl>
      <w:tblPr>
        <w:tblStyle w:val="TableGrid"/>
        <w:tblW w:type="dxa" w:w="9360"/>
        <w:jc w:val="left"/>
        <w:tblLayout w:type="fixed"/>
        <w:tblLook w:firstColumn="1" w:firstRow="1" w:lastColumn="0" w:lastRow="0" w:noHBand="0" w:noVBand="1" w:val="04A0"/>
        <w:tblInd w:w="120" w:type="dxa"/>
      </w:tblPr>
      <w:tblGrid>
        <w:gridCol w:w="3150"/>
        <w:gridCol w:w="4380"/>
        <w:gridCol w:w="1830"/>
      </w:tblGrid>
      <w:tr>
        <w:trPr>
          <w:tblHeader w:val="true"/>
        </w:trPr>
        <w:tc>
          <w:tcPr>
            <w:tcW w:type="dxa" w:w="315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关键证据</w:t>
            </w:r>
          </w:p>
        </w:tc>
        <w:tc>
          <w:tcPr>
            <w:tcW w:type="dxa" w:w="438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建议呈现</w:t>
            </w:r>
          </w:p>
        </w:tc>
        <w:tc>
          <w:tcPr>
            <w:tcW w:type="dxa" w:w="183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来源等级</w:t>
            </w:r>
          </w:p>
        </w:tc>
      </w:tr>
      <w:tr>
        <w:tc>
          <w:tcPr>
            <w:tcW w:type="dxa" w:w="3150"/>
          </w:tcPr>
          <w:p>
            <w:pPr>
              <w:spacing w:before="0" w:after="0" w:line="269" w:lineRule="auto"/>
              <w:jc w:val="left"/>
            </w:pPr>
            <w:r>
              <w:rPr>
                <w:rFonts w:ascii="Calibri" w:hAnsi="Calibri" w:eastAsia="Arial Unicode MS" w:cs="Arial Unicode MS"/>
                <w:b w:val="0"/>
                <w:color w:val="1F2933"/>
                <w:sz w:val="17"/>
              </w:rPr>
              <w:t>两笔订单：首单完成、第二单交付中</w:t>
            </w:r>
          </w:p>
        </w:tc>
        <w:tc>
          <w:tcPr>
            <w:tcW w:type="dxa" w:w="4380"/>
          </w:tcPr>
          <w:p>
            <w:pPr>
              <w:spacing w:before="0" w:after="0" w:line="269" w:lineRule="auto"/>
              <w:jc w:val="left"/>
            </w:pPr>
            <w:r>
              <w:rPr>
                <w:rFonts w:ascii="Calibri" w:hAnsi="Calibri" w:eastAsia="Arial Unicode MS" w:cs="Arial Unicode MS"/>
                <w:b w:val="0"/>
                <w:color w:val="1F2933"/>
                <w:sz w:val="17"/>
              </w:rPr>
              <w:t>合作时间线</w:t>
            </w:r>
          </w:p>
        </w:tc>
        <w:tc>
          <w:tcPr>
            <w:tcW w:type="dxa" w:w="1830"/>
          </w:tcPr>
          <w:p>
            <w:pPr>
              <w:spacing w:before="0" w:after="0" w:line="269" w:lineRule="auto"/>
              <w:jc w:val="center"/>
            </w:pPr>
            <w:r>
              <w:rPr>
                <w:rFonts w:ascii="Calibri" w:hAnsi="Calibri" w:eastAsia="Arial Unicode MS" w:cs="Arial Unicode MS"/>
                <w:b/>
                <w:color w:val="1F2933"/>
                <w:sz w:val="18"/>
              </w:rPr>
              <w:t>A｜客户访谈</w:t>
            </w:r>
          </w:p>
        </w:tc>
      </w:tr>
      <w:tr>
        <w:tc>
          <w:tcPr>
            <w:tcW w:type="dxa" w:w="3150"/>
            <w:shd w:fill="F2F4F7"/>
          </w:tcPr>
          <w:p>
            <w:pPr>
              <w:spacing w:before="0" w:after="0" w:line="269" w:lineRule="auto"/>
              <w:jc w:val="left"/>
            </w:pPr>
            <w:r>
              <w:rPr>
                <w:rFonts w:ascii="Calibri" w:hAnsi="Calibri" w:eastAsia="Arial Unicode MS" w:cs="Arial Unicode MS"/>
                <w:b w:val="0"/>
                <w:color w:val="1F2933"/>
                <w:sz w:val="17"/>
              </w:rPr>
              <w:t>当前唯一数据供应商</w:t>
            </w:r>
          </w:p>
        </w:tc>
        <w:tc>
          <w:tcPr>
            <w:tcW w:type="dxa" w:w="4380"/>
            <w:shd w:fill="F2F4F7"/>
          </w:tcPr>
          <w:p>
            <w:pPr>
              <w:spacing w:before="0" w:after="0" w:line="269" w:lineRule="auto"/>
              <w:jc w:val="left"/>
            </w:pPr>
            <w:r>
              <w:rPr>
                <w:rFonts w:ascii="Calibri" w:hAnsi="Calibri" w:eastAsia="Arial Unicode MS" w:cs="Arial Unicode MS"/>
                <w:b w:val="0"/>
                <w:color w:val="1F2933"/>
                <w:sz w:val="17"/>
              </w:rPr>
              <w:t>供应商地位</w:t>
            </w:r>
          </w:p>
        </w:tc>
        <w:tc>
          <w:tcPr>
            <w:tcW w:type="dxa" w:w="1830"/>
            <w:shd w:fill="F2F4F7"/>
          </w:tcPr>
          <w:p>
            <w:pPr>
              <w:spacing w:before="0" w:after="0" w:line="269" w:lineRule="auto"/>
              <w:jc w:val="center"/>
            </w:pPr>
            <w:r>
              <w:rPr>
                <w:rFonts w:ascii="Calibri" w:hAnsi="Calibri" w:eastAsia="Arial Unicode MS" w:cs="Arial Unicode MS"/>
                <w:b/>
                <w:color w:val="1F2933"/>
                <w:sz w:val="18"/>
              </w:rPr>
              <w:t>A｜客户访谈</w:t>
            </w:r>
          </w:p>
        </w:tc>
      </w:tr>
      <w:tr>
        <w:tc>
          <w:tcPr>
            <w:tcW w:type="dxa" w:w="3150"/>
          </w:tcPr>
          <w:p>
            <w:pPr>
              <w:spacing w:before="0" w:after="0" w:line="269" w:lineRule="auto"/>
              <w:jc w:val="left"/>
            </w:pPr>
            <w:r>
              <w:rPr>
                <w:rFonts w:ascii="Calibri" w:hAnsi="Calibri" w:eastAsia="Arial Unicode MS" w:cs="Arial Unicode MS"/>
                <w:b w:val="0"/>
                <w:color w:val="1F2933"/>
                <w:sz w:val="17"/>
              </w:rPr>
              <w:t>触觉验证、可变形耦合为独有能力</w:t>
            </w:r>
          </w:p>
        </w:tc>
        <w:tc>
          <w:tcPr>
            <w:tcW w:type="dxa" w:w="4380"/>
          </w:tcPr>
          <w:p>
            <w:pPr>
              <w:spacing w:before="0" w:after="0" w:line="269" w:lineRule="auto"/>
              <w:jc w:val="left"/>
            </w:pPr>
            <w:r>
              <w:rPr>
                <w:rFonts w:ascii="Calibri" w:hAnsi="Calibri" w:eastAsia="Arial Unicode MS" w:cs="Arial Unicode MS"/>
                <w:b w:val="0"/>
                <w:color w:val="1F2933"/>
                <w:sz w:val="17"/>
              </w:rPr>
              <w:t>选型理由</w:t>
            </w:r>
          </w:p>
        </w:tc>
        <w:tc>
          <w:tcPr>
            <w:tcW w:type="dxa" w:w="1830"/>
          </w:tcPr>
          <w:p>
            <w:pPr>
              <w:spacing w:before="0" w:after="0" w:line="269" w:lineRule="auto"/>
              <w:jc w:val="center"/>
            </w:pPr>
            <w:r>
              <w:rPr>
                <w:rFonts w:ascii="Calibri" w:hAnsi="Calibri" w:eastAsia="Arial Unicode MS" w:cs="Arial Unicode MS"/>
                <w:b/>
                <w:color w:val="1F2933"/>
                <w:sz w:val="18"/>
              </w:rPr>
              <w:t>A｜客户访谈</w:t>
            </w:r>
          </w:p>
        </w:tc>
      </w:tr>
    </w:tbl>
    <w:p>
      <w:pPr>
        <w:keepLines/>
        <w:spacing w:before="120" w:after="0" w:line="288" w:lineRule="auto"/>
        <w:jc w:val="left"/>
      </w:pPr>
      <w:r>
        <w:rPr>
          <w:rFonts w:ascii="Calibri" w:hAnsi="Calibri" w:eastAsia="Arial Unicode MS" w:cs="Arial Unicode MS"/>
          <w:b w:val="0"/>
          <w:i/>
          <w:color w:val="64748B"/>
          <w:sz w:val="18"/>
        </w:rPr>
        <w:t>讲述衔接：普罗宇宙验证工业操作数据，行之途则验证合成数据能否解决真实运营中的长尾故障。</w:t>
      </w:r>
    </w:p>
    <w:p>
      <w:r>
        <w:br w:type="page"/>
      </w:r>
    </w:p>
    <w:p>
      <w:pPr>
        <w:keepNext/>
        <w:spacing w:before="0" w:after="100" w:line="288" w:lineRule="auto"/>
        <w:jc w:val="left"/>
      </w:pPr>
      <w:r>
        <w:rPr>
          <w:rFonts w:ascii="Calibri" w:hAnsi="Calibri" w:eastAsia="Arial Unicode MS" w:cs="Arial Unicode MS"/>
          <w:b/>
          <w:i w:val="0"/>
          <w:color w:val="007F73"/>
          <w:sz w:val="19"/>
        </w:rPr>
        <w:t>第 17 页  |  客户评价</w:t>
      </w:r>
    </w:p>
    <w:p>
      <w:pPr>
        <w:pStyle w:val="Heading1"/>
        <w:keepNext/>
      </w:pPr>
      <w:r>
        <w:t>行之途：累计合作约300-400万元，合成数据已直接解决无人配送侧翻故障</w:t>
      </w:r>
    </w:p>
    <w:p>
      <w:pPr>
        <w:spacing w:before="60" w:after="120" w:line="278" w:lineRule="auto"/>
        <w:ind w:left="173" w:right="173"/>
        <w:shd w:fill="E8F4F1"/>
      </w:pPr>
      <w:r>
        <w:rPr>
          <w:rFonts w:ascii="Calibri" w:hAnsi="Calibri" w:eastAsia="Arial Unicode MS" w:cs="Arial Unicode MS"/>
          <w:b/>
          <w:color w:val="007F73"/>
          <w:sz w:val="20"/>
        </w:rPr>
        <w:t xml:space="preserve">核心观点  </w:t>
      </w:r>
      <w:r>
        <w:rPr>
          <w:rFonts w:ascii="Calibri" w:hAnsi="Calibri" w:eastAsia="Arial Unicode MS" w:cs="Arial Unicode MS"/>
          <w:b/>
          <w:color w:val="183247"/>
          <w:sz w:val="20"/>
        </w:rPr>
        <w:t>行之途案例提供了最强的结果证据：大衍不只交付数据，还帮助复现问题、定位原因并推动算法与硬件改进。</w:t>
      </w:r>
    </w:p>
    <w:p>
      <w:pPr>
        <w:keepNext/>
        <w:spacing w:before="100" w:after="60"/>
      </w:pPr>
      <w:r>
        <w:rPr>
          <w:rFonts w:ascii="Calibri" w:hAnsi="Calibri" w:eastAsia="Arial Unicode MS" w:cs="Arial Unicode MS"/>
          <w:b/>
          <w:color w:val="007F73"/>
          <w:sz w:val="20"/>
        </w:rPr>
        <w:t>主要支撑信息</w:t>
      </w:r>
    </w:p>
    <w:p>
      <w:pPr>
        <w:pStyle w:val="ListBullet"/>
        <w:spacing w:before="0" w:after="70" w:line="271" w:lineRule="auto"/>
        <w:ind w:left="540" w:hanging="271"/>
      </w:pPr>
      <w:r>
        <w:rPr>
          <w:rFonts w:ascii="Calibri" w:hAnsi="Calibri" w:eastAsia="Arial Unicode MS" w:cs="Arial Unicode MS"/>
          <w:color w:val="1F2933"/>
          <w:sz w:val="19"/>
        </w:rPr>
        <w:t>合作规模：累计约300-400万元，框架合同按月结算，单期约百万元；大衍目前是唯一合成数据供应商。</w:t>
      </w:r>
    </w:p>
    <w:p>
      <w:pPr>
        <w:pStyle w:val="ListBullet"/>
        <w:spacing w:before="0" w:after="70" w:line="271" w:lineRule="auto"/>
        <w:ind w:left="540" w:hanging="271"/>
      </w:pPr>
      <w:r>
        <w:rPr>
          <w:rFonts w:ascii="Calibri" w:hAnsi="Calibri" w:eastAsia="Arial Unicode MS" w:cs="Arial Unicode MS"/>
          <w:color w:val="1F2933"/>
          <w:sz w:val="19"/>
        </w:rPr>
        <w:t>案例结果：针对昆明山坡校园“坡道+潮湿+减速带”工况生成数据，定位抓地力不足；客户更新控制逻辑并加装ABS后解决侧翻。</w:t>
      </w:r>
    </w:p>
    <w:p>
      <w:pPr>
        <w:pStyle w:val="ListBullet"/>
        <w:spacing w:before="0" w:after="70" w:line="271" w:lineRule="auto"/>
        <w:ind w:left="540" w:hanging="271"/>
      </w:pPr>
      <w:r>
        <w:rPr>
          <w:rFonts w:ascii="Calibri" w:hAnsi="Calibri" w:eastAsia="Arial Unicode MS" w:cs="Arial Unicode MS"/>
          <w:color w:val="1F2933"/>
          <w:sz w:val="19"/>
        </w:rPr>
        <w:t>选择原因：报价更具竞争力、响应快、愿意小场景定制，数据质量和场景多样性达到要求。</w:t>
      </w:r>
    </w:p>
    <w:p>
      <w:pPr>
        <w:pStyle w:val="ListBullet"/>
        <w:spacing w:before="0" w:after="70" w:line="271" w:lineRule="auto"/>
        <w:ind w:left="540" w:hanging="271"/>
      </w:pPr>
      <w:r>
        <w:rPr>
          <w:rFonts w:ascii="Calibri" w:hAnsi="Calibri" w:eastAsia="Arial Unicode MS" w:cs="Arial Unicode MS"/>
          <w:color w:val="1F2933"/>
          <w:sz w:val="19"/>
        </w:rPr>
        <w:t>复购逻辑：业务从高校扩展至小区、医院、园区、写字楼等，新场景持续带来数据需求。</w:t>
      </w:r>
    </w:p>
    <w:p>
      <w:pPr>
        <w:pStyle w:val="ListBullet"/>
        <w:spacing w:before="0" w:after="70" w:line="271" w:lineRule="auto"/>
        <w:ind w:left="540" w:hanging="271"/>
      </w:pPr>
      <w:r>
        <w:rPr>
          <w:rFonts w:ascii="Calibri" w:hAnsi="Calibri" w:eastAsia="Arial Unicode MS" w:cs="Arial Unicode MS"/>
          <w:color w:val="1F2933"/>
          <w:sz w:val="19"/>
        </w:rPr>
        <w:t>扩展潜力：客户业务从高校配送延伸至小区、医院、园区、写字楼等，新场景和长尾工况将持续带来数据复购。</w:t>
      </w:r>
    </w:p>
    <w:p>
      <w:pPr>
        <w:keepNext/>
        <w:spacing w:before="100" w:after="60"/>
      </w:pPr>
      <w:r>
        <w:rPr>
          <w:rFonts w:ascii="Calibri" w:hAnsi="Calibri" w:eastAsia="Arial Unicode MS" w:cs="Arial Unicode MS"/>
          <w:b/>
          <w:color w:val="007F73"/>
          <w:sz w:val="20"/>
        </w:rPr>
        <w:t>建议图表与版式</w:t>
      </w:r>
    </w:p>
    <w:p>
      <w:pPr>
        <w:pStyle w:val="ListBullet"/>
        <w:spacing w:before="0" w:after="60" w:line="271" w:lineRule="auto"/>
        <w:ind w:left="540" w:hanging="271"/>
      </w:pPr>
      <w:r>
        <w:rPr>
          <w:rFonts w:ascii="Calibri" w:hAnsi="Calibri" w:eastAsia="Arial Unicode MS" w:cs="Arial Unicode MS"/>
          <w:color w:val="183247"/>
          <w:sz w:val="19"/>
        </w:rPr>
        <w:t>页面中心用五步因果链呈现侧翻案例；左下放合作金额与结算方式，右下放场景扩张与未来复购。</w:t>
      </w:r>
    </w:p>
    <w:p>
      <w:pPr>
        <w:pStyle w:val="ListBullet"/>
        <w:spacing w:before="0" w:after="60" w:line="271" w:lineRule="auto"/>
        <w:ind w:left="540" w:hanging="271"/>
      </w:pPr>
      <w:r>
        <w:rPr>
          <w:rFonts w:ascii="Calibri" w:hAnsi="Calibri" w:eastAsia="Arial Unicode MS" w:cs="Arial Unicode MS"/>
          <w:color w:val="183247"/>
          <w:sz w:val="19"/>
        </w:rPr>
        <w:t>用“问题已解决”作为唯一大数字结论，不虚构节省金额。</w:t>
      </w:r>
    </w:p>
    <w:p>
      <w:pPr>
        <w:keepNext/>
        <w:spacing w:before="100" w:after="60"/>
      </w:pPr>
      <w:r>
        <w:rPr>
          <w:rFonts w:ascii="Calibri" w:hAnsi="Calibri" w:eastAsia="Arial Unicode MS" w:cs="Arial Unicode MS"/>
          <w:b/>
          <w:color w:val="007F73"/>
          <w:sz w:val="20"/>
        </w:rPr>
        <w:t>关键证据与口径</w:t>
      </w:r>
    </w:p>
    <w:tbl>
      <w:tblPr>
        <w:tblStyle w:val="TableGrid"/>
        <w:tblW w:type="dxa" w:w="9360"/>
        <w:jc w:val="left"/>
        <w:tblLayout w:type="fixed"/>
        <w:tblLook w:firstColumn="1" w:firstRow="1" w:lastColumn="0" w:lastRow="0" w:noHBand="0" w:noVBand="1" w:val="04A0"/>
        <w:tblInd w:w="120" w:type="dxa"/>
      </w:tblPr>
      <w:tblGrid>
        <w:gridCol w:w="3150"/>
        <w:gridCol w:w="4380"/>
        <w:gridCol w:w="1830"/>
      </w:tblGrid>
      <w:tr>
        <w:trPr>
          <w:tblHeader w:val="true"/>
        </w:trPr>
        <w:tc>
          <w:tcPr>
            <w:tcW w:type="dxa" w:w="315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关键证据</w:t>
            </w:r>
          </w:p>
        </w:tc>
        <w:tc>
          <w:tcPr>
            <w:tcW w:type="dxa" w:w="438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建议呈现</w:t>
            </w:r>
          </w:p>
        </w:tc>
        <w:tc>
          <w:tcPr>
            <w:tcW w:type="dxa" w:w="183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来源等级</w:t>
            </w:r>
          </w:p>
        </w:tc>
      </w:tr>
      <w:tr>
        <w:tc>
          <w:tcPr>
            <w:tcW w:type="dxa" w:w="3150"/>
          </w:tcPr>
          <w:p>
            <w:pPr>
              <w:spacing w:before="0" w:after="0" w:line="269" w:lineRule="auto"/>
              <w:jc w:val="left"/>
            </w:pPr>
            <w:r>
              <w:rPr>
                <w:rFonts w:ascii="Calibri" w:hAnsi="Calibri" w:eastAsia="Arial Unicode MS" w:cs="Arial Unicode MS"/>
                <w:b w:val="0"/>
                <w:color w:val="1F2933"/>
                <w:sz w:val="17"/>
              </w:rPr>
              <w:t>累计合作约300-400万元</w:t>
            </w:r>
          </w:p>
        </w:tc>
        <w:tc>
          <w:tcPr>
            <w:tcW w:type="dxa" w:w="4380"/>
          </w:tcPr>
          <w:p>
            <w:pPr>
              <w:spacing w:before="0" w:after="0" w:line="269" w:lineRule="auto"/>
              <w:jc w:val="left"/>
            </w:pPr>
            <w:r>
              <w:rPr>
                <w:rFonts w:ascii="Calibri" w:hAnsi="Calibri" w:eastAsia="Arial Unicode MS" w:cs="Arial Unicode MS"/>
                <w:b w:val="0"/>
                <w:color w:val="1F2933"/>
                <w:sz w:val="17"/>
              </w:rPr>
              <w:t>合作规模</w:t>
            </w:r>
          </w:p>
        </w:tc>
        <w:tc>
          <w:tcPr>
            <w:tcW w:type="dxa" w:w="1830"/>
          </w:tcPr>
          <w:p>
            <w:pPr>
              <w:spacing w:before="0" w:after="0" w:line="269" w:lineRule="auto"/>
              <w:jc w:val="center"/>
            </w:pPr>
            <w:r>
              <w:rPr>
                <w:rFonts w:ascii="Calibri" w:hAnsi="Calibri" w:eastAsia="Arial Unicode MS" w:cs="Arial Unicode MS"/>
                <w:b/>
                <w:color w:val="1F2933"/>
                <w:sz w:val="18"/>
              </w:rPr>
              <w:t>A｜客户访谈</w:t>
            </w:r>
          </w:p>
        </w:tc>
      </w:tr>
      <w:tr>
        <w:tc>
          <w:tcPr>
            <w:tcW w:type="dxa" w:w="3150"/>
            <w:shd w:fill="F2F4F7"/>
          </w:tcPr>
          <w:p>
            <w:pPr>
              <w:spacing w:before="0" w:after="0" w:line="269" w:lineRule="auto"/>
              <w:jc w:val="left"/>
            </w:pPr>
            <w:r>
              <w:rPr>
                <w:rFonts w:ascii="Calibri" w:hAnsi="Calibri" w:eastAsia="Arial Unicode MS" w:cs="Arial Unicode MS"/>
                <w:b w:val="0"/>
                <w:color w:val="1F2933"/>
                <w:sz w:val="17"/>
              </w:rPr>
              <w:t>湿滑坡道故障复现并推动算法+ABS改进</w:t>
            </w:r>
          </w:p>
        </w:tc>
        <w:tc>
          <w:tcPr>
            <w:tcW w:type="dxa" w:w="4380"/>
            <w:shd w:fill="F2F4F7"/>
          </w:tcPr>
          <w:p>
            <w:pPr>
              <w:spacing w:before="0" w:after="0" w:line="269" w:lineRule="auto"/>
              <w:jc w:val="left"/>
            </w:pPr>
            <w:r>
              <w:rPr>
                <w:rFonts w:ascii="Calibri" w:hAnsi="Calibri" w:eastAsia="Arial Unicode MS" w:cs="Arial Unicode MS"/>
                <w:b w:val="0"/>
                <w:color w:val="1F2933"/>
                <w:sz w:val="17"/>
              </w:rPr>
              <w:t>五步因果链</w:t>
            </w:r>
          </w:p>
        </w:tc>
        <w:tc>
          <w:tcPr>
            <w:tcW w:type="dxa" w:w="1830"/>
            <w:shd w:fill="F2F4F7"/>
          </w:tcPr>
          <w:p>
            <w:pPr>
              <w:spacing w:before="0" w:after="0" w:line="269" w:lineRule="auto"/>
              <w:jc w:val="center"/>
            </w:pPr>
            <w:r>
              <w:rPr>
                <w:rFonts w:ascii="Calibri" w:hAnsi="Calibri" w:eastAsia="Arial Unicode MS" w:cs="Arial Unicode MS"/>
                <w:b/>
                <w:color w:val="1F2933"/>
                <w:sz w:val="18"/>
              </w:rPr>
              <w:t>A｜客户访谈</w:t>
            </w:r>
          </w:p>
        </w:tc>
      </w:tr>
      <w:tr>
        <w:tc>
          <w:tcPr>
            <w:tcW w:type="dxa" w:w="3150"/>
          </w:tcPr>
          <w:p>
            <w:pPr>
              <w:spacing w:before="0" w:after="0" w:line="269" w:lineRule="auto"/>
              <w:jc w:val="left"/>
            </w:pPr>
            <w:r>
              <w:rPr>
                <w:rFonts w:ascii="Calibri" w:hAnsi="Calibri" w:eastAsia="Arial Unicode MS" w:cs="Arial Unicode MS"/>
                <w:b w:val="0"/>
                <w:color w:val="1F2933"/>
                <w:sz w:val="17"/>
              </w:rPr>
              <w:t>业务持续扩展至医院、园区和写字楼等场景</w:t>
            </w:r>
          </w:p>
        </w:tc>
        <w:tc>
          <w:tcPr>
            <w:tcW w:type="dxa" w:w="4380"/>
          </w:tcPr>
          <w:p>
            <w:pPr>
              <w:spacing w:before="0" w:after="0" w:line="269" w:lineRule="auto"/>
              <w:jc w:val="left"/>
            </w:pPr>
            <w:r>
              <w:rPr>
                <w:rFonts w:ascii="Calibri" w:hAnsi="Calibri" w:eastAsia="Arial Unicode MS" w:cs="Arial Unicode MS"/>
                <w:b w:val="0"/>
                <w:color w:val="1F2933"/>
                <w:sz w:val="17"/>
              </w:rPr>
              <w:t>复购场景地图</w:t>
            </w:r>
          </w:p>
        </w:tc>
        <w:tc>
          <w:tcPr>
            <w:tcW w:type="dxa" w:w="1830"/>
          </w:tcPr>
          <w:p>
            <w:pPr>
              <w:spacing w:before="0" w:after="0" w:line="269" w:lineRule="auto"/>
              <w:jc w:val="center"/>
            </w:pPr>
            <w:r>
              <w:rPr>
                <w:rFonts w:ascii="Calibri" w:hAnsi="Calibri" w:eastAsia="Arial Unicode MS" w:cs="Arial Unicode MS"/>
                <w:b/>
                <w:color w:val="1F2933"/>
                <w:sz w:val="18"/>
              </w:rPr>
              <w:t>A｜客户访谈</w:t>
            </w:r>
          </w:p>
        </w:tc>
      </w:tr>
    </w:tbl>
    <w:p>
      <w:pPr>
        <w:keepLines/>
        <w:spacing w:before="120" w:after="0" w:line="288" w:lineRule="auto"/>
        <w:jc w:val="left"/>
      </w:pPr>
      <w:r>
        <w:rPr>
          <w:rFonts w:ascii="Calibri" w:hAnsi="Calibri" w:eastAsia="Arial Unicode MS" w:cs="Arial Unicode MS"/>
          <w:b w:val="0"/>
          <w:i/>
          <w:color w:val="64748B"/>
          <w:sz w:val="18"/>
        </w:rPr>
        <w:t>讲述衔接：客户证明“技术有用且能够持续采购”，财务部分进一步呈现其如何转化为收入、毛利和增长质量。</w:t>
      </w:r>
    </w:p>
    <w:p>
      <w:r>
        <w:br w:type="page"/>
      </w:r>
    </w:p>
    <w:p>
      <w:pPr>
        <w:keepNext/>
        <w:spacing w:before="0" w:after="100" w:line="288" w:lineRule="auto"/>
        <w:jc w:val="left"/>
      </w:pPr>
      <w:r>
        <w:rPr>
          <w:rFonts w:ascii="Calibri" w:hAnsi="Calibri" w:eastAsia="Arial Unicode MS" w:cs="Arial Unicode MS"/>
          <w:b/>
          <w:i w:val="0"/>
          <w:color w:val="007F73"/>
          <w:sz w:val="19"/>
        </w:rPr>
        <w:t>第 18 页  |  财务与订单</w:t>
      </w:r>
    </w:p>
    <w:p>
      <w:pPr>
        <w:pStyle w:val="Heading1"/>
        <w:keepNext/>
      </w:pPr>
      <w:r>
        <w:t>2025年首年即实现千万元收入、61.7%毛利率与盈利，高研发投入体现技术型增长质量</w:t>
      </w:r>
    </w:p>
    <w:p>
      <w:pPr>
        <w:spacing w:before="60" w:after="120" w:line="278" w:lineRule="auto"/>
        <w:ind w:left="173" w:right="173"/>
        <w:shd w:fill="E8F4F1"/>
      </w:pPr>
      <w:r>
        <w:rPr>
          <w:rFonts w:ascii="Calibri" w:hAnsi="Calibri" w:eastAsia="Arial Unicode MS" w:cs="Arial Unicode MS"/>
          <w:b/>
          <w:color w:val="007F73"/>
          <w:sz w:val="20"/>
        </w:rPr>
        <w:t xml:space="preserve">核心观点  </w:t>
      </w:r>
      <w:r>
        <w:rPr>
          <w:rFonts w:ascii="Calibri" w:hAnsi="Calibri" w:eastAsia="Arial Unicode MS" w:cs="Arial Unicode MS"/>
          <w:b/>
          <w:color w:val="183247"/>
          <w:sz w:val="20"/>
        </w:rPr>
        <w:t>公司在成立早期即完成收入、毛利和利润的三重验证，并将接近一半收入规模持续投入研发，为触觉硬件、数据管线和模型能力构筑长期竞争力。</w:t>
      </w:r>
    </w:p>
    <w:p>
      <w:pPr>
        <w:keepNext/>
        <w:spacing w:before="100" w:after="60"/>
      </w:pPr>
      <w:r>
        <w:rPr>
          <w:rFonts w:ascii="Calibri" w:hAnsi="Calibri" w:eastAsia="Arial Unicode MS" w:cs="Arial Unicode MS"/>
          <w:b/>
          <w:color w:val="007F73"/>
          <w:sz w:val="20"/>
        </w:rPr>
        <w:t>主要支撑信息</w:t>
      </w:r>
    </w:p>
    <w:p>
      <w:pPr>
        <w:pStyle w:val="ListBullet"/>
        <w:spacing w:before="0" w:after="70" w:line="271" w:lineRule="auto"/>
        <w:ind w:left="540" w:hanging="271"/>
      </w:pPr>
      <w:r>
        <w:rPr>
          <w:rFonts w:ascii="Calibri" w:hAnsi="Calibri" w:eastAsia="Arial Unicode MS" w:cs="Arial Unicode MS"/>
          <w:color w:val="1F2933"/>
          <w:sz w:val="19"/>
        </w:rPr>
        <w:t>收入1,302.83万元，营业成本498.42万元，毛利804.41万元，毛利率61.7%。</w:t>
      </w:r>
    </w:p>
    <w:p>
      <w:pPr>
        <w:pStyle w:val="ListBullet"/>
        <w:spacing w:before="0" w:after="70" w:line="271" w:lineRule="auto"/>
        <w:ind w:left="540" w:hanging="271"/>
      </w:pPr>
      <w:r>
        <w:rPr>
          <w:rFonts w:ascii="Calibri" w:hAnsi="Calibri" w:eastAsia="Arial Unicode MS" w:cs="Arial Unicode MS"/>
          <w:color w:val="1F2933"/>
          <w:sz w:val="19"/>
        </w:rPr>
        <w:t>研发费用599.33万元，占收入46.0%，研发强度显著高于一般项目交付公司。</w:t>
      </w:r>
    </w:p>
    <w:p>
      <w:pPr>
        <w:pStyle w:val="ListBullet"/>
        <w:spacing w:before="0" w:after="70" w:line="271" w:lineRule="auto"/>
        <w:ind w:left="540" w:hanging="271"/>
      </w:pPr>
      <w:r>
        <w:rPr>
          <w:rFonts w:ascii="Calibri" w:hAnsi="Calibri" w:eastAsia="Arial Unicode MS" w:cs="Arial Unicode MS"/>
          <w:color w:val="1F2933"/>
          <w:sz w:val="19"/>
        </w:rPr>
        <w:t>净利润48.87万元，在高研发投入阶段仍实现首年盈利，说明业务毛利能够覆盖核心团队与研发支出。</w:t>
      </w:r>
    </w:p>
    <w:p>
      <w:pPr>
        <w:pStyle w:val="ListBullet"/>
        <w:spacing w:before="0" w:after="70" w:line="271" w:lineRule="auto"/>
        <w:ind w:left="540" w:hanging="271"/>
      </w:pPr>
      <w:r>
        <w:rPr>
          <w:rFonts w:ascii="Calibri" w:hAnsi="Calibri" w:eastAsia="Arial Unicode MS" w:cs="Arial Unicode MS"/>
          <w:color w:val="1F2933"/>
          <w:sz w:val="19"/>
        </w:rPr>
        <w:t>收入来源覆盖自动驾驶数据、工具链和技术交付，验证团队具备复杂技术产品的销售、交付和验收能力。</w:t>
      </w:r>
    </w:p>
    <w:p>
      <w:pPr>
        <w:pStyle w:val="ListBullet"/>
        <w:spacing w:before="0" w:after="70" w:line="271" w:lineRule="auto"/>
        <w:ind w:left="540" w:hanging="271"/>
      </w:pPr>
      <w:r>
        <w:rPr>
          <w:rFonts w:ascii="Calibri" w:hAnsi="Calibri" w:eastAsia="Arial Unicode MS" w:cs="Arial Unicode MS"/>
          <w:color w:val="1F2933"/>
          <w:sz w:val="19"/>
        </w:rPr>
        <w:t>不同材料曾出现营收1,381万元、研发投入783万元等口径，正式报告统一采用财务报表，差异另附说明。</w:t>
      </w:r>
    </w:p>
    <w:p>
      <w:pPr>
        <w:keepNext/>
        <w:spacing w:before="100" w:after="60"/>
      </w:pPr>
      <w:r>
        <w:rPr>
          <w:rFonts w:ascii="Calibri" w:hAnsi="Calibri" w:eastAsia="Arial Unicode MS" w:cs="Arial Unicode MS"/>
          <w:b/>
          <w:color w:val="007F73"/>
          <w:sz w:val="20"/>
        </w:rPr>
        <w:t>建议图表与版式</w:t>
      </w:r>
    </w:p>
    <w:p>
      <w:pPr>
        <w:pStyle w:val="ListBullet"/>
        <w:spacing w:before="0" w:after="60" w:line="271" w:lineRule="auto"/>
        <w:ind w:left="540" w:hanging="271"/>
      </w:pPr>
      <w:r>
        <w:rPr>
          <w:rFonts w:ascii="Calibri" w:hAnsi="Calibri" w:eastAsia="Arial Unicode MS" w:cs="Arial Unicode MS"/>
          <w:color w:val="183247"/>
          <w:sz w:val="19"/>
        </w:rPr>
        <w:t>采用“收入—毛利—研发—净利润”四段价值瀑布，突出高毛利支撑高研发并实现盈利。</w:t>
      </w:r>
    </w:p>
    <w:p>
      <w:pPr>
        <w:pStyle w:val="ListBullet"/>
        <w:spacing w:before="0" w:after="60" w:line="271" w:lineRule="auto"/>
        <w:ind w:left="540" w:hanging="271"/>
      </w:pPr>
      <w:r>
        <w:rPr>
          <w:rFonts w:ascii="Calibri" w:hAnsi="Calibri" w:eastAsia="Arial Unicode MS" w:cs="Arial Unicode MS"/>
          <w:color w:val="183247"/>
          <w:sz w:val="19"/>
        </w:rPr>
        <w:t>右侧放61.7%毛利率、46.0%研发强度和首年盈利三个大数字，避免展示整张财务报表。</w:t>
      </w:r>
    </w:p>
    <w:p>
      <w:pPr>
        <w:keepNext/>
        <w:spacing w:before="100" w:after="60"/>
      </w:pPr>
      <w:r>
        <w:rPr>
          <w:rFonts w:ascii="Calibri" w:hAnsi="Calibri" w:eastAsia="Arial Unicode MS" w:cs="Arial Unicode MS"/>
          <w:b/>
          <w:color w:val="007F73"/>
          <w:sz w:val="20"/>
        </w:rPr>
        <w:t>关键证据与口径</w:t>
      </w:r>
    </w:p>
    <w:tbl>
      <w:tblPr>
        <w:tblStyle w:val="TableGrid"/>
        <w:tblW w:type="dxa" w:w="9360"/>
        <w:jc w:val="left"/>
        <w:tblLayout w:type="fixed"/>
        <w:tblLook w:firstColumn="1" w:firstRow="1" w:lastColumn="0" w:lastRow="0" w:noHBand="0" w:noVBand="1" w:val="04A0"/>
        <w:tblInd w:w="120" w:type="dxa"/>
      </w:tblPr>
      <w:tblGrid>
        <w:gridCol w:w="3150"/>
        <w:gridCol w:w="4380"/>
        <w:gridCol w:w="1830"/>
      </w:tblGrid>
      <w:tr>
        <w:trPr>
          <w:tblHeader w:val="true"/>
        </w:trPr>
        <w:tc>
          <w:tcPr>
            <w:tcW w:type="dxa" w:w="315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关键证据</w:t>
            </w:r>
          </w:p>
        </w:tc>
        <w:tc>
          <w:tcPr>
            <w:tcW w:type="dxa" w:w="438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建议呈现</w:t>
            </w:r>
          </w:p>
        </w:tc>
        <w:tc>
          <w:tcPr>
            <w:tcW w:type="dxa" w:w="183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来源等级</w:t>
            </w:r>
          </w:p>
        </w:tc>
      </w:tr>
      <w:tr>
        <w:tc>
          <w:tcPr>
            <w:tcW w:type="dxa" w:w="3150"/>
          </w:tcPr>
          <w:p>
            <w:pPr>
              <w:spacing w:before="0" w:after="0" w:line="269" w:lineRule="auto"/>
              <w:jc w:val="left"/>
            </w:pPr>
            <w:r>
              <w:rPr>
                <w:rFonts w:ascii="Calibri" w:hAnsi="Calibri" w:eastAsia="Arial Unicode MS" w:cs="Arial Unicode MS"/>
                <w:b w:val="0"/>
                <w:color w:val="1F2933"/>
                <w:sz w:val="17"/>
              </w:rPr>
              <w:t>收入1,302.83万；毛利率61.7%</w:t>
            </w:r>
          </w:p>
        </w:tc>
        <w:tc>
          <w:tcPr>
            <w:tcW w:type="dxa" w:w="4380"/>
          </w:tcPr>
          <w:p>
            <w:pPr>
              <w:spacing w:before="0" w:after="0" w:line="269" w:lineRule="auto"/>
              <w:jc w:val="left"/>
            </w:pPr>
            <w:r>
              <w:rPr>
                <w:rFonts w:ascii="Calibri" w:hAnsi="Calibri" w:eastAsia="Arial Unicode MS" w:cs="Arial Unicode MS"/>
                <w:b w:val="0"/>
                <w:color w:val="1F2933"/>
                <w:sz w:val="17"/>
              </w:rPr>
              <w:t>利润瀑布</w:t>
            </w:r>
          </w:p>
        </w:tc>
        <w:tc>
          <w:tcPr>
            <w:tcW w:type="dxa" w:w="1830"/>
          </w:tcPr>
          <w:p>
            <w:pPr>
              <w:spacing w:before="0" w:after="0" w:line="269" w:lineRule="auto"/>
              <w:jc w:val="center"/>
            </w:pPr>
            <w:r>
              <w:rPr>
                <w:rFonts w:ascii="Calibri" w:hAnsi="Calibri" w:eastAsia="Arial Unicode MS" w:cs="Arial Unicode MS"/>
                <w:b/>
                <w:color w:val="1F2933"/>
                <w:sz w:val="18"/>
              </w:rPr>
              <w:t>A｜财务报表</w:t>
            </w:r>
          </w:p>
        </w:tc>
      </w:tr>
      <w:tr>
        <w:tc>
          <w:tcPr>
            <w:tcW w:type="dxa" w:w="3150"/>
            <w:shd w:fill="F2F4F7"/>
          </w:tcPr>
          <w:p>
            <w:pPr>
              <w:spacing w:before="0" w:after="0" w:line="269" w:lineRule="auto"/>
              <w:jc w:val="left"/>
            </w:pPr>
            <w:r>
              <w:rPr>
                <w:rFonts w:ascii="Calibri" w:hAnsi="Calibri" w:eastAsia="Arial Unicode MS" w:cs="Arial Unicode MS"/>
                <w:b w:val="0"/>
                <w:color w:val="1F2933"/>
                <w:sz w:val="17"/>
              </w:rPr>
              <w:t>研发599.33万，占收入46.0%</w:t>
            </w:r>
          </w:p>
        </w:tc>
        <w:tc>
          <w:tcPr>
            <w:tcW w:type="dxa" w:w="4380"/>
            <w:shd w:fill="F2F4F7"/>
          </w:tcPr>
          <w:p>
            <w:pPr>
              <w:spacing w:before="0" w:after="0" w:line="269" w:lineRule="auto"/>
              <w:jc w:val="left"/>
            </w:pPr>
            <w:r>
              <w:rPr>
                <w:rFonts w:ascii="Calibri" w:hAnsi="Calibri" w:eastAsia="Arial Unicode MS" w:cs="Arial Unicode MS"/>
                <w:b w:val="0"/>
                <w:color w:val="1F2933"/>
                <w:sz w:val="17"/>
              </w:rPr>
              <w:t>研发强度</w:t>
            </w:r>
          </w:p>
        </w:tc>
        <w:tc>
          <w:tcPr>
            <w:tcW w:type="dxa" w:w="1830"/>
            <w:shd w:fill="F2F4F7"/>
          </w:tcPr>
          <w:p>
            <w:pPr>
              <w:spacing w:before="0" w:after="0" w:line="269" w:lineRule="auto"/>
              <w:jc w:val="center"/>
            </w:pPr>
            <w:r>
              <w:rPr>
                <w:rFonts w:ascii="Calibri" w:hAnsi="Calibri" w:eastAsia="Arial Unicode MS" w:cs="Arial Unicode MS"/>
                <w:b/>
                <w:color w:val="1F2933"/>
                <w:sz w:val="18"/>
              </w:rPr>
              <w:t>A｜财务报表</w:t>
            </w:r>
          </w:p>
        </w:tc>
      </w:tr>
      <w:tr>
        <w:tc>
          <w:tcPr>
            <w:tcW w:type="dxa" w:w="3150"/>
          </w:tcPr>
          <w:p>
            <w:pPr>
              <w:spacing w:before="0" w:after="0" w:line="269" w:lineRule="auto"/>
              <w:jc w:val="left"/>
            </w:pPr>
            <w:r>
              <w:rPr>
                <w:rFonts w:ascii="Calibri" w:hAnsi="Calibri" w:eastAsia="Arial Unicode MS" w:cs="Arial Unicode MS"/>
                <w:b w:val="0"/>
                <w:color w:val="1F2933"/>
                <w:sz w:val="17"/>
              </w:rPr>
              <w:t>净利润48.87万，首年实现盈利</w:t>
            </w:r>
          </w:p>
        </w:tc>
        <w:tc>
          <w:tcPr>
            <w:tcW w:type="dxa" w:w="4380"/>
          </w:tcPr>
          <w:p>
            <w:pPr>
              <w:spacing w:before="0" w:after="0" w:line="269" w:lineRule="auto"/>
              <w:jc w:val="left"/>
            </w:pPr>
            <w:r>
              <w:rPr>
                <w:rFonts w:ascii="Calibri" w:hAnsi="Calibri" w:eastAsia="Arial Unicode MS" w:cs="Arial Unicode MS"/>
                <w:b w:val="0"/>
                <w:color w:val="1F2933"/>
                <w:sz w:val="17"/>
              </w:rPr>
              <w:t>盈利验证</w:t>
            </w:r>
          </w:p>
        </w:tc>
        <w:tc>
          <w:tcPr>
            <w:tcW w:type="dxa" w:w="1830"/>
          </w:tcPr>
          <w:p>
            <w:pPr>
              <w:spacing w:before="0" w:after="0" w:line="269" w:lineRule="auto"/>
              <w:jc w:val="center"/>
            </w:pPr>
            <w:r>
              <w:rPr>
                <w:rFonts w:ascii="Calibri" w:hAnsi="Calibri" w:eastAsia="Arial Unicode MS" w:cs="Arial Unicode MS"/>
                <w:b/>
                <w:color w:val="1F2933"/>
                <w:sz w:val="18"/>
              </w:rPr>
              <w:t>A｜财务报表</w:t>
            </w:r>
          </w:p>
        </w:tc>
      </w:tr>
    </w:tbl>
    <w:p>
      <w:pPr>
        <w:keepLines/>
        <w:spacing w:before="120" w:after="0" w:line="288" w:lineRule="auto"/>
        <w:jc w:val="left"/>
      </w:pPr>
      <w:r>
        <w:rPr>
          <w:rFonts w:ascii="Calibri" w:hAnsi="Calibri" w:eastAsia="Arial Unicode MS" w:cs="Arial Unicode MS"/>
          <w:b w:val="0"/>
          <w:i/>
          <w:color w:val="64748B"/>
          <w:sz w:val="18"/>
        </w:rPr>
        <w:t>讲述衔接：2025年完成经营基础验证，2026-2027年的增长则由自动驾驶数据、具身数据和触觉硬件三条收入线共同支撑。</w:t>
      </w:r>
    </w:p>
    <w:p>
      <w:r>
        <w:br w:type="page"/>
      </w:r>
    </w:p>
    <w:p>
      <w:pPr>
        <w:keepNext/>
        <w:spacing w:before="0" w:after="100" w:line="288" w:lineRule="auto"/>
        <w:jc w:val="left"/>
      </w:pPr>
      <w:r>
        <w:rPr>
          <w:rFonts w:ascii="Calibri" w:hAnsi="Calibri" w:eastAsia="Arial Unicode MS" w:cs="Arial Unicode MS"/>
          <w:b/>
          <w:i w:val="0"/>
          <w:color w:val="007F73"/>
          <w:sz w:val="19"/>
        </w:rPr>
        <w:t>第 19 页  |  财务与订单</w:t>
      </w:r>
    </w:p>
    <w:p>
      <w:pPr>
        <w:pStyle w:val="Heading1"/>
        <w:keepNext/>
      </w:pPr>
      <w:r>
        <w:t>2026年4,000万元目标由三条收入线共同支撑，2027年8,000万元将进一步释放平台化弹性</w:t>
      </w:r>
    </w:p>
    <w:p>
      <w:pPr>
        <w:spacing w:before="60" w:after="120" w:line="278" w:lineRule="auto"/>
        <w:ind w:left="173" w:right="173"/>
        <w:shd w:fill="E8F4F1"/>
      </w:pPr>
      <w:r>
        <w:rPr>
          <w:rFonts w:ascii="Calibri" w:hAnsi="Calibri" w:eastAsia="Arial Unicode MS" w:cs="Arial Unicode MS"/>
          <w:b/>
          <w:color w:val="007F73"/>
          <w:sz w:val="20"/>
        </w:rPr>
        <w:t xml:space="preserve">核心观点  </w:t>
      </w:r>
      <w:r>
        <w:rPr>
          <w:rFonts w:ascii="Calibri" w:hAnsi="Calibri" w:eastAsia="Arial Unicode MS" w:cs="Arial Unicode MS"/>
          <w:b/>
          <w:color w:val="183247"/>
          <w:sz w:val="20"/>
        </w:rPr>
        <w:t>自动驾驶数据提供稳定底盘，具身数据承接行业增量，触觉硬件打开规模化入口；三条业务相互导流，使2026年增长不依赖单一客户或单一产品。</w:t>
      </w:r>
    </w:p>
    <w:p>
      <w:pPr>
        <w:keepNext/>
        <w:spacing w:before="100" w:after="60"/>
      </w:pPr>
      <w:r>
        <w:rPr>
          <w:rFonts w:ascii="Calibri" w:hAnsi="Calibri" w:eastAsia="Arial Unicode MS" w:cs="Arial Unicode MS"/>
          <w:b/>
          <w:color w:val="007F73"/>
          <w:sz w:val="20"/>
        </w:rPr>
        <w:t>主要支撑信息</w:t>
      </w:r>
    </w:p>
    <w:p>
      <w:pPr>
        <w:pStyle w:val="ListBullet"/>
        <w:spacing w:before="0" w:after="70" w:line="271" w:lineRule="auto"/>
        <w:ind w:left="540" w:hanging="271"/>
      </w:pPr>
      <w:r>
        <w:rPr>
          <w:rFonts w:ascii="Calibri" w:hAnsi="Calibri" w:eastAsia="Arial Unicode MS" w:cs="Arial Unicode MS"/>
          <w:color w:val="1F2933"/>
          <w:sz w:val="19"/>
        </w:rPr>
        <w:t>2026E收入4,000万元，较2025A增长约207%；构成为自动驾驶数据1,500万元、具身数据1,500万元、触觉硬件1,000万元。</w:t>
      </w:r>
    </w:p>
    <w:p>
      <w:pPr>
        <w:pStyle w:val="ListBullet"/>
        <w:spacing w:before="0" w:after="70" w:line="271" w:lineRule="auto"/>
        <w:ind w:left="540" w:hanging="271"/>
      </w:pPr>
      <w:r>
        <w:rPr>
          <w:rFonts w:ascii="Calibri" w:hAnsi="Calibri" w:eastAsia="Arial Unicode MS" w:cs="Arial Unicode MS"/>
          <w:color w:val="1F2933"/>
          <w:sz w:val="19"/>
        </w:rPr>
        <w:t>自动驾驶业务已有客户与交付基础，可作为稳定收入底盘，并复用数据生成和自动化加工能力。</w:t>
      </w:r>
    </w:p>
    <w:p>
      <w:pPr>
        <w:pStyle w:val="ListBullet"/>
        <w:spacing w:before="0" w:after="70" w:line="271" w:lineRule="auto"/>
        <w:ind w:left="540" w:hanging="271"/>
      </w:pPr>
      <w:r>
        <w:rPr>
          <w:rFonts w:ascii="Calibri" w:hAnsi="Calibri" w:eastAsia="Arial Unicode MS" w:cs="Arial Unicode MS"/>
          <w:color w:val="1F2933"/>
          <w:sz w:val="19"/>
        </w:rPr>
        <w:t>具身数据增长由普罗宇宙、数据厂商和机器人客户拉动，关键变量是成品数据质量、产能和复购。</w:t>
      </w:r>
    </w:p>
    <w:p>
      <w:pPr>
        <w:pStyle w:val="ListBullet"/>
        <w:spacing w:before="0" w:after="70" w:line="271" w:lineRule="auto"/>
        <w:ind w:left="540" w:hanging="271"/>
      </w:pPr>
      <w:r>
        <w:rPr>
          <w:rFonts w:ascii="Calibri" w:hAnsi="Calibri" w:eastAsia="Arial Unicode MS" w:cs="Arial Unicode MS"/>
          <w:color w:val="1F2933"/>
          <w:sz w:val="19"/>
        </w:rPr>
        <w:t>触觉硬件已有接近500套意向在手订单，按3-4万元/套测算的订单储备足以覆盖并有望超过1,000万元年度硬件目标。</w:t>
      </w:r>
    </w:p>
    <w:p>
      <w:pPr>
        <w:pStyle w:val="ListBullet"/>
        <w:spacing w:before="0" w:after="70" w:line="271" w:lineRule="auto"/>
        <w:ind w:left="540" w:hanging="271"/>
      </w:pPr>
      <w:r>
        <w:rPr>
          <w:rFonts w:ascii="Calibri" w:hAnsi="Calibri" w:eastAsia="Arial Unicode MS" w:cs="Arial Unicode MS"/>
          <w:color w:val="1F2933"/>
          <w:sz w:val="19"/>
        </w:rPr>
        <w:t>2027E收入8,000万元将在三条产品线基础上叠加合成数据、训练场和模型收费，释放数据资产复用带来的平台弹性。</w:t>
      </w:r>
    </w:p>
    <w:p>
      <w:pPr>
        <w:keepNext/>
        <w:spacing w:before="100" w:after="60"/>
      </w:pPr>
      <w:r>
        <w:rPr>
          <w:rFonts w:ascii="Calibri" w:hAnsi="Calibri" w:eastAsia="Arial Unicode MS" w:cs="Arial Unicode MS"/>
          <w:b/>
          <w:color w:val="007F73"/>
          <w:sz w:val="20"/>
        </w:rPr>
        <w:t>建议图表与版式</w:t>
      </w:r>
    </w:p>
    <w:p>
      <w:pPr>
        <w:pStyle w:val="ListBullet"/>
        <w:spacing w:before="0" w:after="60" w:line="271" w:lineRule="auto"/>
        <w:ind w:left="540" w:hanging="271"/>
      </w:pPr>
      <w:r>
        <w:rPr>
          <w:rFonts w:ascii="Calibri" w:hAnsi="Calibri" w:eastAsia="Arial Unicode MS" w:cs="Arial Unicode MS"/>
          <w:color w:val="183247"/>
          <w:sz w:val="19"/>
        </w:rPr>
        <w:t>用收入桥拆解2025A→2026E的增量来源；再用情景表列保守3,000万、基准4,000万、乐观5,000万。</w:t>
      </w:r>
    </w:p>
    <w:p>
      <w:pPr>
        <w:pStyle w:val="ListBullet"/>
        <w:spacing w:before="0" w:after="60" w:line="271" w:lineRule="auto"/>
        <w:ind w:left="540" w:hanging="271"/>
      </w:pPr>
      <w:r>
        <w:rPr>
          <w:rFonts w:ascii="Calibri" w:hAnsi="Calibri" w:eastAsia="Arial Unicode MS" w:cs="Arial Unicode MS"/>
          <w:color w:val="183247"/>
          <w:sz w:val="19"/>
        </w:rPr>
        <w:t>2027年用“硬件入口扩大→数据复购增加→训练场与模型收费”的飞轮解释增长来源。</w:t>
      </w:r>
    </w:p>
    <w:p>
      <w:pPr>
        <w:keepNext/>
        <w:spacing w:before="100" w:after="60"/>
      </w:pPr>
      <w:r>
        <w:rPr>
          <w:rFonts w:ascii="Calibri" w:hAnsi="Calibri" w:eastAsia="Arial Unicode MS" w:cs="Arial Unicode MS"/>
          <w:b/>
          <w:color w:val="007F73"/>
          <w:sz w:val="20"/>
        </w:rPr>
        <w:t>关键证据与口径</w:t>
      </w:r>
    </w:p>
    <w:tbl>
      <w:tblPr>
        <w:tblStyle w:val="TableGrid"/>
        <w:tblW w:type="dxa" w:w="9360"/>
        <w:jc w:val="left"/>
        <w:tblLayout w:type="fixed"/>
        <w:tblLook w:firstColumn="1" w:firstRow="1" w:lastColumn="0" w:lastRow="0" w:noHBand="0" w:noVBand="1" w:val="04A0"/>
        <w:tblInd w:w="120" w:type="dxa"/>
      </w:tblPr>
      <w:tblGrid>
        <w:gridCol w:w="3150"/>
        <w:gridCol w:w="4380"/>
        <w:gridCol w:w="1830"/>
      </w:tblGrid>
      <w:tr>
        <w:trPr>
          <w:tblHeader w:val="true"/>
        </w:trPr>
        <w:tc>
          <w:tcPr>
            <w:tcW w:type="dxa" w:w="315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关键证据</w:t>
            </w:r>
          </w:p>
        </w:tc>
        <w:tc>
          <w:tcPr>
            <w:tcW w:type="dxa" w:w="438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建议呈现</w:t>
            </w:r>
          </w:p>
        </w:tc>
        <w:tc>
          <w:tcPr>
            <w:tcW w:type="dxa" w:w="183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来源等级</w:t>
            </w:r>
          </w:p>
        </w:tc>
      </w:tr>
      <w:tr>
        <w:tc>
          <w:tcPr>
            <w:tcW w:type="dxa" w:w="3150"/>
          </w:tcPr>
          <w:p>
            <w:pPr>
              <w:spacing w:before="0" w:after="0" w:line="269" w:lineRule="auto"/>
              <w:jc w:val="left"/>
            </w:pPr>
            <w:r>
              <w:rPr>
                <w:rFonts w:ascii="Calibri" w:hAnsi="Calibri" w:eastAsia="Arial Unicode MS" w:cs="Arial Unicode MS"/>
                <w:b w:val="0"/>
                <w:color w:val="1F2933"/>
                <w:sz w:val="17"/>
              </w:rPr>
              <w:t>2026E 4,000万，增速约207%</w:t>
            </w:r>
          </w:p>
        </w:tc>
        <w:tc>
          <w:tcPr>
            <w:tcW w:type="dxa" w:w="4380"/>
          </w:tcPr>
          <w:p>
            <w:pPr>
              <w:spacing w:before="0" w:after="0" w:line="269" w:lineRule="auto"/>
              <w:jc w:val="left"/>
            </w:pPr>
            <w:r>
              <w:rPr>
                <w:rFonts w:ascii="Calibri" w:hAnsi="Calibri" w:eastAsia="Arial Unicode MS" w:cs="Arial Unicode MS"/>
                <w:b w:val="0"/>
                <w:color w:val="1F2933"/>
                <w:sz w:val="17"/>
              </w:rPr>
              <w:t>收入桥</w:t>
            </w:r>
          </w:p>
        </w:tc>
        <w:tc>
          <w:tcPr>
            <w:tcW w:type="dxa" w:w="1830"/>
          </w:tcPr>
          <w:p>
            <w:pPr>
              <w:spacing w:before="0" w:after="0" w:line="269" w:lineRule="auto"/>
              <w:jc w:val="center"/>
            </w:pPr>
            <w:r>
              <w:rPr>
                <w:rFonts w:ascii="Calibri" w:hAnsi="Calibri" w:eastAsia="Arial Unicode MS" w:cs="Arial Unicode MS"/>
                <w:b/>
                <w:color w:val="1F2933"/>
                <w:sz w:val="18"/>
              </w:rPr>
              <w:t>B｜管理层预算</w:t>
            </w:r>
          </w:p>
        </w:tc>
      </w:tr>
      <w:tr>
        <w:tc>
          <w:tcPr>
            <w:tcW w:type="dxa" w:w="3150"/>
            <w:shd w:fill="F2F4F7"/>
          </w:tcPr>
          <w:p>
            <w:pPr>
              <w:spacing w:before="0" w:after="0" w:line="269" w:lineRule="auto"/>
              <w:jc w:val="left"/>
            </w:pPr>
            <w:r>
              <w:rPr>
                <w:rFonts w:ascii="Calibri" w:hAnsi="Calibri" w:eastAsia="Arial Unicode MS" w:cs="Arial Unicode MS"/>
                <w:b w:val="0"/>
                <w:color w:val="1F2933"/>
                <w:sz w:val="17"/>
              </w:rPr>
              <w:t>三条收入线1,500/1,500/1,000万</w:t>
            </w:r>
          </w:p>
        </w:tc>
        <w:tc>
          <w:tcPr>
            <w:tcW w:type="dxa" w:w="4380"/>
            <w:shd w:fill="F2F4F7"/>
          </w:tcPr>
          <w:p>
            <w:pPr>
              <w:spacing w:before="0" w:after="0" w:line="269" w:lineRule="auto"/>
              <w:jc w:val="left"/>
            </w:pPr>
            <w:r>
              <w:rPr>
                <w:rFonts w:ascii="Calibri" w:hAnsi="Calibri" w:eastAsia="Arial Unicode MS" w:cs="Arial Unicode MS"/>
                <w:b w:val="0"/>
                <w:color w:val="1F2933"/>
                <w:sz w:val="17"/>
              </w:rPr>
              <w:t>结构堆叠柱</w:t>
            </w:r>
          </w:p>
        </w:tc>
        <w:tc>
          <w:tcPr>
            <w:tcW w:type="dxa" w:w="1830"/>
            <w:shd w:fill="F2F4F7"/>
          </w:tcPr>
          <w:p>
            <w:pPr>
              <w:spacing w:before="0" w:after="0" w:line="269" w:lineRule="auto"/>
              <w:jc w:val="center"/>
            </w:pPr>
            <w:r>
              <w:rPr>
                <w:rFonts w:ascii="Calibri" w:hAnsi="Calibri" w:eastAsia="Arial Unicode MS" w:cs="Arial Unicode MS"/>
                <w:b/>
                <w:color w:val="1F2933"/>
                <w:sz w:val="18"/>
              </w:rPr>
              <w:t>B｜管理层预算</w:t>
            </w:r>
          </w:p>
        </w:tc>
      </w:tr>
      <w:tr>
        <w:tc>
          <w:tcPr>
            <w:tcW w:type="dxa" w:w="3150"/>
          </w:tcPr>
          <w:p>
            <w:pPr>
              <w:spacing w:before="0" w:after="0" w:line="269" w:lineRule="auto"/>
              <w:jc w:val="left"/>
            </w:pPr>
            <w:r>
              <w:rPr>
                <w:rFonts w:ascii="Calibri" w:hAnsi="Calibri" w:eastAsia="Arial Unicode MS" w:cs="Arial Unicode MS"/>
                <w:b w:val="0"/>
                <w:color w:val="1F2933"/>
                <w:sz w:val="17"/>
              </w:rPr>
              <w:t>2027E 8,000万</w:t>
            </w:r>
          </w:p>
        </w:tc>
        <w:tc>
          <w:tcPr>
            <w:tcW w:type="dxa" w:w="4380"/>
          </w:tcPr>
          <w:p>
            <w:pPr>
              <w:spacing w:before="0" w:after="0" w:line="269" w:lineRule="auto"/>
              <w:jc w:val="left"/>
            </w:pPr>
            <w:r>
              <w:rPr>
                <w:rFonts w:ascii="Calibri" w:hAnsi="Calibri" w:eastAsia="Arial Unicode MS" w:cs="Arial Unicode MS"/>
                <w:b w:val="0"/>
                <w:color w:val="1F2933"/>
                <w:sz w:val="17"/>
              </w:rPr>
              <w:t>平台化前提清单</w:t>
            </w:r>
          </w:p>
        </w:tc>
        <w:tc>
          <w:tcPr>
            <w:tcW w:type="dxa" w:w="1830"/>
          </w:tcPr>
          <w:p>
            <w:pPr>
              <w:spacing w:before="0" w:after="0" w:line="269" w:lineRule="auto"/>
              <w:jc w:val="center"/>
            </w:pPr>
            <w:r>
              <w:rPr>
                <w:rFonts w:ascii="Calibri" w:hAnsi="Calibri" w:eastAsia="Arial Unicode MS" w:cs="Arial Unicode MS"/>
                <w:b/>
                <w:color w:val="1F2933"/>
                <w:sz w:val="18"/>
              </w:rPr>
              <w:t>B｜公司规划</w:t>
            </w:r>
          </w:p>
        </w:tc>
      </w:tr>
    </w:tbl>
    <w:p>
      <w:pPr>
        <w:keepLines/>
        <w:spacing w:before="120" w:after="0" w:line="288" w:lineRule="auto"/>
        <w:jc w:val="left"/>
      </w:pPr>
      <w:r>
        <w:rPr>
          <w:rFonts w:ascii="Calibri" w:hAnsi="Calibri" w:eastAsia="Arial Unicode MS" w:cs="Arial Unicode MS"/>
          <w:b w:val="0"/>
          <w:i/>
          <w:color w:val="64748B"/>
          <w:sz w:val="18"/>
        </w:rPr>
        <w:t>讲述衔接：三条收入线之外，公司已经形成复购订单、测试客户、触觉手套意向和大型项目储备。</w:t>
      </w:r>
    </w:p>
    <w:p>
      <w:r>
        <w:br w:type="page"/>
      </w:r>
    </w:p>
    <w:p>
      <w:pPr>
        <w:keepNext/>
        <w:spacing w:before="0" w:after="100" w:line="288" w:lineRule="auto"/>
        <w:jc w:val="left"/>
      </w:pPr>
      <w:r>
        <w:rPr>
          <w:rFonts w:ascii="Calibri" w:hAnsi="Calibri" w:eastAsia="Arial Unicode MS" w:cs="Arial Unicode MS"/>
          <w:b/>
          <w:i w:val="0"/>
          <w:color w:val="007F73"/>
          <w:sz w:val="19"/>
        </w:rPr>
        <w:t>第 20 页  |  财务与订单</w:t>
      </w:r>
    </w:p>
    <w:p>
      <w:pPr>
        <w:pStyle w:val="Heading1"/>
        <w:keepNext/>
      </w:pPr>
      <w:r>
        <w:t>复购订单与近500套触觉手套意向共同构成在手储备，2026年收入增长已有多层客户支撑</w:t>
      </w:r>
    </w:p>
    <w:p>
      <w:pPr>
        <w:spacing w:before="60" w:after="120" w:line="278" w:lineRule="auto"/>
        <w:ind w:left="173" w:right="173"/>
        <w:shd w:fill="E8F4F1"/>
      </w:pPr>
      <w:r>
        <w:rPr>
          <w:rFonts w:ascii="Calibri" w:hAnsi="Calibri" w:eastAsia="Arial Unicode MS" w:cs="Arial Unicode MS"/>
          <w:b/>
          <w:color w:val="007F73"/>
          <w:sz w:val="20"/>
        </w:rPr>
        <w:t xml:space="preserve">核心观点  </w:t>
      </w:r>
      <w:r>
        <w:rPr>
          <w:rFonts w:ascii="Calibri" w:hAnsi="Calibri" w:eastAsia="Arial Unicode MS" w:cs="Arial Unicode MS"/>
          <w:b/>
          <w:color w:val="183247"/>
          <w:sz w:val="20"/>
        </w:rPr>
        <w:t>公司已经形成“持续复购客户—小批量测试客户—触觉手套意向在手订单—大型数字孪生项目”的订单组合，既有近期收入确定性，也有规模化增长空间。</w:t>
      </w:r>
    </w:p>
    <w:p>
      <w:pPr>
        <w:keepNext/>
        <w:spacing w:before="100" w:after="60"/>
      </w:pPr>
      <w:r>
        <w:rPr>
          <w:rFonts w:ascii="Calibri" w:hAnsi="Calibri" w:eastAsia="Arial Unicode MS" w:cs="Arial Unicode MS"/>
          <w:b/>
          <w:color w:val="007F73"/>
          <w:sz w:val="20"/>
        </w:rPr>
        <w:t>主要支撑信息</w:t>
      </w:r>
    </w:p>
    <w:p>
      <w:pPr>
        <w:pStyle w:val="ListBullet"/>
        <w:spacing w:before="0" w:after="70" w:line="271" w:lineRule="auto"/>
        <w:ind w:left="540" w:hanging="271"/>
      </w:pPr>
      <w:r>
        <w:rPr>
          <w:rFonts w:ascii="Calibri" w:hAnsi="Calibri" w:eastAsia="Arial Unicode MS" w:cs="Arial Unicode MS"/>
          <w:color w:val="1F2933"/>
          <w:sz w:val="19"/>
        </w:rPr>
        <w:t>复购订单：普罗宇宙已形成两批订单；行之途累计合作300-400万元并按月采购；自动驾驶客户维持稳定订单。</w:t>
      </w:r>
    </w:p>
    <w:p>
      <w:pPr>
        <w:pStyle w:val="ListBullet"/>
        <w:spacing w:before="0" w:after="70" w:line="271" w:lineRule="auto"/>
        <w:ind w:left="540" w:hanging="271"/>
      </w:pPr>
      <w:r>
        <w:rPr>
          <w:rFonts w:ascii="Calibri" w:hAnsi="Calibri" w:eastAsia="Arial Unicode MS" w:cs="Arial Unicode MS"/>
          <w:color w:val="1F2933"/>
          <w:sz w:val="19"/>
        </w:rPr>
        <w:t>测试客户：无问智行、湖南超能、智元等已获得5-10套测试样机，为后续批量采购建立产品入口。</w:t>
      </w:r>
    </w:p>
    <w:p>
      <w:pPr>
        <w:pStyle w:val="ListBullet"/>
        <w:spacing w:before="0" w:after="70" w:line="271" w:lineRule="auto"/>
        <w:ind w:left="540" w:hanging="271"/>
      </w:pPr>
      <w:r>
        <w:rPr>
          <w:rFonts w:ascii="Calibri" w:hAnsi="Calibri" w:eastAsia="Arial Unicode MS" w:cs="Arial Unicode MS"/>
          <w:color w:val="1F2933"/>
          <w:sz w:val="19"/>
        </w:rPr>
        <w:t>意向在手订单：触觉手套接近500套，按3-4万元/套测算，对应约1,500-2,000万元订单储备空间。</w:t>
      </w:r>
    </w:p>
    <w:p>
      <w:pPr>
        <w:pStyle w:val="ListBullet"/>
        <w:spacing w:before="0" w:after="70" w:line="271" w:lineRule="auto"/>
        <w:ind w:left="540" w:hanging="271"/>
      </w:pPr>
      <w:r>
        <w:rPr>
          <w:rFonts w:ascii="Calibri" w:hAnsi="Calibri" w:eastAsia="Arial Unicode MS" w:cs="Arial Unicode MS"/>
          <w:color w:val="1F2933"/>
          <w:sz w:val="19"/>
        </w:rPr>
        <w:t>大型项目储备：台州湾数字孪生项目进入招投标推进，阿里前置仓无人化已开展测试，拓展训练场与系统解决方案收入。</w:t>
      </w:r>
    </w:p>
    <w:p>
      <w:pPr>
        <w:pStyle w:val="ListBullet"/>
        <w:spacing w:before="0" w:after="70" w:line="271" w:lineRule="auto"/>
        <w:ind w:left="540" w:hanging="271"/>
      </w:pPr>
      <w:r>
        <w:rPr>
          <w:rFonts w:ascii="Calibri" w:hAnsi="Calibri" w:eastAsia="Arial Unicode MS" w:cs="Arial Unicode MS"/>
          <w:color w:val="1F2933"/>
          <w:sz w:val="19"/>
        </w:rPr>
        <w:t>交叉销售逻辑：手套客户可进一步采购异构数据和模型训练服务，数据客户也可导入触觉硬件，单客户价值具备持续提升空间。</w:t>
      </w:r>
    </w:p>
    <w:p>
      <w:pPr>
        <w:keepNext/>
        <w:spacing w:before="100" w:after="60"/>
      </w:pPr>
      <w:r>
        <w:rPr>
          <w:rFonts w:ascii="Calibri" w:hAnsi="Calibri" w:eastAsia="Arial Unicode MS" w:cs="Arial Unicode MS"/>
          <w:b/>
          <w:color w:val="007F73"/>
          <w:sz w:val="20"/>
        </w:rPr>
        <w:t>建议图表与版式</w:t>
      </w:r>
    </w:p>
    <w:p>
      <w:pPr>
        <w:pStyle w:val="ListBullet"/>
        <w:spacing w:before="0" w:after="60" w:line="271" w:lineRule="auto"/>
        <w:ind w:left="540" w:hanging="271"/>
      </w:pPr>
      <w:r>
        <w:rPr>
          <w:rFonts w:ascii="Calibri" w:hAnsi="Calibri" w:eastAsia="Arial Unicode MS" w:cs="Arial Unicode MS"/>
          <w:color w:val="183247"/>
          <w:sz w:val="19"/>
        </w:rPr>
        <w:t>采用四层订单金字塔：复购订单、测试客户、意向在手订单、大型项目储备；每层标客户、数量和对应产品。</w:t>
      </w:r>
    </w:p>
    <w:p>
      <w:pPr>
        <w:pStyle w:val="ListBullet"/>
        <w:spacing w:before="0" w:after="60" w:line="271" w:lineRule="auto"/>
        <w:ind w:left="540" w:hanging="271"/>
      </w:pPr>
      <w:r>
        <w:rPr>
          <w:rFonts w:ascii="Calibri" w:hAnsi="Calibri" w:eastAsia="Arial Unicode MS" w:cs="Arial Unicode MS"/>
          <w:color w:val="183247"/>
          <w:sz w:val="19"/>
        </w:rPr>
        <w:t>右侧用“硬件→数据→训练场/模型”交叉销售箭头，体现订单储备不仅是一次性硬件收入。</w:t>
      </w:r>
    </w:p>
    <w:p>
      <w:pPr>
        <w:keepNext/>
        <w:spacing w:before="100" w:after="60"/>
      </w:pPr>
      <w:r>
        <w:rPr>
          <w:rFonts w:ascii="Calibri" w:hAnsi="Calibri" w:eastAsia="Arial Unicode MS" w:cs="Arial Unicode MS"/>
          <w:b/>
          <w:color w:val="007F73"/>
          <w:sz w:val="20"/>
        </w:rPr>
        <w:t>关键证据与口径</w:t>
      </w:r>
    </w:p>
    <w:tbl>
      <w:tblPr>
        <w:tblStyle w:val="TableGrid"/>
        <w:tblW w:type="dxa" w:w="9360"/>
        <w:jc w:val="left"/>
        <w:tblLayout w:type="fixed"/>
        <w:tblLook w:firstColumn="1" w:firstRow="1" w:lastColumn="0" w:lastRow="0" w:noHBand="0" w:noVBand="1" w:val="04A0"/>
        <w:tblInd w:w="120" w:type="dxa"/>
      </w:tblPr>
      <w:tblGrid>
        <w:gridCol w:w="3150"/>
        <w:gridCol w:w="4380"/>
        <w:gridCol w:w="1830"/>
      </w:tblGrid>
      <w:tr>
        <w:trPr>
          <w:tblHeader w:val="true"/>
        </w:trPr>
        <w:tc>
          <w:tcPr>
            <w:tcW w:type="dxa" w:w="315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关键证据</w:t>
            </w:r>
          </w:p>
        </w:tc>
        <w:tc>
          <w:tcPr>
            <w:tcW w:type="dxa" w:w="438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建议呈现</w:t>
            </w:r>
          </w:p>
        </w:tc>
        <w:tc>
          <w:tcPr>
            <w:tcW w:type="dxa" w:w="183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来源等级</w:t>
            </w:r>
          </w:p>
        </w:tc>
      </w:tr>
      <w:tr>
        <w:tc>
          <w:tcPr>
            <w:tcW w:type="dxa" w:w="3150"/>
          </w:tcPr>
          <w:p>
            <w:pPr>
              <w:spacing w:before="0" w:after="0" w:line="269" w:lineRule="auto"/>
              <w:jc w:val="left"/>
            </w:pPr>
            <w:r>
              <w:rPr>
                <w:rFonts w:ascii="Calibri" w:hAnsi="Calibri" w:eastAsia="Arial Unicode MS" w:cs="Arial Unicode MS"/>
                <w:b w:val="0"/>
                <w:color w:val="1F2933"/>
                <w:sz w:val="17"/>
              </w:rPr>
              <w:t>普罗宇宙复购、行之途月度结算</w:t>
            </w:r>
          </w:p>
        </w:tc>
        <w:tc>
          <w:tcPr>
            <w:tcW w:type="dxa" w:w="4380"/>
          </w:tcPr>
          <w:p>
            <w:pPr>
              <w:spacing w:before="0" w:after="0" w:line="269" w:lineRule="auto"/>
              <w:jc w:val="left"/>
            </w:pPr>
            <w:r>
              <w:rPr>
                <w:rFonts w:ascii="Calibri" w:hAnsi="Calibri" w:eastAsia="Arial Unicode MS" w:cs="Arial Unicode MS"/>
                <w:b w:val="0"/>
                <w:color w:val="1F2933"/>
                <w:sz w:val="17"/>
              </w:rPr>
              <w:t>高确定性订单层</w:t>
            </w:r>
          </w:p>
        </w:tc>
        <w:tc>
          <w:tcPr>
            <w:tcW w:type="dxa" w:w="1830"/>
          </w:tcPr>
          <w:p>
            <w:pPr>
              <w:spacing w:before="0" w:after="0" w:line="269" w:lineRule="auto"/>
              <w:jc w:val="center"/>
            </w:pPr>
            <w:r>
              <w:rPr>
                <w:rFonts w:ascii="Calibri" w:hAnsi="Calibri" w:eastAsia="Arial Unicode MS" w:cs="Arial Unicode MS"/>
                <w:b/>
                <w:color w:val="1F2933"/>
                <w:sz w:val="18"/>
              </w:rPr>
              <w:t>A｜客户访谈</w:t>
            </w:r>
          </w:p>
        </w:tc>
      </w:tr>
      <w:tr>
        <w:tc>
          <w:tcPr>
            <w:tcW w:type="dxa" w:w="3150"/>
            <w:shd w:fill="F2F4F7"/>
          </w:tcPr>
          <w:p>
            <w:pPr>
              <w:spacing w:before="0" w:after="0" w:line="269" w:lineRule="auto"/>
              <w:jc w:val="left"/>
            </w:pPr>
            <w:r>
              <w:rPr>
                <w:rFonts w:ascii="Calibri" w:hAnsi="Calibri" w:eastAsia="Arial Unicode MS" w:cs="Arial Unicode MS"/>
                <w:b w:val="0"/>
                <w:color w:val="1F2933"/>
                <w:sz w:val="17"/>
              </w:rPr>
              <w:t>近500套触觉手套意向在手订单，约1,500-2,000万元空间</w:t>
            </w:r>
          </w:p>
        </w:tc>
        <w:tc>
          <w:tcPr>
            <w:tcW w:type="dxa" w:w="4380"/>
            <w:shd w:fill="F2F4F7"/>
          </w:tcPr>
          <w:p>
            <w:pPr>
              <w:spacing w:before="0" w:after="0" w:line="269" w:lineRule="auto"/>
              <w:jc w:val="left"/>
            </w:pPr>
            <w:r>
              <w:rPr>
                <w:rFonts w:ascii="Calibri" w:hAnsi="Calibri" w:eastAsia="Arial Unicode MS" w:cs="Arial Unicode MS"/>
                <w:b w:val="0"/>
                <w:color w:val="1F2933"/>
                <w:sz w:val="17"/>
              </w:rPr>
              <w:t>规模化订单层</w:t>
            </w:r>
          </w:p>
        </w:tc>
        <w:tc>
          <w:tcPr>
            <w:tcW w:type="dxa" w:w="1830"/>
            <w:shd w:fill="F2F4F7"/>
          </w:tcPr>
          <w:p>
            <w:pPr>
              <w:spacing w:before="0" w:after="0" w:line="269" w:lineRule="auto"/>
              <w:jc w:val="center"/>
            </w:pPr>
            <w:r>
              <w:rPr>
                <w:rFonts w:ascii="Calibri" w:hAnsi="Calibri" w:eastAsia="Arial Unicode MS" w:cs="Arial Unicode MS"/>
                <w:b/>
                <w:color w:val="1F2933"/>
                <w:sz w:val="18"/>
              </w:rPr>
              <w:t>B/C｜管理层确认</w:t>
            </w:r>
          </w:p>
        </w:tc>
      </w:tr>
      <w:tr>
        <w:tc>
          <w:tcPr>
            <w:tcW w:type="dxa" w:w="3150"/>
          </w:tcPr>
          <w:p>
            <w:pPr>
              <w:spacing w:before="0" w:after="0" w:line="269" w:lineRule="auto"/>
              <w:jc w:val="left"/>
            </w:pPr>
            <w:r>
              <w:rPr>
                <w:rFonts w:ascii="Calibri" w:hAnsi="Calibri" w:eastAsia="Arial Unicode MS" w:cs="Arial Unicode MS"/>
                <w:b w:val="0"/>
                <w:color w:val="1F2933"/>
                <w:sz w:val="17"/>
              </w:rPr>
              <w:t>台州湾数字孪生、阿里前置仓测试</w:t>
            </w:r>
          </w:p>
        </w:tc>
        <w:tc>
          <w:tcPr>
            <w:tcW w:type="dxa" w:w="4380"/>
          </w:tcPr>
          <w:p>
            <w:pPr>
              <w:spacing w:before="0" w:after="0" w:line="269" w:lineRule="auto"/>
              <w:jc w:val="left"/>
            </w:pPr>
            <w:r>
              <w:rPr>
                <w:rFonts w:ascii="Calibri" w:hAnsi="Calibri" w:eastAsia="Arial Unicode MS" w:cs="Arial Unicode MS"/>
                <w:b w:val="0"/>
                <w:color w:val="1F2933"/>
                <w:sz w:val="17"/>
              </w:rPr>
              <w:t>大型项目储备层</w:t>
            </w:r>
          </w:p>
        </w:tc>
        <w:tc>
          <w:tcPr>
            <w:tcW w:type="dxa" w:w="1830"/>
          </w:tcPr>
          <w:p>
            <w:pPr>
              <w:spacing w:before="0" w:after="0" w:line="269" w:lineRule="auto"/>
              <w:jc w:val="center"/>
            </w:pPr>
            <w:r>
              <w:rPr>
                <w:rFonts w:ascii="Calibri" w:hAnsi="Calibri" w:eastAsia="Arial Unicode MS" w:cs="Arial Unicode MS"/>
                <w:b/>
                <w:color w:val="1F2933"/>
                <w:sz w:val="18"/>
              </w:rPr>
              <w:t>B/C｜高管访谈</w:t>
            </w:r>
          </w:p>
        </w:tc>
      </w:tr>
    </w:tbl>
    <w:p>
      <w:pPr>
        <w:keepLines/>
        <w:spacing w:before="120" w:after="0" w:line="288" w:lineRule="auto"/>
        <w:jc w:val="left"/>
      </w:pPr>
      <w:r>
        <w:rPr>
          <w:rFonts w:ascii="Calibri" w:hAnsi="Calibri" w:eastAsia="Arial Unicode MS" w:cs="Arial Unicode MS"/>
          <w:b w:val="0"/>
          <w:i/>
          <w:color w:val="64748B"/>
          <w:sz w:val="18"/>
        </w:rPr>
        <w:t>讲述衔接：在收入基础、客户复购和意向储备均已形成的基础上，下一部分明确如何通过本轮投资支持公司规模化。</w:t>
      </w:r>
    </w:p>
    <w:p>
      <w:r>
        <w:br w:type="page"/>
      </w:r>
    </w:p>
    <w:p>
      <w:pPr>
        <w:keepNext/>
        <w:spacing w:before="0" w:after="100" w:line="288" w:lineRule="auto"/>
        <w:jc w:val="left"/>
      </w:pPr>
      <w:r>
        <w:rPr>
          <w:rFonts w:ascii="Calibri" w:hAnsi="Calibri" w:eastAsia="Arial Unicode MS" w:cs="Arial Unicode MS"/>
          <w:b/>
          <w:i w:val="0"/>
          <w:color w:val="007F73"/>
          <w:sz w:val="19"/>
        </w:rPr>
        <w:t>第 21 页  |  投资方案</w:t>
      </w:r>
    </w:p>
    <w:p>
      <w:pPr>
        <w:pStyle w:val="Heading1"/>
        <w:keepNext/>
      </w:pPr>
      <w:r>
        <w:t>建议领投2,500万元，初始取得5.0%，全部采用增资且不安排老股退出</w:t>
      </w:r>
    </w:p>
    <w:p>
      <w:pPr>
        <w:spacing w:before="60" w:after="120" w:line="278" w:lineRule="auto"/>
        <w:ind w:left="173" w:right="173"/>
        <w:shd w:fill="E8F4F1"/>
      </w:pPr>
      <w:r>
        <w:rPr>
          <w:rFonts w:ascii="Calibri" w:hAnsi="Calibri" w:eastAsia="Arial Unicode MS" w:cs="Arial Unicode MS"/>
          <w:b/>
          <w:color w:val="007F73"/>
          <w:sz w:val="20"/>
        </w:rPr>
        <w:t xml:space="preserve">核心观点  </w:t>
      </w:r>
      <w:r>
        <w:rPr>
          <w:rFonts w:ascii="Calibri" w:hAnsi="Calibri" w:eastAsia="Arial Unicode MS" w:cs="Arial Unicode MS"/>
          <w:b/>
          <w:color w:val="183247"/>
          <w:sz w:val="20"/>
        </w:rPr>
        <w:t>交易结构优先保障公司获得发展资金，同时以董事席位和股东权利确保投资人参与重大决策。</w:t>
      </w:r>
    </w:p>
    <w:p>
      <w:pPr>
        <w:keepNext/>
        <w:spacing w:before="100" w:after="60"/>
      </w:pPr>
      <w:r>
        <w:rPr>
          <w:rFonts w:ascii="Calibri" w:hAnsi="Calibri" w:eastAsia="Arial Unicode MS" w:cs="Arial Unicode MS"/>
          <w:b/>
          <w:color w:val="007F73"/>
          <w:sz w:val="20"/>
        </w:rPr>
        <w:t>主要支撑信息</w:t>
      </w:r>
    </w:p>
    <w:p>
      <w:pPr>
        <w:pStyle w:val="ListBullet"/>
        <w:spacing w:before="0" w:after="70" w:line="271" w:lineRule="auto"/>
        <w:ind w:left="540" w:hanging="271"/>
      </w:pPr>
      <w:r>
        <w:rPr>
          <w:rFonts w:ascii="Calibri" w:hAnsi="Calibri" w:eastAsia="Arial Unicode MS" w:cs="Arial Unicode MS"/>
          <w:color w:val="1F2933"/>
          <w:sz w:val="19"/>
        </w:rPr>
        <w:t>本轮融资前估值4.5亿元、融资5,000万元、投后5亿元；我方领投2,500万元，其他投资方认购2,500万元。</w:t>
      </w:r>
    </w:p>
    <w:p>
      <w:pPr>
        <w:pStyle w:val="ListBullet"/>
        <w:spacing w:before="0" w:after="70" w:line="271" w:lineRule="auto"/>
        <w:ind w:left="540" w:hanging="271"/>
      </w:pPr>
      <w:r>
        <w:rPr>
          <w:rFonts w:ascii="Calibri" w:hAnsi="Calibri" w:eastAsia="Arial Unicode MS" w:cs="Arial Unicode MS"/>
          <w:color w:val="1F2933"/>
          <w:sz w:val="19"/>
        </w:rPr>
        <w:t>我方初始取得投后5.0%，本轮投资方合计10.0%，原股东合计90.0%。</w:t>
      </w:r>
    </w:p>
    <w:p>
      <w:pPr>
        <w:pStyle w:val="ListBullet"/>
        <w:spacing w:before="0" w:after="70" w:line="271" w:lineRule="auto"/>
        <w:ind w:left="540" w:hanging="271"/>
      </w:pPr>
      <w:r>
        <w:rPr>
          <w:rFonts w:ascii="Calibri" w:hAnsi="Calibri" w:eastAsia="Arial Unicode MS" w:cs="Arial Unicode MS"/>
          <w:color w:val="1F2933"/>
          <w:sz w:val="19"/>
        </w:rPr>
        <w:t>全部采用新增注册资本，不安排老股转让，避免资金流出公司。</w:t>
      </w:r>
    </w:p>
    <w:p>
      <w:pPr>
        <w:pStyle w:val="ListBullet"/>
        <w:spacing w:before="0" w:after="70" w:line="271" w:lineRule="auto"/>
        <w:ind w:left="540" w:hanging="271"/>
      </w:pPr>
      <w:r>
        <w:rPr>
          <w:rFonts w:ascii="Calibri" w:hAnsi="Calibri" w:eastAsia="Arial Unicode MS" w:cs="Arial Unicode MS"/>
          <w:color w:val="1F2933"/>
          <w:sz w:val="19"/>
        </w:rPr>
        <w:t>投资款分两期各1,250万元；首期满足交易文件、股权权益、知识产权等条件后支付，第二期与滨江搬迁完成绑定。</w:t>
      </w:r>
    </w:p>
    <w:p>
      <w:pPr>
        <w:pStyle w:val="ListBullet"/>
        <w:spacing w:before="0" w:after="70" w:line="271" w:lineRule="auto"/>
        <w:ind w:left="540" w:hanging="271"/>
      </w:pPr>
      <w:r>
        <w:rPr>
          <w:rFonts w:ascii="Calibri" w:hAnsi="Calibri" w:eastAsia="Arial Unicode MS" w:cs="Arial Unicode MS"/>
          <w:color w:val="1F2933"/>
          <w:sz w:val="19"/>
        </w:rPr>
        <w:t>董事会扩至5人，我方提名1席；重大事项须至少4票且包含我方董事赞成票。</w:t>
      </w:r>
    </w:p>
    <w:p>
      <w:pPr>
        <w:keepNext/>
        <w:spacing w:before="100" w:after="60"/>
      </w:pPr>
      <w:r>
        <w:rPr>
          <w:rFonts w:ascii="Calibri" w:hAnsi="Calibri" w:eastAsia="Arial Unicode MS" w:cs="Arial Unicode MS"/>
          <w:b/>
          <w:color w:val="007F73"/>
          <w:sz w:val="20"/>
        </w:rPr>
        <w:t>建议图表与版式</w:t>
      </w:r>
    </w:p>
    <w:p>
      <w:pPr>
        <w:pStyle w:val="ListBullet"/>
        <w:spacing w:before="0" w:after="60" w:line="271" w:lineRule="auto"/>
        <w:ind w:left="540" w:hanging="271"/>
      </w:pPr>
      <w:r>
        <w:rPr>
          <w:rFonts w:ascii="Calibri" w:hAnsi="Calibri" w:eastAsia="Arial Unicode MS" w:cs="Arial Unicode MS"/>
          <w:color w:val="183247"/>
          <w:sz w:val="19"/>
        </w:rPr>
        <w:t>左侧用投前—增资—投后股权桥，右侧用两期付款时间轴；底部放5人董事会结构。</w:t>
      </w:r>
    </w:p>
    <w:p>
      <w:pPr>
        <w:pStyle w:val="ListBullet"/>
        <w:spacing w:before="0" w:after="60" w:line="271" w:lineRule="auto"/>
        <w:ind w:left="540" w:hanging="271"/>
      </w:pPr>
      <w:r>
        <w:rPr>
          <w:rFonts w:ascii="Calibri" w:hAnsi="Calibri" w:eastAsia="Arial Unicode MS" w:cs="Arial Unicode MS"/>
          <w:color w:val="183247"/>
          <w:sz w:val="19"/>
        </w:rPr>
        <w:t>将“无老股退出”用资金流向箭头强调，突出投资款全部进入公司。</w:t>
      </w:r>
    </w:p>
    <w:p>
      <w:pPr>
        <w:keepNext/>
        <w:spacing w:before="100" w:after="60"/>
      </w:pPr>
      <w:r>
        <w:rPr>
          <w:rFonts w:ascii="Calibri" w:hAnsi="Calibri" w:eastAsia="Arial Unicode MS" w:cs="Arial Unicode MS"/>
          <w:b/>
          <w:color w:val="007F73"/>
          <w:sz w:val="20"/>
        </w:rPr>
        <w:t>关键证据与口径</w:t>
      </w:r>
    </w:p>
    <w:tbl>
      <w:tblPr>
        <w:tblStyle w:val="TableGrid"/>
        <w:tblW w:type="dxa" w:w="9360"/>
        <w:jc w:val="left"/>
        <w:tblLayout w:type="fixed"/>
        <w:tblLook w:firstColumn="1" w:firstRow="1" w:lastColumn="0" w:lastRow="0" w:noHBand="0" w:noVBand="1" w:val="04A0"/>
        <w:tblInd w:w="120" w:type="dxa"/>
      </w:tblPr>
      <w:tblGrid>
        <w:gridCol w:w="3150"/>
        <w:gridCol w:w="4380"/>
        <w:gridCol w:w="1830"/>
      </w:tblGrid>
      <w:tr>
        <w:trPr>
          <w:tblHeader w:val="true"/>
        </w:trPr>
        <w:tc>
          <w:tcPr>
            <w:tcW w:type="dxa" w:w="315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关键证据</w:t>
            </w:r>
          </w:p>
        </w:tc>
        <w:tc>
          <w:tcPr>
            <w:tcW w:type="dxa" w:w="438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建议呈现</w:t>
            </w:r>
          </w:p>
        </w:tc>
        <w:tc>
          <w:tcPr>
            <w:tcW w:type="dxa" w:w="183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来源等级</w:t>
            </w:r>
          </w:p>
        </w:tc>
      </w:tr>
      <w:tr>
        <w:tc>
          <w:tcPr>
            <w:tcW w:type="dxa" w:w="3150"/>
          </w:tcPr>
          <w:p>
            <w:pPr>
              <w:spacing w:before="0" w:after="0" w:line="269" w:lineRule="auto"/>
              <w:jc w:val="left"/>
            </w:pPr>
            <w:r>
              <w:rPr>
                <w:rFonts w:ascii="Calibri" w:hAnsi="Calibri" w:eastAsia="Arial Unicode MS" w:cs="Arial Unicode MS"/>
                <w:b w:val="0"/>
                <w:color w:val="1F2933"/>
                <w:sz w:val="17"/>
              </w:rPr>
              <w:t>投前4.5亿、融资5,000万、投后5亿</w:t>
            </w:r>
          </w:p>
        </w:tc>
        <w:tc>
          <w:tcPr>
            <w:tcW w:type="dxa" w:w="4380"/>
          </w:tcPr>
          <w:p>
            <w:pPr>
              <w:spacing w:before="0" w:after="0" w:line="269" w:lineRule="auto"/>
              <w:jc w:val="left"/>
            </w:pPr>
            <w:r>
              <w:rPr>
                <w:rFonts w:ascii="Calibri" w:hAnsi="Calibri" w:eastAsia="Arial Unicode MS" w:cs="Arial Unicode MS"/>
                <w:b w:val="0"/>
                <w:color w:val="1F2933"/>
                <w:sz w:val="17"/>
              </w:rPr>
              <w:t>估值与融资桥</w:t>
            </w:r>
          </w:p>
        </w:tc>
        <w:tc>
          <w:tcPr>
            <w:tcW w:type="dxa" w:w="1830"/>
          </w:tcPr>
          <w:p>
            <w:pPr>
              <w:spacing w:before="0" w:after="0" w:line="269" w:lineRule="auto"/>
              <w:jc w:val="center"/>
            </w:pPr>
            <w:r>
              <w:rPr>
                <w:rFonts w:ascii="Calibri" w:hAnsi="Calibri" w:eastAsia="Arial Unicode MS" w:cs="Arial Unicode MS"/>
                <w:b/>
                <w:color w:val="1F2933"/>
                <w:sz w:val="18"/>
              </w:rPr>
              <w:t>A｜投资文件</w:t>
            </w:r>
          </w:p>
        </w:tc>
      </w:tr>
      <w:tr>
        <w:tc>
          <w:tcPr>
            <w:tcW w:type="dxa" w:w="3150"/>
            <w:shd w:fill="F2F4F7"/>
          </w:tcPr>
          <w:p>
            <w:pPr>
              <w:spacing w:before="0" w:after="0" w:line="269" w:lineRule="auto"/>
              <w:jc w:val="left"/>
            </w:pPr>
            <w:r>
              <w:rPr>
                <w:rFonts w:ascii="Calibri" w:hAnsi="Calibri" w:eastAsia="Arial Unicode MS" w:cs="Arial Unicode MS"/>
                <w:b w:val="0"/>
                <w:color w:val="1F2933"/>
                <w:sz w:val="17"/>
              </w:rPr>
              <w:t>我方2,500万，初始5.0%</w:t>
            </w:r>
          </w:p>
        </w:tc>
        <w:tc>
          <w:tcPr>
            <w:tcW w:type="dxa" w:w="4380"/>
            <w:shd w:fill="F2F4F7"/>
          </w:tcPr>
          <w:p>
            <w:pPr>
              <w:spacing w:before="0" w:after="0" w:line="269" w:lineRule="auto"/>
              <w:jc w:val="left"/>
            </w:pPr>
            <w:r>
              <w:rPr>
                <w:rFonts w:ascii="Calibri" w:hAnsi="Calibri" w:eastAsia="Arial Unicode MS" w:cs="Arial Unicode MS"/>
                <w:b w:val="0"/>
                <w:color w:val="1F2933"/>
                <w:sz w:val="17"/>
              </w:rPr>
              <w:t>股权结果</w:t>
            </w:r>
          </w:p>
        </w:tc>
        <w:tc>
          <w:tcPr>
            <w:tcW w:type="dxa" w:w="1830"/>
            <w:shd w:fill="F2F4F7"/>
          </w:tcPr>
          <w:p>
            <w:pPr>
              <w:spacing w:before="0" w:after="0" w:line="269" w:lineRule="auto"/>
              <w:jc w:val="center"/>
            </w:pPr>
            <w:r>
              <w:rPr>
                <w:rFonts w:ascii="Calibri" w:hAnsi="Calibri" w:eastAsia="Arial Unicode MS" w:cs="Arial Unicode MS"/>
                <w:b/>
                <w:color w:val="1F2933"/>
                <w:sz w:val="18"/>
              </w:rPr>
              <w:t>A｜投资文件</w:t>
            </w:r>
          </w:p>
        </w:tc>
      </w:tr>
      <w:tr>
        <w:tc>
          <w:tcPr>
            <w:tcW w:type="dxa" w:w="3150"/>
          </w:tcPr>
          <w:p>
            <w:pPr>
              <w:spacing w:before="0" w:after="0" w:line="269" w:lineRule="auto"/>
              <w:jc w:val="left"/>
            </w:pPr>
            <w:r>
              <w:rPr>
                <w:rFonts w:ascii="Calibri" w:hAnsi="Calibri" w:eastAsia="Arial Unicode MS" w:cs="Arial Unicode MS"/>
                <w:b w:val="0"/>
                <w:color w:val="1F2933"/>
                <w:sz w:val="17"/>
              </w:rPr>
              <w:t>两期各1,250万；5人董事会1席</w:t>
            </w:r>
          </w:p>
        </w:tc>
        <w:tc>
          <w:tcPr>
            <w:tcW w:type="dxa" w:w="4380"/>
          </w:tcPr>
          <w:p>
            <w:pPr>
              <w:spacing w:before="0" w:after="0" w:line="269" w:lineRule="auto"/>
              <w:jc w:val="left"/>
            </w:pPr>
            <w:r>
              <w:rPr>
                <w:rFonts w:ascii="Calibri" w:hAnsi="Calibri" w:eastAsia="Arial Unicode MS" w:cs="Arial Unicode MS"/>
                <w:b w:val="0"/>
                <w:color w:val="1F2933"/>
                <w:sz w:val="17"/>
              </w:rPr>
              <w:t>付款与治理</w:t>
            </w:r>
          </w:p>
        </w:tc>
        <w:tc>
          <w:tcPr>
            <w:tcW w:type="dxa" w:w="1830"/>
          </w:tcPr>
          <w:p>
            <w:pPr>
              <w:spacing w:before="0" w:after="0" w:line="269" w:lineRule="auto"/>
              <w:jc w:val="center"/>
            </w:pPr>
            <w:r>
              <w:rPr>
                <w:rFonts w:ascii="Calibri" w:hAnsi="Calibri" w:eastAsia="Arial Unicode MS" w:cs="Arial Unicode MS"/>
                <w:b/>
                <w:color w:val="1F2933"/>
                <w:sz w:val="18"/>
              </w:rPr>
              <w:t>A｜投资文件</w:t>
            </w:r>
          </w:p>
        </w:tc>
      </w:tr>
    </w:tbl>
    <w:p>
      <w:pPr>
        <w:keepLines/>
        <w:spacing w:before="120" w:after="0" w:line="288" w:lineRule="auto"/>
        <w:jc w:val="left"/>
      </w:pPr>
      <w:r>
        <w:rPr>
          <w:rFonts w:ascii="Calibri" w:hAnsi="Calibri" w:eastAsia="Arial Unicode MS" w:cs="Arial Unicode MS"/>
          <w:b w:val="0"/>
          <w:i/>
          <w:color w:val="64748B"/>
          <w:sz w:val="18"/>
        </w:rPr>
        <w:t>讲述衔接：初始估值只是交易入口，真正的风险控制来自收入挂钩调整、搬迁条件和投后里程碑。</w:t>
      </w:r>
    </w:p>
    <w:p>
      <w:r>
        <w:br w:type="page"/>
      </w:r>
    </w:p>
    <w:p>
      <w:pPr>
        <w:keepNext/>
        <w:spacing w:before="0" w:after="100" w:line="288" w:lineRule="auto"/>
        <w:jc w:val="left"/>
      </w:pPr>
      <w:r>
        <w:rPr>
          <w:rFonts w:ascii="Calibri" w:hAnsi="Calibri" w:eastAsia="Arial Unicode MS" w:cs="Arial Unicode MS"/>
          <w:b/>
          <w:i w:val="0"/>
          <w:color w:val="007F73"/>
          <w:sz w:val="19"/>
        </w:rPr>
        <w:t>第 22 页  |  投资方案</w:t>
      </w:r>
    </w:p>
    <w:p>
      <w:pPr>
        <w:pStyle w:val="Heading1"/>
        <w:keepNext/>
      </w:pPr>
      <w:r>
        <w:t>以2026年收入锚定估值，并用分期付款、滨江落地和治理安排形成长期利益一致</w:t>
      </w:r>
    </w:p>
    <w:p>
      <w:pPr>
        <w:spacing w:before="60" w:after="120" w:line="278" w:lineRule="auto"/>
        <w:ind w:left="173" w:right="173"/>
        <w:shd w:fill="E8F4F1"/>
      </w:pPr>
      <w:r>
        <w:rPr>
          <w:rFonts w:ascii="Calibri" w:hAnsi="Calibri" w:eastAsia="Arial Unicode MS" w:cs="Arial Unicode MS"/>
          <w:b/>
          <w:color w:val="007F73"/>
          <w:sz w:val="20"/>
        </w:rPr>
        <w:t xml:space="preserve">核心观点  </w:t>
      </w:r>
      <w:r>
        <w:rPr>
          <w:rFonts w:ascii="Calibri" w:hAnsi="Calibri" w:eastAsia="Arial Unicode MS" w:cs="Arial Unicode MS"/>
          <w:b/>
          <w:color w:val="183247"/>
          <w:sz w:val="20"/>
        </w:rPr>
        <w:t>投资方案通过“收入×10倍、3-5亿元区间”的估值调整，让公司估值随经营成果兑现；分期付款与滨江落地同时为触觉硬件量产和数据平台扩张配置资源。</w:t>
      </w:r>
    </w:p>
    <w:p>
      <w:pPr>
        <w:keepNext/>
        <w:spacing w:before="100" w:after="60"/>
      </w:pPr>
      <w:r>
        <w:rPr>
          <w:rFonts w:ascii="Calibri" w:hAnsi="Calibri" w:eastAsia="Arial Unicode MS" w:cs="Arial Unicode MS"/>
          <w:b/>
          <w:color w:val="007F73"/>
          <w:sz w:val="20"/>
        </w:rPr>
        <w:t>主要支撑信息</w:t>
      </w:r>
    </w:p>
    <w:p>
      <w:pPr>
        <w:pStyle w:val="ListBullet"/>
        <w:spacing w:before="0" w:after="70" w:line="271" w:lineRule="auto"/>
        <w:ind w:left="540" w:hanging="271"/>
      </w:pPr>
      <w:r>
        <w:rPr>
          <w:rFonts w:ascii="Calibri" w:hAnsi="Calibri" w:eastAsia="Arial Unicode MS" w:cs="Arial Unicode MS"/>
          <w:color w:val="1F2933"/>
          <w:sz w:val="19"/>
        </w:rPr>
        <w:t>2026年收入≤3,000万元：调整后投后估值3亿元，我方持股8.3333%。</w:t>
      </w:r>
    </w:p>
    <w:p>
      <w:pPr>
        <w:pStyle w:val="ListBullet"/>
        <w:spacing w:before="0" w:after="70" w:line="271" w:lineRule="auto"/>
        <w:ind w:left="540" w:hanging="271"/>
      </w:pPr>
      <w:r>
        <w:rPr>
          <w:rFonts w:ascii="Calibri" w:hAnsi="Calibri" w:eastAsia="Arial Unicode MS" w:cs="Arial Unicode MS"/>
          <w:color w:val="1F2933"/>
          <w:sz w:val="19"/>
        </w:rPr>
        <w:t>2026年收入4,000万元：调整后投后估值4亿元，我方持股6.2500%。</w:t>
      </w:r>
    </w:p>
    <w:p>
      <w:pPr>
        <w:pStyle w:val="ListBullet"/>
        <w:spacing w:before="0" w:after="70" w:line="271" w:lineRule="auto"/>
        <w:ind w:left="540" w:hanging="271"/>
      </w:pPr>
      <w:r>
        <w:rPr>
          <w:rFonts w:ascii="Calibri" w:hAnsi="Calibri" w:eastAsia="Arial Unicode MS" w:cs="Arial Unicode MS"/>
          <w:color w:val="1F2933"/>
          <w:sz w:val="19"/>
        </w:rPr>
        <w:t>2026年收入≥5,000万元：维持5亿元投后估值，我方持股5.0000%；中间区间线性计算。</w:t>
      </w:r>
    </w:p>
    <w:p>
      <w:pPr>
        <w:pStyle w:val="ListBullet"/>
        <w:spacing w:before="0" w:after="70" w:line="271" w:lineRule="auto"/>
        <w:ind w:left="540" w:hanging="271"/>
      </w:pPr>
      <w:r>
        <w:rPr>
          <w:rFonts w:ascii="Calibri" w:hAnsi="Calibri" w:eastAsia="Arial Unicode MS" w:cs="Arial Unicode MS"/>
          <w:color w:val="1F2933"/>
          <w:sz w:val="19"/>
        </w:rPr>
        <w:t>公司需在首期款到账后90日内完成杭州滨江主体、总部和主要研发经营场所搬迁，完成后支付第二期。</w:t>
      </w:r>
    </w:p>
    <w:p>
      <w:pPr>
        <w:pStyle w:val="ListBullet"/>
        <w:spacing w:before="0" w:after="70" w:line="271" w:lineRule="auto"/>
        <w:ind w:left="540" w:hanging="271"/>
      </w:pPr>
      <w:r>
        <w:rPr>
          <w:rFonts w:ascii="Calibri" w:hAnsi="Calibri" w:eastAsia="Arial Unicode MS" w:cs="Arial Unicode MS"/>
          <w:color w:val="1F2933"/>
          <w:sz w:val="19"/>
        </w:rPr>
        <w:t>投后重点看四个里程碑：手套量产良率≥95%、2026收入质量、训练场头部客户交付、标准产品/复售收入占比提升。</w:t>
      </w:r>
    </w:p>
    <w:p>
      <w:pPr>
        <w:pStyle w:val="ListBullet"/>
        <w:spacing w:before="0" w:after="70" w:line="271" w:lineRule="auto"/>
        <w:ind w:left="540" w:hanging="271"/>
      </w:pPr>
      <w:r>
        <w:rPr>
          <w:rFonts w:ascii="Calibri" w:hAnsi="Calibri" w:eastAsia="Arial Unicode MS" w:cs="Arial Unicode MS"/>
          <w:color w:val="1F2933"/>
          <w:sz w:val="19"/>
        </w:rPr>
        <w:t>滨江落地具备产业协同：杭州2026-2027行动方案明确建设滨江具身智能产业集群，并补助高质量数据采购与训练场建设。</w:t>
      </w:r>
    </w:p>
    <w:p>
      <w:pPr>
        <w:keepNext/>
        <w:spacing w:before="100" w:after="60"/>
      </w:pPr>
      <w:r>
        <w:rPr>
          <w:rFonts w:ascii="Calibri" w:hAnsi="Calibri" w:eastAsia="Arial Unicode MS" w:cs="Arial Unicode MS"/>
          <w:b/>
          <w:color w:val="007F73"/>
          <w:sz w:val="20"/>
        </w:rPr>
        <w:t>建议图表与版式</w:t>
      </w:r>
    </w:p>
    <w:p>
      <w:pPr>
        <w:pStyle w:val="ListBullet"/>
        <w:spacing w:before="0" w:after="60" w:line="271" w:lineRule="auto"/>
        <w:ind w:left="540" w:hanging="271"/>
      </w:pPr>
      <w:r>
        <w:rPr>
          <w:rFonts w:ascii="Calibri" w:hAnsi="Calibri" w:eastAsia="Arial Unicode MS" w:cs="Arial Unicode MS"/>
          <w:color w:val="183247"/>
          <w:sz w:val="19"/>
        </w:rPr>
        <w:t>上半页用三档估值—持股阶梯；下半页用“付款—搬迁—经营里程碑—董事会”四项利益一致安排。</w:t>
      </w:r>
    </w:p>
    <w:p>
      <w:pPr>
        <w:pStyle w:val="ListBullet"/>
        <w:spacing w:before="0" w:after="60" w:line="271" w:lineRule="auto"/>
        <w:ind w:left="540" w:hanging="271"/>
      </w:pPr>
      <w:r>
        <w:rPr>
          <w:rFonts w:ascii="Calibri" w:hAnsi="Calibri" w:eastAsia="Arial Unicode MS" w:cs="Arial Unicode MS"/>
          <w:color w:val="183247"/>
          <w:sz w:val="19"/>
        </w:rPr>
        <w:t>右下放滨江产业生态小地图，说明搬迁不是行政条件，而是客户、人才与政策协同。</w:t>
      </w:r>
    </w:p>
    <w:p>
      <w:pPr>
        <w:keepNext/>
        <w:spacing w:before="100" w:after="60"/>
      </w:pPr>
      <w:r>
        <w:rPr>
          <w:rFonts w:ascii="Calibri" w:hAnsi="Calibri" w:eastAsia="Arial Unicode MS" w:cs="Arial Unicode MS"/>
          <w:b/>
          <w:color w:val="007F73"/>
          <w:sz w:val="20"/>
        </w:rPr>
        <w:t>关键证据与口径</w:t>
      </w:r>
    </w:p>
    <w:tbl>
      <w:tblPr>
        <w:tblStyle w:val="TableGrid"/>
        <w:tblW w:type="dxa" w:w="9360"/>
        <w:jc w:val="left"/>
        <w:tblLayout w:type="fixed"/>
        <w:tblLook w:firstColumn="1" w:firstRow="1" w:lastColumn="0" w:lastRow="0" w:noHBand="0" w:noVBand="1" w:val="04A0"/>
        <w:tblInd w:w="120" w:type="dxa"/>
      </w:tblPr>
      <w:tblGrid>
        <w:gridCol w:w="3150"/>
        <w:gridCol w:w="4380"/>
        <w:gridCol w:w="1830"/>
      </w:tblGrid>
      <w:tr>
        <w:trPr>
          <w:tblHeader w:val="true"/>
        </w:trPr>
        <w:tc>
          <w:tcPr>
            <w:tcW w:type="dxa" w:w="315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关键证据</w:t>
            </w:r>
          </w:p>
        </w:tc>
        <w:tc>
          <w:tcPr>
            <w:tcW w:type="dxa" w:w="438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建议呈现</w:t>
            </w:r>
          </w:p>
        </w:tc>
        <w:tc>
          <w:tcPr>
            <w:tcW w:type="dxa" w:w="183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来源等级</w:t>
            </w:r>
          </w:p>
        </w:tc>
      </w:tr>
      <w:tr>
        <w:tc>
          <w:tcPr>
            <w:tcW w:type="dxa" w:w="3150"/>
          </w:tcPr>
          <w:p>
            <w:pPr>
              <w:spacing w:before="0" w:after="0" w:line="269" w:lineRule="auto"/>
              <w:jc w:val="left"/>
            </w:pPr>
            <w:r>
              <w:rPr>
                <w:rFonts w:ascii="Calibri" w:hAnsi="Calibri" w:eastAsia="Arial Unicode MS" w:cs="Arial Unicode MS"/>
                <w:b w:val="0"/>
                <w:color w:val="1F2933"/>
                <w:sz w:val="17"/>
              </w:rPr>
              <w:t>3亿/4亿/5亿对应8.3333%/6.25%/5%</w:t>
            </w:r>
          </w:p>
        </w:tc>
        <w:tc>
          <w:tcPr>
            <w:tcW w:type="dxa" w:w="4380"/>
          </w:tcPr>
          <w:p>
            <w:pPr>
              <w:spacing w:before="0" w:after="0" w:line="269" w:lineRule="auto"/>
              <w:jc w:val="left"/>
            </w:pPr>
            <w:r>
              <w:rPr>
                <w:rFonts w:ascii="Calibri" w:hAnsi="Calibri" w:eastAsia="Arial Unicode MS" w:cs="Arial Unicode MS"/>
                <w:b w:val="0"/>
                <w:color w:val="1F2933"/>
                <w:sz w:val="17"/>
              </w:rPr>
              <w:t>估值调整阶梯</w:t>
            </w:r>
          </w:p>
        </w:tc>
        <w:tc>
          <w:tcPr>
            <w:tcW w:type="dxa" w:w="1830"/>
          </w:tcPr>
          <w:p>
            <w:pPr>
              <w:spacing w:before="0" w:after="0" w:line="269" w:lineRule="auto"/>
              <w:jc w:val="center"/>
            </w:pPr>
            <w:r>
              <w:rPr>
                <w:rFonts w:ascii="Calibri" w:hAnsi="Calibri" w:eastAsia="Arial Unicode MS" w:cs="Arial Unicode MS"/>
                <w:b/>
                <w:color w:val="1F2933"/>
                <w:sz w:val="18"/>
              </w:rPr>
              <w:t>A｜投资文件</w:t>
            </w:r>
          </w:p>
        </w:tc>
      </w:tr>
      <w:tr>
        <w:tc>
          <w:tcPr>
            <w:tcW w:type="dxa" w:w="3150"/>
            <w:shd w:fill="F2F4F7"/>
          </w:tcPr>
          <w:p>
            <w:pPr>
              <w:spacing w:before="0" w:after="0" w:line="269" w:lineRule="auto"/>
              <w:jc w:val="left"/>
            </w:pPr>
            <w:r>
              <w:rPr>
                <w:rFonts w:ascii="Calibri" w:hAnsi="Calibri" w:eastAsia="Arial Unicode MS" w:cs="Arial Unicode MS"/>
                <w:b w:val="0"/>
                <w:color w:val="1F2933"/>
                <w:sz w:val="17"/>
              </w:rPr>
              <w:t>90日完成滨江搬迁后支付第二期</w:t>
            </w:r>
          </w:p>
        </w:tc>
        <w:tc>
          <w:tcPr>
            <w:tcW w:type="dxa" w:w="4380"/>
            <w:shd w:fill="F2F4F7"/>
          </w:tcPr>
          <w:p>
            <w:pPr>
              <w:spacing w:before="0" w:after="0" w:line="269" w:lineRule="auto"/>
              <w:jc w:val="left"/>
            </w:pPr>
            <w:r>
              <w:rPr>
                <w:rFonts w:ascii="Calibri" w:hAnsi="Calibri" w:eastAsia="Arial Unicode MS" w:cs="Arial Unicode MS"/>
                <w:b w:val="0"/>
                <w:color w:val="1F2933"/>
                <w:sz w:val="17"/>
              </w:rPr>
              <w:t>付款条件</w:t>
            </w:r>
          </w:p>
        </w:tc>
        <w:tc>
          <w:tcPr>
            <w:tcW w:type="dxa" w:w="1830"/>
            <w:shd w:fill="F2F4F7"/>
          </w:tcPr>
          <w:p>
            <w:pPr>
              <w:spacing w:before="0" w:after="0" w:line="269" w:lineRule="auto"/>
              <w:jc w:val="center"/>
            </w:pPr>
            <w:r>
              <w:rPr>
                <w:rFonts w:ascii="Calibri" w:hAnsi="Calibri" w:eastAsia="Arial Unicode MS" w:cs="Arial Unicode MS"/>
                <w:b/>
                <w:color w:val="1F2933"/>
                <w:sz w:val="18"/>
              </w:rPr>
              <w:t>A｜投资文件</w:t>
            </w:r>
          </w:p>
        </w:tc>
      </w:tr>
      <w:tr>
        <w:tc>
          <w:tcPr>
            <w:tcW w:type="dxa" w:w="3150"/>
          </w:tcPr>
          <w:p>
            <w:pPr>
              <w:spacing w:before="0" w:after="0" w:line="269" w:lineRule="auto"/>
              <w:jc w:val="left"/>
            </w:pPr>
            <w:r>
              <w:rPr>
                <w:rFonts w:ascii="Calibri" w:hAnsi="Calibri" w:eastAsia="Arial Unicode MS" w:cs="Arial Unicode MS"/>
                <w:b w:val="0"/>
                <w:color w:val="1F2933"/>
                <w:sz w:val="17"/>
              </w:rPr>
              <w:t>滨江国家级特色产业集群、数据采购补助</w:t>
            </w:r>
          </w:p>
        </w:tc>
        <w:tc>
          <w:tcPr>
            <w:tcW w:type="dxa" w:w="4380"/>
          </w:tcPr>
          <w:p>
            <w:pPr>
              <w:spacing w:before="0" w:after="0" w:line="269" w:lineRule="auto"/>
              <w:jc w:val="left"/>
            </w:pPr>
            <w:r>
              <w:rPr>
                <w:rFonts w:ascii="Calibri" w:hAnsi="Calibri" w:eastAsia="Arial Unicode MS" w:cs="Arial Unicode MS"/>
                <w:b w:val="0"/>
                <w:color w:val="1F2933"/>
                <w:sz w:val="17"/>
              </w:rPr>
              <w:t>落地协同</w:t>
            </w:r>
          </w:p>
        </w:tc>
        <w:tc>
          <w:tcPr>
            <w:tcW w:type="dxa" w:w="1830"/>
          </w:tcPr>
          <w:p>
            <w:pPr>
              <w:spacing w:before="0" w:after="0" w:line="269" w:lineRule="auto"/>
              <w:jc w:val="center"/>
            </w:pPr>
            <w:r>
              <w:rPr>
                <w:rFonts w:ascii="Calibri" w:hAnsi="Calibri" w:eastAsia="Arial Unicode MS" w:cs="Arial Unicode MS"/>
                <w:b/>
                <w:color w:val="1F2933"/>
                <w:sz w:val="18"/>
              </w:rPr>
              <w:t>A｜杭州政策</w:t>
            </w:r>
          </w:p>
        </w:tc>
      </w:tr>
    </w:tbl>
    <w:p>
      <w:pPr>
        <w:keepLines/>
        <w:spacing w:before="120" w:after="0" w:line="288" w:lineRule="auto"/>
        <w:jc w:val="left"/>
      </w:pPr>
      <w:r>
        <w:rPr>
          <w:rFonts w:ascii="Calibri" w:hAnsi="Calibri" w:eastAsia="Arial Unicode MS" w:cs="Arial Unicode MS"/>
          <w:b w:val="0"/>
          <w:i/>
          <w:color w:val="64748B"/>
          <w:sz w:val="18"/>
        </w:rPr>
        <w:t>讲述衔接：最后一页将团队、触觉、数据三项优势收束为明确的投后里程碑与最终建议。</w:t>
      </w:r>
    </w:p>
    <w:p>
      <w:r>
        <w:br w:type="page"/>
      </w:r>
    </w:p>
    <w:p>
      <w:pPr>
        <w:keepNext/>
        <w:spacing w:before="0" w:after="100" w:line="288" w:lineRule="auto"/>
        <w:jc w:val="left"/>
      </w:pPr>
      <w:r>
        <w:rPr>
          <w:rFonts w:ascii="Calibri" w:hAnsi="Calibri" w:eastAsia="Arial Unicode MS" w:cs="Arial Unicode MS"/>
          <w:b/>
          <w:i w:val="0"/>
          <w:color w:val="007F73"/>
          <w:sz w:val="19"/>
        </w:rPr>
        <w:t>第 23 页  |  风险与决策</w:t>
      </w:r>
    </w:p>
    <w:p>
      <w:pPr>
        <w:pStyle w:val="Heading1"/>
        <w:keepNext/>
      </w:pPr>
      <w:r>
        <w:t>最终建议：把握大衍在触觉、数据与团队上的稀缺窗口，以里程碑治理支持公司加速放量</w:t>
      </w:r>
    </w:p>
    <w:p>
      <w:pPr>
        <w:spacing w:before="60" w:after="120" w:line="278" w:lineRule="auto"/>
        <w:ind w:left="173" w:right="173"/>
        <w:shd w:fill="E8F4F1"/>
      </w:pPr>
      <w:r>
        <w:rPr>
          <w:rFonts w:ascii="Calibri" w:hAnsi="Calibri" w:eastAsia="Arial Unicode MS" w:cs="Arial Unicode MS"/>
          <w:b/>
          <w:color w:val="007F73"/>
          <w:sz w:val="20"/>
        </w:rPr>
        <w:t xml:space="preserve">核心观点  </w:t>
      </w:r>
      <w:r>
        <w:rPr>
          <w:rFonts w:ascii="Calibri" w:hAnsi="Calibri" w:eastAsia="Arial Unicode MS" w:cs="Arial Unicode MS"/>
          <w:b/>
          <w:color w:val="183247"/>
          <w:sz w:val="20"/>
        </w:rPr>
        <w:t>大衍已经具备权威触觉技术源头、全链路数据能力、客户复购和首年盈利基础；本轮投资的核心是推动这些优势从项目验证走向硬件量产、数据规模化和平台复售。</w:t>
      </w:r>
    </w:p>
    <w:p>
      <w:pPr>
        <w:keepNext/>
        <w:spacing w:before="100" w:after="60"/>
      </w:pPr>
      <w:r>
        <w:rPr>
          <w:rFonts w:ascii="Calibri" w:hAnsi="Calibri" w:eastAsia="Arial Unicode MS" w:cs="Arial Unicode MS"/>
          <w:b/>
          <w:color w:val="007F73"/>
          <w:sz w:val="20"/>
        </w:rPr>
        <w:t>主要支撑信息</w:t>
      </w:r>
    </w:p>
    <w:p>
      <w:pPr>
        <w:pStyle w:val="ListBullet"/>
        <w:spacing w:before="0" w:after="70" w:line="271" w:lineRule="auto"/>
        <w:ind w:left="540" w:hanging="271"/>
      </w:pPr>
      <w:r>
        <w:rPr>
          <w:rFonts w:ascii="Calibri" w:hAnsi="Calibri" w:eastAsia="Arial Unicode MS" w:cs="Arial Unicode MS"/>
          <w:color w:val="1F2933"/>
          <w:sz w:val="19"/>
        </w:rPr>
        <w:t>量产里程碑：推动触觉手套良率由当前80%以上提升至95%，承接近500套意向在手订单并形成规模交付。</w:t>
      </w:r>
    </w:p>
    <w:p>
      <w:pPr>
        <w:pStyle w:val="ListBullet"/>
        <w:spacing w:before="0" w:after="70" w:line="271" w:lineRule="auto"/>
        <w:ind w:left="540" w:hanging="271"/>
      </w:pPr>
      <w:r>
        <w:rPr>
          <w:rFonts w:ascii="Calibri" w:hAnsi="Calibri" w:eastAsia="Arial Unicode MS" w:cs="Arial Unicode MS"/>
          <w:color w:val="1F2933"/>
          <w:sz w:val="19"/>
        </w:rPr>
        <w:t>数据里程碑：扩大真实异构与触觉数据产能，提升自动化加工比例、标准数据包收入和跨客户资产复用。</w:t>
      </w:r>
    </w:p>
    <w:p>
      <w:pPr>
        <w:pStyle w:val="ListBullet"/>
        <w:spacing w:before="0" w:after="70" w:line="271" w:lineRule="auto"/>
        <w:ind w:left="540" w:hanging="271"/>
      </w:pPr>
      <w:r>
        <w:rPr>
          <w:rFonts w:ascii="Calibri" w:hAnsi="Calibri" w:eastAsia="Arial Unicode MS" w:cs="Arial Unicode MS"/>
          <w:color w:val="1F2933"/>
          <w:sz w:val="19"/>
        </w:rPr>
        <w:t>平台里程碑：以普罗宇宙、行之途等客户为标杆，将触觉验证、失败场景复现和训练场能力沉淀为标准产品。</w:t>
      </w:r>
    </w:p>
    <w:p>
      <w:pPr>
        <w:pStyle w:val="ListBullet"/>
        <w:spacing w:before="0" w:after="70" w:line="271" w:lineRule="auto"/>
        <w:ind w:left="540" w:hanging="271"/>
      </w:pPr>
      <w:r>
        <w:rPr>
          <w:rFonts w:ascii="Calibri" w:hAnsi="Calibri" w:eastAsia="Arial Unicode MS" w:cs="Arial Unicode MS"/>
          <w:color w:val="1F2933"/>
          <w:sz w:val="19"/>
        </w:rPr>
        <w:t>团队与知识产权：通过院士股权绑定、学生全职转化、专利授权和成果归属安排，持续巩固全球触觉人才与技术来源。</w:t>
      </w:r>
    </w:p>
    <w:p>
      <w:pPr>
        <w:pStyle w:val="ListBullet"/>
        <w:spacing w:before="0" w:after="70" w:line="271" w:lineRule="auto"/>
        <w:ind w:left="540" w:hanging="271"/>
      </w:pPr>
      <w:r>
        <w:rPr>
          <w:rFonts w:ascii="Calibri" w:hAnsi="Calibri" w:eastAsia="Arial Unicode MS" w:cs="Arial Unicode MS"/>
          <w:color w:val="1F2933"/>
          <w:sz w:val="19"/>
        </w:rPr>
        <w:t>投资协同：利用滨江具身智能产业集群，在客户、人才、高质量数据采购和训练场建设方面提供产业资源。</w:t>
      </w:r>
    </w:p>
    <w:p>
      <w:pPr>
        <w:pStyle w:val="ListBullet"/>
        <w:spacing w:before="0" w:after="70" w:line="271" w:lineRule="auto"/>
        <w:ind w:left="540" w:hanging="271"/>
      </w:pPr>
      <w:r>
        <w:rPr>
          <w:rFonts w:ascii="Calibri" w:hAnsi="Calibri" w:eastAsia="Arial Unicode MS" w:cs="Arial Unicode MS"/>
          <w:color w:val="1F2933"/>
          <w:sz w:val="19"/>
        </w:rPr>
        <w:t>决策结论：在2,500万元总额、两期付款、无老股、5人董事会1席和估值调整机制均落实的前提下，建议推进投资。</w:t>
      </w:r>
    </w:p>
    <w:p>
      <w:pPr>
        <w:keepNext/>
        <w:spacing w:before="100" w:after="60"/>
      </w:pPr>
      <w:r>
        <w:rPr>
          <w:rFonts w:ascii="Calibri" w:hAnsi="Calibri" w:eastAsia="Arial Unicode MS" w:cs="Arial Unicode MS"/>
          <w:b/>
          <w:color w:val="007F73"/>
          <w:sz w:val="20"/>
        </w:rPr>
        <w:t>建议图表与版式</w:t>
      </w:r>
    </w:p>
    <w:p>
      <w:pPr>
        <w:pStyle w:val="ListBullet"/>
        <w:spacing w:before="0" w:after="60" w:line="271" w:lineRule="auto"/>
        <w:ind w:left="540" w:hanging="271"/>
      </w:pPr>
      <w:r>
        <w:rPr>
          <w:rFonts w:ascii="Calibri" w:hAnsi="Calibri" w:eastAsia="Arial Unicode MS" w:cs="Arial Unicode MS"/>
          <w:color w:val="183247"/>
          <w:sz w:val="19"/>
        </w:rPr>
        <w:t>采用三条里程碑跑道：触觉硬件量产、海量数据供给、平台产品复售；每条标2026年目标和投资人可提供的资源。</w:t>
      </w:r>
    </w:p>
    <w:p>
      <w:pPr>
        <w:pStyle w:val="ListBullet"/>
        <w:spacing w:before="0" w:after="60" w:line="271" w:lineRule="auto"/>
        <w:ind w:left="540" w:hanging="271"/>
      </w:pPr>
      <w:r>
        <w:rPr>
          <w:rFonts w:ascii="Calibri" w:hAnsi="Calibri" w:eastAsia="Arial Unicode MS" w:cs="Arial Unicode MS"/>
          <w:color w:val="183247"/>
          <w:sz w:val="19"/>
        </w:rPr>
        <w:t>页面底部用绿色结论条收束：“建议推进投资；核心是买入全球触觉技术源头与数据基础设施平台化能力。”</w:t>
      </w:r>
    </w:p>
    <w:p>
      <w:pPr>
        <w:keepNext/>
        <w:spacing w:before="100" w:after="60"/>
      </w:pPr>
      <w:r>
        <w:rPr>
          <w:rFonts w:ascii="Calibri" w:hAnsi="Calibri" w:eastAsia="Arial Unicode MS" w:cs="Arial Unicode MS"/>
          <w:b/>
          <w:color w:val="007F73"/>
          <w:sz w:val="20"/>
        </w:rPr>
        <w:t>关键证据与口径</w:t>
      </w:r>
    </w:p>
    <w:tbl>
      <w:tblPr>
        <w:tblStyle w:val="TableGrid"/>
        <w:tblW w:type="dxa" w:w="9360"/>
        <w:jc w:val="left"/>
        <w:tblLayout w:type="fixed"/>
        <w:tblLook w:firstColumn="1" w:firstRow="1" w:lastColumn="0" w:lastRow="0" w:noHBand="0" w:noVBand="1" w:val="04A0"/>
        <w:tblInd w:w="120" w:type="dxa"/>
      </w:tblPr>
      <w:tblGrid>
        <w:gridCol w:w="3150"/>
        <w:gridCol w:w="4380"/>
        <w:gridCol w:w="1830"/>
      </w:tblGrid>
      <w:tr>
        <w:trPr>
          <w:tblHeader w:val="true"/>
        </w:trPr>
        <w:tc>
          <w:tcPr>
            <w:tcW w:type="dxa" w:w="315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关键证据</w:t>
            </w:r>
          </w:p>
        </w:tc>
        <w:tc>
          <w:tcPr>
            <w:tcW w:type="dxa" w:w="438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建议呈现</w:t>
            </w:r>
          </w:p>
        </w:tc>
        <w:tc>
          <w:tcPr>
            <w:tcW w:type="dxa" w:w="183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8"/>
              </w:rPr>
              <w:t>来源等级</w:t>
            </w:r>
          </w:p>
        </w:tc>
      </w:tr>
      <w:tr>
        <w:tc>
          <w:tcPr>
            <w:tcW w:type="dxa" w:w="3150"/>
          </w:tcPr>
          <w:p>
            <w:pPr>
              <w:spacing w:before="0" w:after="0" w:line="269" w:lineRule="auto"/>
              <w:jc w:val="left"/>
            </w:pPr>
            <w:r>
              <w:rPr>
                <w:rFonts w:ascii="Calibri" w:hAnsi="Calibri" w:eastAsia="Arial Unicode MS" w:cs="Arial Unicode MS"/>
                <w:b w:val="0"/>
                <w:color w:val="1F2933"/>
                <w:sz w:val="17"/>
              </w:rPr>
              <w:t>近500套触觉手套意向、良率目标95%</w:t>
            </w:r>
          </w:p>
        </w:tc>
        <w:tc>
          <w:tcPr>
            <w:tcW w:type="dxa" w:w="4380"/>
          </w:tcPr>
          <w:p>
            <w:pPr>
              <w:spacing w:before="0" w:after="0" w:line="269" w:lineRule="auto"/>
              <w:jc w:val="left"/>
            </w:pPr>
            <w:r>
              <w:rPr>
                <w:rFonts w:ascii="Calibri" w:hAnsi="Calibri" w:eastAsia="Arial Unicode MS" w:cs="Arial Unicode MS"/>
                <w:b w:val="0"/>
                <w:color w:val="1F2933"/>
                <w:sz w:val="17"/>
              </w:rPr>
              <w:t>量产里程碑</w:t>
            </w:r>
          </w:p>
        </w:tc>
        <w:tc>
          <w:tcPr>
            <w:tcW w:type="dxa" w:w="1830"/>
          </w:tcPr>
          <w:p>
            <w:pPr>
              <w:spacing w:before="0" w:after="0" w:line="269" w:lineRule="auto"/>
              <w:jc w:val="center"/>
            </w:pPr>
            <w:r>
              <w:rPr>
                <w:rFonts w:ascii="Calibri" w:hAnsi="Calibri" w:eastAsia="Arial Unicode MS" w:cs="Arial Unicode MS"/>
                <w:b/>
                <w:color w:val="1F2933"/>
                <w:sz w:val="18"/>
              </w:rPr>
              <w:t>B/C｜管理层确认</w:t>
            </w:r>
          </w:p>
        </w:tc>
      </w:tr>
      <w:tr>
        <w:tc>
          <w:tcPr>
            <w:tcW w:type="dxa" w:w="3150"/>
            <w:shd w:fill="F2F4F7"/>
          </w:tcPr>
          <w:p>
            <w:pPr>
              <w:spacing w:before="0" w:after="0" w:line="269" w:lineRule="auto"/>
              <w:jc w:val="left"/>
            </w:pPr>
            <w:r>
              <w:rPr>
                <w:rFonts w:ascii="Calibri" w:hAnsi="Calibri" w:eastAsia="Arial Unicode MS" w:cs="Arial Unicode MS"/>
                <w:b w:val="0"/>
                <w:color w:val="1F2933"/>
                <w:sz w:val="17"/>
              </w:rPr>
              <w:t>两家标杆客户复购并认可触觉能力</w:t>
            </w:r>
          </w:p>
        </w:tc>
        <w:tc>
          <w:tcPr>
            <w:tcW w:type="dxa" w:w="4380"/>
            <w:shd w:fill="F2F4F7"/>
          </w:tcPr>
          <w:p>
            <w:pPr>
              <w:spacing w:before="0" w:after="0" w:line="269" w:lineRule="auto"/>
              <w:jc w:val="left"/>
            </w:pPr>
            <w:r>
              <w:rPr>
                <w:rFonts w:ascii="Calibri" w:hAnsi="Calibri" w:eastAsia="Arial Unicode MS" w:cs="Arial Unicode MS"/>
                <w:b w:val="0"/>
                <w:color w:val="1F2933"/>
                <w:sz w:val="17"/>
              </w:rPr>
              <w:t>商业里程碑</w:t>
            </w:r>
          </w:p>
        </w:tc>
        <w:tc>
          <w:tcPr>
            <w:tcW w:type="dxa" w:w="1830"/>
            <w:shd w:fill="F2F4F7"/>
          </w:tcPr>
          <w:p>
            <w:pPr>
              <w:spacing w:before="0" w:after="0" w:line="269" w:lineRule="auto"/>
              <w:jc w:val="center"/>
            </w:pPr>
            <w:r>
              <w:rPr>
                <w:rFonts w:ascii="Calibri" w:hAnsi="Calibri" w:eastAsia="Arial Unicode MS" w:cs="Arial Unicode MS"/>
                <w:b/>
                <w:color w:val="1F2933"/>
                <w:sz w:val="18"/>
              </w:rPr>
              <w:t>A｜客户访谈</w:t>
            </w:r>
          </w:p>
        </w:tc>
      </w:tr>
      <w:tr>
        <w:tc>
          <w:tcPr>
            <w:tcW w:type="dxa" w:w="3150"/>
          </w:tcPr>
          <w:p>
            <w:pPr>
              <w:spacing w:before="0" w:after="0" w:line="269" w:lineRule="auto"/>
              <w:jc w:val="left"/>
            </w:pPr>
            <w:r>
              <w:rPr>
                <w:rFonts w:ascii="Calibri" w:hAnsi="Calibri" w:eastAsia="Arial Unicode MS" w:cs="Arial Unicode MS"/>
                <w:b w:val="0"/>
                <w:color w:val="1F2933"/>
                <w:sz w:val="17"/>
              </w:rPr>
              <w:t>分期+估值调整+董事席位</w:t>
            </w:r>
          </w:p>
        </w:tc>
        <w:tc>
          <w:tcPr>
            <w:tcW w:type="dxa" w:w="4380"/>
          </w:tcPr>
          <w:p>
            <w:pPr>
              <w:spacing w:before="0" w:after="0" w:line="269" w:lineRule="auto"/>
              <w:jc w:val="left"/>
            </w:pPr>
            <w:r>
              <w:rPr>
                <w:rFonts w:ascii="Calibri" w:hAnsi="Calibri" w:eastAsia="Arial Unicode MS" w:cs="Arial Unicode MS"/>
                <w:b w:val="0"/>
                <w:color w:val="1F2933"/>
                <w:sz w:val="17"/>
              </w:rPr>
              <w:t>投资支持与治理闭环</w:t>
            </w:r>
          </w:p>
        </w:tc>
        <w:tc>
          <w:tcPr>
            <w:tcW w:type="dxa" w:w="1830"/>
          </w:tcPr>
          <w:p>
            <w:pPr>
              <w:spacing w:before="0" w:after="0" w:line="269" w:lineRule="auto"/>
              <w:jc w:val="center"/>
            </w:pPr>
            <w:r>
              <w:rPr>
                <w:rFonts w:ascii="Calibri" w:hAnsi="Calibri" w:eastAsia="Arial Unicode MS" w:cs="Arial Unicode MS"/>
                <w:b/>
                <w:color w:val="1F2933"/>
                <w:sz w:val="18"/>
              </w:rPr>
              <w:t>A｜投资文件</w:t>
            </w:r>
          </w:p>
        </w:tc>
      </w:tr>
    </w:tbl>
    <w:p>
      <w:pPr>
        <w:keepLines/>
        <w:spacing w:before="120" w:after="0" w:line="288" w:lineRule="auto"/>
        <w:jc w:val="left"/>
      </w:pPr>
      <w:r>
        <w:rPr>
          <w:rFonts w:ascii="Calibri" w:hAnsi="Calibri" w:eastAsia="Arial Unicode MS" w:cs="Arial Unicode MS"/>
          <w:b w:val="0"/>
          <w:i/>
          <w:color w:val="64748B"/>
          <w:sz w:val="18"/>
        </w:rPr>
        <w:t>讲述衔接：以明确的投资条件结束，不再单设“谢谢”页。</w:t>
      </w:r>
    </w:p>
    <w:p>
      <w:r>
        <w:br w:type="page"/>
      </w:r>
    </w:p>
    <w:p>
      <w:pPr>
        <w:pStyle w:val="Heading1"/>
      </w:pPr>
      <w:r>
        <w:t>正式PPT制作前的口径统一清单</w:t>
      </w:r>
    </w:p>
    <w:p>
      <w:pPr>
        <w:spacing w:before="60" w:after="120" w:line="278" w:lineRule="auto"/>
        <w:ind w:left="173" w:right="173"/>
        <w:shd w:fill="FBF4DD"/>
      </w:pPr>
      <w:r>
        <w:rPr>
          <w:rFonts w:ascii="Calibri" w:hAnsi="Calibri" w:eastAsia="Arial Unicode MS" w:cs="Arial Unicode MS"/>
          <w:b/>
          <w:color w:val="B8860B"/>
          <w:sz w:val="20"/>
        </w:rPr>
        <w:t xml:space="preserve">使用原则  </w:t>
      </w:r>
      <w:r>
        <w:rPr>
          <w:rFonts w:ascii="Calibri" w:hAnsi="Calibri" w:eastAsia="Arial Unicode MS" w:cs="Arial Unicode MS"/>
          <w:b/>
          <w:color w:val="183247"/>
          <w:sz w:val="20"/>
        </w:rPr>
        <w:t>遇到冲突数字时优先级为：审计/财务报表与合同台账 &gt; 客户确认 &gt; 最新高管访谈 &gt; 公司BP与历史交流纪要。正文只保留一个主口径，其他口径进入备注。</w:t>
      </w:r>
    </w:p>
    <w:tbl>
      <w:tblPr>
        <w:tblStyle w:val="TableGrid"/>
        <w:tblW w:type="dxa" w:w="9360"/>
        <w:jc w:val="left"/>
        <w:tblLayout w:type="fixed"/>
        <w:tblLook w:firstColumn="1" w:firstRow="1" w:lastColumn="0" w:lastRow="0" w:noHBand="0" w:noVBand="1" w:val="04A0"/>
        <w:tblInd w:w="120" w:type="dxa"/>
      </w:tblPr>
      <w:tblGrid>
        <w:gridCol w:w="1600"/>
        <w:gridCol w:w="3000"/>
        <w:gridCol w:w="3000"/>
        <w:gridCol w:w="1760"/>
      </w:tblGrid>
      <w:tr>
        <w:trPr>
          <w:tblHeader w:val="true"/>
        </w:trPr>
        <w:tc>
          <w:tcPr>
            <w:tcW w:type="dxa" w:w="160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7"/>
              </w:rPr>
              <w:t>项目</w:t>
            </w:r>
          </w:p>
        </w:tc>
        <w:tc>
          <w:tcPr>
            <w:tcW w:type="dxa" w:w="300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7"/>
              </w:rPr>
              <w:t>材料中不同口径</w:t>
            </w:r>
          </w:p>
        </w:tc>
        <w:tc>
          <w:tcPr>
            <w:tcW w:type="dxa" w:w="300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7"/>
              </w:rPr>
              <w:t>建议主口径</w:t>
            </w:r>
          </w:p>
        </w:tc>
        <w:tc>
          <w:tcPr>
            <w:tcW w:type="dxa" w:w="1760"/>
            <w:tcMar>
              <w:top w:w="60" w:type="dxa"/>
              <w:start w:w="100" w:type="dxa"/>
              <w:bottom w:w="60" w:type="dxa"/>
              <w:end w:w="100" w:type="dxa"/>
            </w:tcMar>
            <w:vAlign w:val="center"/>
            <w:shd w:fill="183247"/>
          </w:tcPr>
          <w:p>
            <w:pPr>
              <w:spacing w:after="0"/>
              <w:jc w:val="center"/>
            </w:pPr>
            <w:r>
              <w:rPr>
                <w:rFonts w:ascii="Calibri" w:hAnsi="Calibri" w:eastAsia="Arial Unicode MS" w:cs="Arial Unicode MS"/>
                <w:b/>
                <w:color w:val="FFFFFF"/>
                <w:sz w:val="17"/>
              </w:rPr>
              <w:t>PPT处理</w:t>
            </w:r>
          </w:p>
        </w:tc>
      </w:tr>
      <w:tr>
        <w:tc>
          <w:tcPr>
            <w:tcW w:type="dxa" w:w="1600"/>
          </w:tcPr>
          <w:p>
            <w:pPr>
              <w:spacing w:after="0" w:line="264" w:lineRule="auto"/>
            </w:pPr>
            <w:r>
              <w:rPr>
                <w:rFonts w:ascii="Calibri" w:hAnsi="Calibri" w:eastAsia="Arial Unicode MS" w:cs="Arial Unicode MS"/>
                <w:color w:val="1F2933"/>
                <w:sz w:val="16"/>
              </w:rPr>
              <w:t>2025营收</w:t>
            </w:r>
          </w:p>
        </w:tc>
        <w:tc>
          <w:tcPr>
            <w:tcW w:type="dxa" w:w="3000"/>
          </w:tcPr>
          <w:p>
            <w:pPr>
              <w:spacing w:after="0" w:line="264" w:lineRule="auto"/>
            </w:pPr>
            <w:r>
              <w:rPr>
                <w:rFonts w:ascii="Calibri" w:hAnsi="Calibri" w:eastAsia="Arial Unicode MS" w:cs="Arial Unicode MS"/>
                <w:color w:val="1F2933"/>
                <w:sz w:val="16"/>
              </w:rPr>
              <w:t>财务报表1,302.83万元；旧交流纪要1,381万元</w:t>
            </w:r>
          </w:p>
        </w:tc>
        <w:tc>
          <w:tcPr>
            <w:tcW w:type="dxa" w:w="3000"/>
          </w:tcPr>
          <w:p>
            <w:pPr>
              <w:spacing w:after="0" w:line="264" w:lineRule="auto"/>
            </w:pPr>
            <w:r>
              <w:rPr>
                <w:rFonts w:ascii="Calibri" w:hAnsi="Calibri" w:eastAsia="Arial Unicode MS" w:cs="Arial Unicode MS"/>
                <w:color w:val="1F2933"/>
                <w:sz w:val="16"/>
              </w:rPr>
              <w:t>采用1,302.83万元</w:t>
            </w:r>
          </w:p>
        </w:tc>
        <w:tc>
          <w:tcPr>
            <w:tcW w:type="dxa" w:w="1760"/>
          </w:tcPr>
          <w:p>
            <w:pPr>
              <w:spacing w:after="0" w:line="264" w:lineRule="auto"/>
            </w:pPr>
            <w:r>
              <w:rPr>
                <w:rFonts w:ascii="Calibri" w:hAnsi="Calibri" w:eastAsia="Arial Unicode MS" w:cs="Arial Unicode MS"/>
                <w:color w:val="1F2933"/>
                <w:sz w:val="16"/>
              </w:rPr>
              <w:t>脚注说明旧材料为管理口径</w:t>
            </w:r>
          </w:p>
        </w:tc>
      </w:tr>
      <w:tr>
        <w:tc>
          <w:tcPr>
            <w:tcW w:type="dxa" w:w="1600"/>
            <w:shd w:fill="F2F4F7"/>
          </w:tcPr>
          <w:p>
            <w:pPr>
              <w:spacing w:after="0" w:line="264" w:lineRule="auto"/>
            </w:pPr>
            <w:r>
              <w:rPr>
                <w:rFonts w:ascii="Calibri" w:hAnsi="Calibri" w:eastAsia="Arial Unicode MS" w:cs="Arial Unicode MS"/>
                <w:color w:val="1F2933"/>
                <w:sz w:val="16"/>
              </w:rPr>
              <w:t>2025研发</w:t>
            </w:r>
          </w:p>
        </w:tc>
        <w:tc>
          <w:tcPr>
            <w:tcW w:type="dxa" w:w="3000"/>
            <w:shd w:fill="F2F4F7"/>
          </w:tcPr>
          <w:p>
            <w:pPr>
              <w:spacing w:after="0" w:line="264" w:lineRule="auto"/>
            </w:pPr>
            <w:r>
              <w:rPr>
                <w:rFonts w:ascii="Calibri" w:hAnsi="Calibri" w:eastAsia="Arial Unicode MS" w:cs="Arial Unicode MS"/>
                <w:color w:val="1F2933"/>
                <w:sz w:val="16"/>
              </w:rPr>
              <w:t>财务报表研发费用599.33万元；旧材料700/783万元</w:t>
            </w:r>
          </w:p>
        </w:tc>
        <w:tc>
          <w:tcPr>
            <w:tcW w:type="dxa" w:w="3000"/>
            <w:shd w:fill="F2F4F7"/>
          </w:tcPr>
          <w:p>
            <w:pPr>
              <w:spacing w:after="0" w:line="264" w:lineRule="auto"/>
            </w:pPr>
            <w:r>
              <w:rPr>
                <w:rFonts w:ascii="Calibri" w:hAnsi="Calibri" w:eastAsia="Arial Unicode MS" w:cs="Arial Unicode MS"/>
                <w:color w:val="1F2933"/>
                <w:sz w:val="16"/>
              </w:rPr>
              <w:t>采用财务报表费用口径</w:t>
            </w:r>
          </w:p>
        </w:tc>
        <w:tc>
          <w:tcPr>
            <w:tcW w:type="dxa" w:w="1760"/>
            <w:shd w:fill="F2F4F7"/>
          </w:tcPr>
          <w:p>
            <w:pPr>
              <w:spacing w:after="0" w:line="264" w:lineRule="auto"/>
            </w:pPr>
            <w:r>
              <w:rPr>
                <w:rFonts w:ascii="Calibri" w:hAnsi="Calibri" w:eastAsia="Arial Unicode MS" w:cs="Arial Unicode MS"/>
                <w:color w:val="1F2933"/>
                <w:sz w:val="16"/>
              </w:rPr>
              <w:t>如讲投入总额，单独解释资本化/其他研发支出</w:t>
            </w:r>
          </w:p>
        </w:tc>
      </w:tr>
      <w:tr>
        <w:tc>
          <w:tcPr>
            <w:tcW w:type="dxa" w:w="1600"/>
          </w:tcPr>
          <w:p>
            <w:pPr>
              <w:spacing w:after="0" w:line="264" w:lineRule="auto"/>
            </w:pPr>
            <w:r>
              <w:rPr>
                <w:rFonts w:ascii="Calibri" w:hAnsi="Calibri" w:eastAsia="Arial Unicode MS" w:cs="Arial Unicode MS"/>
                <w:color w:val="1F2933"/>
                <w:sz w:val="16"/>
              </w:rPr>
              <w:t>合同签订额</w:t>
            </w:r>
          </w:p>
        </w:tc>
        <w:tc>
          <w:tcPr>
            <w:tcW w:type="dxa" w:w="3000"/>
          </w:tcPr>
          <w:p>
            <w:pPr>
              <w:spacing w:after="0" w:line="264" w:lineRule="auto"/>
            </w:pPr>
            <w:r>
              <w:rPr>
                <w:rFonts w:ascii="Calibri" w:hAnsi="Calibri" w:eastAsia="Arial Unicode MS" w:cs="Arial Unicode MS"/>
                <w:color w:val="1F2933"/>
                <w:sz w:val="16"/>
              </w:rPr>
              <w:t>历史材料约2,000万元；松禾/BP约2,700万元</w:t>
            </w:r>
          </w:p>
        </w:tc>
        <w:tc>
          <w:tcPr>
            <w:tcW w:type="dxa" w:w="3000"/>
          </w:tcPr>
          <w:p>
            <w:pPr>
              <w:spacing w:after="0" w:line="264" w:lineRule="auto"/>
            </w:pPr>
            <w:r>
              <w:rPr>
                <w:rFonts w:ascii="Calibri" w:hAnsi="Calibri" w:eastAsia="Arial Unicode MS" w:cs="Arial Unicode MS"/>
                <w:color w:val="1F2933"/>
                <w:sz w:val="16"/>
              </w:rPr>
              <w:t>以合同台账汇总为准</w:t>
            </w:r>
          </w:p>
        </w:tc>
        <w:tc>
          <w:tcPr>
            <w:tcW w:type="dxa" w:w="1760"/>
          </w:tcPr>
          <w:p>
            <w:pPr>
              <w:spacing w:after="0" w:line="264" w:lineRule="auto"/>
            </w:pPr>
            <w:r>
              <w:rPr>
                <w:rFonts w:ascii="Calibri" w:hAnsi="Calibri" w:eastAsia="Arial Unicode MS" w:cs="Arial Unicode MS"/>
                <w:color w:val="1F2933"/>
                <w:sz w:val="16"/>
              </w:rPr>
              <w:t>在订单页按已签、执行、回款勾稽</w:t>
            </w:r>
          </w:p>
        </w:tc>
      </w:tr>
      <w:tr>
        <w:tc>
          <w:tcPr>
            <w:tcW w:type="dxa" w:w="1600"/>
            <w:shd w:fill="F2F4F7"/>
          </w:tcPr>
          <w:p>
            <w:pPr>
              <w:spacing w:after="0" w:line="264" w:lineRule="auto"/>
            </w:pPr>
            <w:r>
              <w:rPr>
                <w:rFonts w:ascii="Calibri" w:hAnsi="Calibri" w:eastAsia="Arial Unicode MS" w:cs="Arial Unicode MS"/>
                <w:color w:val="1F2933"/>
                <w:sz w:val="16"/>
              </w:rPr>
              <w:t>2026已实现</w:t>
            </w:r>
          </w:p>
        </w:tc>
        <w:tc>
          <w:tcPr>
            <w:tcW w:type="dxa" w:w="3000"/>
            <w:shd w:fill="F2F4F7"/>
          </w:tcPr>
          <w:p>
            <w:pPr>
              <w:spacing w:after="0" w:line="264" w:lineRule="auto"/>
            </w:pPr>
            <w:r>
              <w:rPr>
                <w:rFonts w:ascii="Calibri" w:hAnsi="Calibri" w:eastAsia="Arial Unicode MS" w:cs="Arial Unicode MS"/>
                <w:color w:val="1F2933"/>
                <w:sz w:val="16"/>
              </w:rPr>
              <w:t>6月旧纪要称确收1,800万元；8月访谈未更新</w:t>
            </w:r>
          </w:p>
        </w:tc>
        <w:tc>
          <w:tcPr>
            <w:tcW w:type="dxa" w:w="3000"/>
            <w:shd w:fill="F2F4F7"/>
          </w:tcPr>
          <w:p>
            <w:pPr>
              <w:spacing w:after="0" w:line="264" w:lineRule="auto"/>
            </w:pPr>
            <w:r>
              <w:rPr>
                <w:rFonts w:ascii="Calibri" w:hAnsi="Calibri" w:eastAsia="Arial Unicode MS" w:cs="Arial Unicode MS"/>
                <w:color w:val="1F2933"/>
                <w:sz w:val="16"/>
              </w:rPr>
              <w:t>用最新月度财务报表替换</w:t>
            </w:r>
          </w:p>
        </w:tc>
        <w:tc>
          <w:tcPr>
            <w:tcW w:type="dxa" w:w="1760"/>
            <w:shd w:fill="F2F4F7"/>
          </w:tcPr>
          <w:p>
            <w:pPr>
              <w:spacing w:after="0" w:line="264" w:lineRule="auto"/>
            </w:pPr>
            <w:r>
              <w:rPr>
                <w:rFonts w:ascii="Calibri" w:hAnsi="Calibri" w:eastAsia="Arial Unicode MS" w:cs="Arial Unicode MS"/>
                <w:color w:val="1F2933"/>
                <w:sz w:val="16"/>
              </w:rPr>
              <w:t>框架保留位置，不直接沿用旧数字</w:t>
            </w:r>
          </w:p>
        </w:tc>
      </w:tr>
      <w:tr>
        <w:tc>
          <w:tcPr>
            <w:tcW w:type="dxa" w:w="1600"/>
          </w:tcPr>
          <w:p>
            <w:pPr>
              <w:spacing w:after="0" w:line="264" w:lineRule="auto"/>
            </w:pPr>
            <w:r>
              <w:rPr>
                <w:rFonts w:ascii="Calibri" w:hAnsi="Calibri" w:eastAsia="Arial Unicode MS" w:cs="Arial Unicode MS"/>
                <w:color w:val="1F2933"/>
                <w:sz w:val="16"/>
              </w:rPr>
              <w:t>团队人数</w:t>
            </w:r>
          </w:p>
        </w:tc>
        <w:tc>
          <w:tcPr>
            <w:tcW w:type="dxa" w:w="3000"/>
          </w:tcPr>
          <w:p>
            <w:pPr>
              <w:spacing w:after="0" w:line="264" w:lineRule="auto"/>
            </w:pPr>
            <w:r>
              <w:rPr>
                <w:rFonts w:ascii="Calibri" w:hAnsi="Calibri" w:eastAsia="Arial Unicode MS" w:cs="Arial Unicode MS"/>
                <w:color w:val="1F2933"/>
                <w:sz w:val="16"/>
              </w:rPr>
              <w:t>7人、十几人、20余人等不同口径</w:t>
            </w:r>
          </w:p>
        </w:tc>
        <w:tc>
          <w:tcPr>
            <w:tcW w:type="dxa" w:w="3000"/>
          </w:tcPr>
          <w:p>
            <w:pPr>
              <w:spacing w:after="0" w:line="264" w:lineRule="auto"/>
            </w:pPr>
            <w:r>
              <w:rPr>
                <w:rFonts w:ascii="Calibri" w:hAnsi="Calibri" w:eastAsia="Arial Unicode MS" w:cs="Arial Unicode MS"/>
                <w:color w:val="1F2933"/>
                <w:sz w:val="16"/>
              </w:rPr>
              <w:t>按全职/兼职/海外协作拆分</w:t>
            </w:r>
          </w:p>
        </w:tc>
        <w:tc>
          <w:tcPr>
            <w:tcW w:type="dxa" w:w="1760"/>
          </w:tcPr>
          <w:p>
            <w:pPr>
              <w:spacing w:after="0" w:line="264" w:lineRule="auto"/>
            </w:pPr>
            <w:r>
              <w:rPr>
                <w:rFonts w:ascii="Calibri" w:hAnsi="Calibri" w:eastAsia="Arial Unicode MS" w:cs="Arial Unicode MS"/>
                <w:color w:val="1F2933"/>
                <w:sz w:val="16"/>
              </w:rPr>
              <w:t>无花名册前不写总人数大数字</w:t>
            </w:r>
          </w:p>
        </w:tc>
      </w:tr>
      <w:tr>
        <w:tc>
          <w:tcPr>
            <w:tcW w:type="dxa" w:w="1600"/>
            <w:shd w:fill="F2F4F7"/>
          </w:tcPr>
          <w:p>
            <w:pPr>
              <w:spacing w:after="0" w:line="264" w:lineRule="auto"/>
            </w:pPr>
            <w:r>
              <w:rPr>
                <w:rFonts w:ascii="Calibri" w:hAnsi="Calibri" w:eastAsia="Arial Unicode MS" w:cs="Arial Unicode MS"/>
                <w:color w:val="1F2933"/>
                <w:sz w:val="16"/>
              </w:rPr>
              <w:t>手套参数</w:t>
            </w:r>
          </w:p>
        </w:tc>
        <w:tc>
          <w:tcPr>
            <w:tcW w:type="dxa" w:w="3000"/>
            <w:shd w:fill="F2F4F7"/>
          </w:tcPr>
          <w:p>
            <w:pPr>
              <w:spacing w:after="0" w:line="264" w:lineRule="auto"/>
            </w:pPr>
            <w:r>
              <w:rPr>
                <w:rFonts w:ascii="Calibri" w:hAnsi="Calibri" w:eastAsia="Arial Unicode MS" w:cs="Arial Unicode MS"/>
                <w:color w:val="1F2933"/>
                <w:sz w:val="16"/>
              </w:rPr>
              <w:t>0.1度/0.5度、0.01N/0.2N、2万+/3-4万元</w:t>
            </w:r>
          </w:p>
        </w:tc>
        <w:tc>
          <w:tcPr>
            <w:tcW w:type="dxa" w:w="3000"/>
            <w:shd w:fill="F2F4F7"/>
          </w:tcPr>
          <w:p>
            <w:pPr>
              <w:spacing w:after="0" w:line="264" w:lineRule="auto"/>
            </w:pPr>
            <w:r>
              <w:rPr>
                <w:rFonts w:ascii="Calibri" w:hAnsi="Calibri" w:eastAsia="Arial Unicode MS" w:cs="Arial Unicode MS"/>
                <w:color w:val="1F2933"/>
                <w:sz w:val="16"/>
              </w:rPr>
              <w:t>采用最新产品规格书</w:t>
            </w:r>
          </w:p>
        </w:tc>
        <w:tc>
          <w:tcPr>
            <w:tcW w:type="dxa" w:w="1760"/>
            <w:shd w:fill="F2F4F7"/>
          </w:tcPr>
          <w:p>
            <w:pPr>
              <w:spacing w:after="0" w:line="264" w:lineRule="auto"/>
            </w:pPr>
            <w:r>
              <w:rPr>
                <w:rFonts w:ascii="Calibri" w:hAnsi="Calibri" w:eastAsia="Arial Unicode MS" w:cs="Arial Unicode MS"/>
                <w:color w:val="1F2933"/>
                <w:sz w:val="16"/>
              </w:rPr>
              <w:t>注明版本号、测试条件和量产状态</w:t>
            </w:r>
          </w:p>
        </w:tc>
      </w:tr>
      <w:tr>
        <w:tc>
          <w:tcPr>
            <w:tcW w:type="dxa" w:w="1600"/>
          </w:tcPr>
          <w:p>
            <w:pPr>
              <w:spacing w:after="0" w:line="264" w:lineRule="auto"/>
            </w:pPr>
            <w:r>
              <w:rPr>
                <w:rFonts w:ascii="Calibri" w:hAnsi="Calibri" w:eastAsia="Arial Unicode MS" w:cs="Arial Unicode MS"/>
                <w:color w:val="1F2933"/>
                <w:sz w:val="16"/>
              </w:rPr>
              <w:t>物理保真度</w:t>
            </w:r>
          </w:p>
        </w:tc>
        <w:tc>
          <w:tcPr>
            <w:tcW w:type="dxa" w:w="3000"/>
          </w:tcPr>
          <w:p>
            <w:pPr>
              <w:spacing w:after="0" w:line="264" w:lineRule="auto"/>
            </w:pPr>
            <w:r>
              <w:rPr>
                <w:rFonts w:ascii="Calibri" w:hAnsi="Calibri" w:eastAsia="Arial Unicode MS" w:cs="Arial Unicode MS"/>
                <w:color w:val="1F2933"/>
                <w:sz w:val="16"/>
              </w:rPr>
              <w:t>90%、95%、98%并存</w:t>
            </w:r>
          </w:p>
        </w:tc>
        <w:tc>
          <w:tcPr>
            <w:tcW w:type="dxa" w:w="3000"/>
          </w:tcPr>
          <w:p>
            <w:pPr>
              <w:spacing w:after="0" w:line="264" w:lineRule="auto"/>
            </w:pPr>
            <w:r>
              <w:rPr>
                <w:rFonts w:ascii="Calibri" w:hAnsi="Calibri" w:eastAsia="Arial Unicode MS" w:cs="Arial Unicode MS"/>
                <w:color w:val="1F2933"/>
                <w:sz w:val="16"/>
              </w:rPr>
              <w:t>不单列泛化百分比</w:t>
            </w:r>
          </w:p>
        </w:tc>
        <w:tc>
          <w:tcPr>
            <w:tcW w:type="dxa" w:w="1760"/>
          </w:tcPr>
          <w:p>
            <w:pPr>
              <w:spacing w:after="0" w:line="264" w:lineRule="auto"/>
            </w:pPr>
            <w:r>
              <w:rPr>
                <w:rFonts w:ascii="Calibri" w:hAnsi="Calibri" w:eastAsia="Arial Unicode MS" w:cs="Arial Unicode MS"/>
                <w:color w:val="1F2933"/>
                <w:sz w:val="16"/>
              </w:rPr>
              <w:t>用具体测试集、指标和客户任务效果替代</w:t>
            </w:r>
          </w:p>
        </w:tc>
      </w:tr>
      <w:tr>
        <w:tc>
          <w:tcPr>
            <w:tcW w:type="dxa" w:w="1600"/>
            <w:shd w:fill="F2F4F7"/>
          </w:tcPr>
          <w:p>
            <w:pPr>
              <w:spacing w:after="0" w:line="264" w:lineRule="auto"/>
            </w:pPr>
            <w:r>
              <w:rPr>
                <w:rFonts w:ascii="Calibri" w:hAnsi="Calibri" w:eastAsia="Arial Unicode MS" w:cs="Arial Unicode MS"/>
                <w:color w:val="1F2933"/>
                <w:sz w:val="16"/>
              </w:rPr>
              <w:t>股权与责任</w:t>
            </w:r>
          </w:p>
        </w:tc>
        <w:tc>
          <w:tcPr>
            <w:tcW w:type="dxa" w:w="3000"/>
            <w:shd w:fill="F2F4F7"/>
          </w:tcPr>
          <w:p>
            <w:pPr>
              <w:spacing w:after="0" w:line="264" w:lineRule="auto"/>
            </w:pPr>
            <w:r>
              <w:rPr>
                <w:rFonts w:ascii="Calibri" w:hAnsi="Calibri" w:eastAsia="Arial Unicode MS" w:cs="Arial Unicode MS"/>
                <w:color w:val="1F2933"/>
                <w:sz w:val="16"/>
              </w:rPr>
              <w:t>高管访谈称刘岩鑫联合创始人；投资文件明确其非责任主体</w:t>
            </w:r>
          </w:p>
        </w:tc>
        <w:tc>
          <w:tcPr>
            <w:tcW w:type="dxa" w:w="3000"/>
            <w:shd w:fill="F2F4F7"/>
          </w:tcPr>
          <w:p>
            <w:pPr>
              <w:spacing w:after="0" w:line="264" w:lineRule="auto"/>
            </w:pPr>
            <w:r>
              <w:rPr>
                <w:rFonts w:ascii="Calibri" w:hAnsi="Calibri" w:eastAsia="Arial Unicode MS" w:cs="Arial Unicode MS"/>
                <w:color w:val="1F2933"/>
                <w:sz w:val="16"/>
              </w:rPr>
              <w:t>按投资文件写责任边界</w:t>
            </w:r>
          </w:p>
        </w:tc>
        <w:tc>
          <w:tcPr>
            <w:tcW w:type="dxa" w:w="1760"/>
            <w:shd w:fill="F2F4F7"/>
          </w:tcPr>
          <w:p>
            <w:pPr>
              <w:spacing w:after="0" w:line="264" w:lineRule="auto"/>
            </w:pPr>
            <w:r>
              <w:rPr>
                <w:rFonts w:ascii="Calibri" w:hAnsi="Calibri" w:eastAsia="Arial Unicode MS" w:cs="Arial Unicode MS"/>
                <w:color w:val="1F2933"/>
                <w:sz w:val="16"/>
              </w:rPr>
              <w:t>团队页称运营商务负责人，不延伸回购责任</w:t>
            </w:r>
          </w:p>
        </w:tc>
      </w:tr>
    </w:tbl>
    <w:p>
      <w:r>
        <w:br w:type="page"/>
      </w:r>
    </w:p>
    <w:p>
      <w:pPr>
        <w:pStyle w:val="Heading1"/>
      </w:pPr>
      <w:r>
        <w:t>资料来源</w:t>
      </w:r>
    </w:p>
    <w:p>
      <w:pPr>
        <w:keepNext/>
        <w:spacing w:before="100" w:after="60"/>
      </w:pPr>
      <w:r>
        <w:rPr>
          <w:rFonts w:ascii="Calibri" w:hAnsi="Calibri" w:eastAsia="Arial Unicode MS" w:cs="Arial Unicode MS"/>
          <w:b/>
          <w:color w:val="007F73"/>
          <w:sz w:val="20"/>
        </w:rPr>
        <w:t>内部材料</w:t>
      </w:r>
    </w:p>
    <w:p>
      <w:pPr>
        <w:pStyle w:val="ListBullet"/>
        <w:spacing w:before="0" w:after="70" w:line="271" w:lineRule="auto"/>
        <w:ind w:left="540" w:hanging="271"/>
      </w:pPr>
      <w:r>
        <w:rPr>
          <w:rFonts w:ascii="Calibri" w:hAnsi="Calibri" w:eastAsia="Arial Unicode MS" w:cs="Arial Unicode MS"/>
          <w:color w:val="1F2933"/>
          <w:sz w:val="19"/>
        </w:rPr>
        <w:t>《20260812-大衍科技客户访谈纪要》：普罗宇宙、行之途客户反馈。</w:t>
      </w:r>
    </w:p>
    <w:p>
      <w:pPr>
        <w:pStyle w:val="ListBullet"/>
        <w:spacing w:before="0" w:after="70" w:line="271" w:lineRule="auto"/>
        <w:ind w:left="540" w:hanging="271"/>
      </w:pPr>
      <w:r>
        <w:rPr>
          <w:rFonts w:ascii="Calibri" w:hAnsi="Calibri" w:eastAsia="Arial Unicode MS" w:cs="Arial Unicode MS"/>
          <w:color w:val="1F2933"/>
          <w:sz w:val="19"/>
        </w:rPr>
        <w:t>《20260812-大衍科技高管访谈纪要》：杨林、刘岩鑫、萨迪克院士、董海巍、王剑雄访谈。</w:t>
      </w:r>
    </w:p>
    <w:p>
      <w:pPr>
        <w:pStyle w:val="ListBullet"/>
        <w:spacing w:before="0" w:after="70" w:line="271" w:lineRule="auto"/>
        <w:ind w:left="540" w:hanging="271"/>
      </w:pPr>
      <w:r>
        <w:rPr>
          <w:rFonts w:ascii="Calibri" w:hAnsi="Calibri" w:eastAsia="Arial Unicode MS" w:cs="Arial Unicode MS"/>
          <w:color w:val="1F2933"/>
          <w:sz w:val="19"/>
        </w:rPr>
        <w:t>《【松禾清湛】大衍科技投资建议书v1(1)》：2025财务、项目毛利、技术与行业分析。</w:t>
      </w:r>
    </w:p>
    <w:p>
      <w:pPr>
        <w:pStyle w:val="ListBullet"/>
        <w:spacing w:before="0" w:after="70" w:line="271" w:lineRule="auto"/>
        <w:ind w:left="540" w:hanging="271"/>
      </w:pPr>
      <w:r>
        <w:rPr>
          <w:rFonts w:ascii="Calibri" w:hAnsi="Calibri" w:eastAsia="Arial Unicode MS" w:cs="Arial Unicode MS"/>
          <w:color w:val="1F2933"/>
          <w:sz w:val="19"/>
        </w:rPr>
        <w:t>《20260611-大衍科技交流纪要V1》《大衍科技项目交流笔记V1》：历史经营、融资和业务口径。</w:t>
      </w:r>
    </w:p>
    <w:p>
      <w:pPr>
        <w:pStyle w:val="ListBullet"/>
        <w:spacing w:before="0" w:after="70" w:line="271" w:lineRule="auto"/>
        <w:ind w:left="540" w:hanging="271"/>
      </w:pPr>
      <w:r>
        <w:rPr>
          <w:rFonts w:ascii="Calibri" w:hAnsi="Calibri" w:eastAsia="Arial Unicode MS" w:cs="Arial Unicode MS"/>
          <w:color w:val="1F2933"/>
          <w:sz w:val="19"/>
        </w:rPr>
        <w:t>《空间智能解决方案--大衍科技（院士信息完整版）》及《大衍科技介绍》：产品、团队与技术材料。</w:t>
      </w:r>
    </w:p>
    <w:p>
      <w:pPr>
        <w:pStyle w:val="ListBullet"/>
        <w:spacing w:before="0" w:after="70" w:line="271" w:lineRule="auto"/>
        <w:ind w:left="540" w:hanging="271"/>
      </w:pPr>
      <w:r>
        <w:rPr>
          <w:rFonts w:ascii="Calibri" w:hAnsi="Calibri" w:eastAsia="Arial Unicode MS" w:cs="Arial Unicode MS"/>
          <w:color w:val="1F2933"/>
          <w:sz w:val="19"/>
        </w:rPr>
        <w:t>《大衍科技投资意向书（赛智伯乐版V4-正式稿）》：本轮估值、持股、分期付款、搬迁与治理条款。</w:t>
      </w:r>
    </w:p>
    <w:p>
      <w:pPr>
        <w:keepNext/>
        <w:spacing w:before="100" w:after="60"/>
      </w:pPr>
      <w:r>
        <w:rPr>
          <w:rFonts w:ascii="Calibri" w:hAnsi="Calibri" w:eastAsia="Arial Unicode MS" w:cs="Arial Unicode MS"/>
          <w:b/>
          <w:color w:val="007F73"/>
          <w:sz w:val="20"/>
        </w:rPr>
        <w:t>公开资料（截至2026年8月18日）</w:t>
      </w:r>
    </w:p>
    <w:p>
      <w:pPr>
        <w:spacing w:after="60" w:line="259" w:lineRule="auto"/>
        <w:ind w:left="72"/>
      </w:pPr>
      <w:r>
        <w:rPr>
          <w:rFonts w:ascii="Calibri" w:hAnsi="Calibri" w:eastAsia="Arial Unicode MS" w:cs="Arial Unicode MS"/>
          <w:b/>
          <w:color w:val="1F2933"/>
          <w:sz w:val="17"/>
        </w:rPr>
        <w:t>[E1] International Federation of Robotics, World Robotics 2025 – Industrial Robots：</w:t>
      </w:r>
      <w:hyperlink r:id="rId11">
        <w:r>
          <w:rPr>
            <w:rFonts w:eastAsia="Arial Unicode MS" w:cs="Arial Unicode MS" w:ascii="Calibri" w:hAnsi="Calibri"/>
            <w:color w:val="007F73"/>
            <w:u w:val="single"/>
            <w:sz w:val="17"/>
            <w:szCs w:val="17"/>
          </w:rPr>
          <w:t>https://ifr.org/news/global-robot-demand-in-factories-doubles-over-10-years/1st-quarterly-newsletter-2015</w:t>
        </w:r>
      </w:hyperlink>
    </w:p>
    <w:p>
      <w:pPr>
        <w:spacing w:after="60" w:line="259" w:lineRule="auto"/>
        <w:ind w:left="72"/>
      </w:pPr>
      <w:r>
        <w:rPr>
          <w:rFonts w:ascii="Calibri" w:hAnsi="Calibri" w:eastAsia="Arial Unicode MS" w:cs="Arial Unicode MS"/>
          <w:b/>
          <w:color w:val="1F2933"/>
          <w:sz w:val="17"/>
        </w:rPr>
        <w:t>[E2] International Federation of Robotics, World Robotics 2025 – Service Robots：</w:t>
      </w:r>
      <w:hyperlink r:id="rId12">
        <w:r>
          <w:rPr>
            <w:rFonts w:eastAsia="Arial Unicode MS" w:cs="Arial Unicode MS" w:ascii="Calibri" w:hAnsi="Calibri"/>
            <w:color w:val="007F73"/>
            <w:u w:val="single"/>
            <w:sz w:val="17"/>
            <w:szCs w:val="17"/>
          </w:rPr>
          <w:t>https://ifr.org/ifr-press-releases/news/service-robots-see-global-growth-boom</w:t>
        </w:r>
      </w:hyperlink>
    </w:p>
    <w:p>
      <w:pPr>
        <w:spacing w:after="60" w:line="259" w:lineRule="auto"/>
        <w:ind w:left="72"/>
      </w:pPr>
      <w:r>
        <w:rPr>
          <w:rFonts w:ascii="Calibri" w:hAnsi="Calibri" w:eastAsia="Arial Unicode MS" w:cs="Arial Unicode MS"/>
          <w:b/>
          <w:color w:val="1F2933"/>
          <w:sz w:val="17"/>
        </w:rPr>
        <w:t>[E3] 工业和信息化部、国务院国资委：2026年度人形机器人与具身智能实景实训专项行动：</w:t>
      </w:r>
      <w:hyperlink r:id="rId13">
        <w:r>
          <w:rPr>
            <w:rFonts w:eastAsia="Arial Unicode MS" w:cs="Arial Unicode MS" w:ascii="Calibri" w:hAnsi="Calibri"/>
            <w:color w:val="007F73"/>
            <w:u w:val="single"/>
            <w:sz w:val="17"/>
            <w:szCs w:val="17"/>
          </w:rPr>
          <w:t>https://www.miit.gov.cn/zwgk/zcwj/wjfb/tz/art/2026/art_f291ccd3da4c47ce95741de63cc088e6.html</w:t>
        </w:r>
      </w:hyperlink>
    </w:p>
    <w:p>
      <w:pPr>
        <w:spacing w:after="60" w:line="259" w:lineRule="auto"/>
        <w:ind w:left="72"/>
      </w:pPr>
      <w:r>
        <w:rPr>
          <w:rFonts w:ascii="Calibri" w:hAnsi="Calibri" w:eastAsia="Arial Unicode MS" w:cs="Arial Unicode MS"/>
          <w:b/>
          <w:color w:val="1F2933"/>
          <w:sz w:val="17"/>
        </w:rPr>
        <w:t>[E4] 工业和信息化部：《人形机器人创新发展指导意见》：</w:t>
      </w:r>
      <w:hyperlink r:id="rId14">
        <w:r>
          <w:rPr>
            <w:rFonts w:eastAsia="Arial Unicode MS" w:cs="Arial Unicode MS" w:ascii="Calibri" w:hAnsi="Calibri"/>
            <w:color w:val="007F73"/>
            <w:u w:val="single"/>
            <w:sz w:val="17"/>
            <w:szCs w:val="17"/>
          </w:rPr>
          <w:t>https://www.miit.gov.cn/cms_files/filemanager/1226211233/attach/20248/a14af1a12d16475881581dacc7d51366.pdf</w:t>
        </w:r>
      </w:hyperlink>
    </w:p>
    <w:p>
      <w:pPr>
        <w:spacing w:after="60" w:line="259" w:lineRule="auto"/>
        <w:ind w:left="72"/>
      </w:pPr>
      <w:r>
        <w:rPr>
          <w:rFonts w:ascii="Calibri" w:hAnsi="Calibri" w:eastAsia="Arial Unicode MS" w:cs="Arial Unicode MS"/>
          <w:b/>
          <w:color w:val="1F2933"/>
          <w:sz w:val="17"/>
        </w:rPr>
        <w:t>[E5] 杭州市具身智能机器人“强链补链”行动方案（2026—2027年）：</w:t>
      </w:r>
      <w:hyperlink r:id="rId15">
        <w:r>
          <w:rPr>
            <w:rFonts w:eastAsia="Arial Unicode MS" w:cs="Arial Unicode MS" w:ascii="Calibri" w:hAnsi="Calibri"/>
            <w:color w:val="007F73"/>
            <w:u w:val="single"/>
            <w:sz w:val="17"/>
            <w:szCs w:val="17"/>
          </w:rPr>
          <w:t>https://zfgb.hangzhou.gov.cn/11/101220263/t104220263014/530113.shtml</w:t>
        </w:r>
      </w:hyperlink>
    </w:p>
    <w:p>
      <w:pPr>
        <w:spacing w:after="60" w:line="259" w:lineRule="auto"/>
        <w:ind w:left="72"/>
      </w:pPr>
      <w:r>
        <w:rPr>
          <w:rFonts w:ascii="Calibri" w:hAnsi="Calibri" w:eastAsia="Arial Unicode MS" w:cs="Arial Unicode MS"/>
          <w:b/>
          <w:color w:val="1F2933"/>
          <w:sz w:val="17"/>
        </w:rPr>
        <w:t>[E6] Google DeepMind, Scaling up learning across many different robot types：</w:t>
      </w:r>
      <w:hyperlink r:id="rId16">
        <w:r>
          <w:rPr>
            <w:rFonts w:eastAsia="Arial Unicode MS" w:cs="Arial Unicode MS" w:ascii="Calibri" w:hAnsi="Calibri"/>
            <w:color w:val="007F73"/>
            <w:u w:val="single"/>
            <w:sz w:val="17"/>
            <w:szCs w:val="17"/>
          </w:rPr>
          <w:t>https://deepmind.google/blog/scaling-up-learning-across-many-different-robot-types/</w:t>
        </w:r>
      </w:hyperlink>
    </w:p>
    <w:p>
      <w:pPr>
        <w:spacing w:after="60" w:line="259" w:lineRule="auto"/>
        <w:ind w:left="72"/>
      </w:pPr>
      <w:r>
        <w:rPr>
          <w:rFonts w:ascii="Calibri" w:hAnsi="Calibri" w:eastAsia="Arial Unicode MS" w:cs="Arial Unicode MS"/>
          <w:b/>
          <w:color w:val="1F2933"/>
          <w:sz w:val="17"/>
        </w:rPr>
        <w:t>[E7] NVIDIA, Isaac GR00T N1 and synthetic data generation：</w:t>
      </w:r>
      <w:hyperlink r:id="rId17">
        <w:r>
          <w:rPr>
            <w:rFonts w:eastAsia="Arial Unicode MS" w:cs="Arial Unicode MS" w:ascii="Calibri" w:hAnsi="Calibri"/>
            <w:color w:val="007F73"/>
            <w:u w:val="single"/>
            <w:sz w:val="17"/>
            <w:szCs w:val="17"/>
          </w:rPr>
          <w:t>https://investor.nvidia.com/news/press-release-details/2025/NVIDIA-Announces-Isaac-GR00T-N1--the-Worlds-First-Open-Humanoid-Robot-Foundation-Model--and-Simulation-Frameworks-to-Speed-Robot-Development/default.aspx</w:t>
        </w:r>
      </w:hyperlink>
    </w:p>
    <w:p>
      <w:pPr>
        <w:spacing w:after="60" w:line="259" w:lineRule="auto"/>
        <w:ind w:left="72"/>
      </w:pPr>
      <w:r>
        <w:rPr>
          <w:rFonts w:ascii="Calibri" w:hAnsi="Calibri" w:eastAsia="Arial Unicode MS" w:cs="Arial Unicode MS"/>
          <w:b/>
          <w:color w:val="1F2933"/>
          <w:sz w:val="17"/>
        </w:rPr>
        <w:t>[E8] University of Ottawa, Abdulmotaleb El Saddik profile：</w:t>
      </w:r>
      <w:hyperlink r:id="rId18">
        <w:r>
          <w:rPr>
            <w:rFonts w:eastAsia="Arial Unicode MS" w:cs="Arial Unicode MS" w:ascii="Calibri" w:hAnsi="Calibri"/>
            <w:color w:val="007F73"/>
            <w:u w:val="single"/>
            <w:sz w:val="17"/>
            <w:szCs w:val="17"/>
          </w:rPr>
          <w:t>https://www.uottawa.ca/faculty-engineering/school-electrical-engineering-computer-science/directory/abdulmotaleb-el-saddik</w:t>
        </w:r>
      </w:hyperlink>
    </w:p>
    <w:p>
      <w:pPr>
        <w:spacing w:after="60" w:line="259" w:lineRule="auto"/>
        <w:ind w:left="72"/>
      </w:pPr>
      <w:r>
        <w:rPr>
          <w:rFonts w:ascii="Calibri" w:hAnsi="Calibri" w:eastAsia="Arial Unicode MS" w:cs="Arial Unicode MS"/>
          <w:b/>
          <w:color w:val="1F2933"/>
          <w:sz w:val="17"/>
        </w:rPr>
        <w:t>[E9] The Royal Society of Canada, Prof. Abdulmotaleb El Saddik：</w:t>
      </w:r>
      <w:hyperlink r:id="rId19">
        <w:r>
          <w:rPr>
            <w:rFonts w:eastAsia="Arial Unicode MS" w:cs="Arial Unicode MS" w:ascii="Calibri" w:hAnsi="Calibri"/>
            <w:color w:val="007F73"/>
            <w:u w:val="single"/>
            <w:sz w:val="17"/>
            <w:szCs w:val="17"/>
          </w:rPr>
          <w:t>https://rsc-src.ca/en/users/abdulmotaleb-el-saddik</w:t>
        </w:r>
      </w:hyperlink>
    </w:p>
    <w:p>
      <w:pPr>
        <w:spacing w:after="60" w:line="259" w:lineRule="auto"/>
        <w:ind w:left="72"/>
      </w:pPr>
      <w:r>
        <w:rPr>
          <w:rFonts w:ascii="Calibri" w:hAnsi="Calibri" w:eastAsia="Arial Unicode MS" w:cs="Arial Unicode MS"/>
          <w:b/>
          <w:color w:val="1F2933"/>
          <w:sz w:val="17"/>
        </w:rPr>
        <w:t>[E10] Nature Sensors：全臂触觉感知与自适应机器人操作：</w:t>
      </w:r>
      <w:hyperlink r:id="rId20">
        <w:r>
          <w:rPr>
            <w:rFonts w:eastAsia="Arial Unicode MS" w:cs="Arial Unicode MS" w:ascii="Calibri" w:hAnsi="Calibri"/>
            <w:color w:val="007F73"/>
            <w:u w:val="single"/>
            <w:sz w:val="17"/>
            <w:szCs w:val="17"/>
          </w:rPr>
          <w:t>https://www.nature.com/articles/s44460-026-00097-1</w:t>
        </w:r>
      </w:hyperlink>
    </w:p>
    <w:p>
      <w:pPr>
        <w:spacing w:after="60" w:line="259" w:lineRule="auto"/>
        <w:ind w:left="72"/>
      </w:pPr>
      <w:r>
        <w:rPr>
          <w:rFonts w:ascii="Calibri" w:hAnsi="Calibri" w:eastAsia="Arial Unicode MS" w:cs="Arial Unicode MS"/>
          <w:b/>
          <w:color w:val="1F2933"/>
          <w:sz w:val="17"/>
        </w:rPr>
        <w:t>[E11] Nature Machine Intelligence：面向真实应用的高精度触觉传感器：</w:t>
      </w:r>
      <w:hyperlink r:id="rId21">
        <w:r>
          <w:rPr>
            <w:rFonts w:eastAsia="Arial Unicode MS" w:cs="Arial Unicode MS" w:ascii="Calibri" w:hAnsi="Calibri"/>
            <w:color w:val="007F73"/>
            <w:u w:val="single"/>
            <w:sz w:val="17"/>
            <w:szCs w:val="17"/>
          </w:rPr>
          <w:t>https://www.nature.com/articles/s42256-021-00439-3</w:t>
        </w:r>
      </w:hyperlink>
    </w:p>
    <w:p>
      <w:pPr>
        <w:spacing w:before="160" w:after="0" w:line="288" w:lineRule="auto"/>
        <w:jc w:val="left"/>
      </w:pPr>
      <w:r>
        <w:rPr>
          <w:rFonts w:ascii="Calibri" w:hAnsi="Calibri" w:eastAsia="Arial Unicode MS" w:cs="Arial Unicode MS"/>
          <w:b w:val="0"/>
          <w:i/>
          <w:color w:val="64748B"/>
          <w:sz w:val="18"/>
        </w:rPr>
        <w:t>说明：IFR服务机器人数据基于供应商样本，主要用于观察行业结构与增速。公司技术指标、已实现收入、意向在手订单和远期预算均注明证据等级与时点，便于读者准确理解各类经营信息。</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Arial Unicode MS" w:cs="Arial Unicode MS"/>
        <w:color w:val="64748B"/>
        <w:sz w:val="18"/>
      </w:rPr>
      <w:t xml:space="preserve">第 </w:t>
    </w:r>
    <w:fldSimple w:instr="PAGE">
      <w:r>
        <w:rPr>
          <w:color w:val="64748B"/>
        </w:rPr>
        <w:t>1</w:t>
      </w:r>
    </w:fldSimple>
    <w:r>
      <w:rPr>
        <w:rFonts w:ascii="Calibri" w:hAnsi="Calibri" w:eastAsia="Arial Unicode MS" w:cs="Arial Unicode MS"/>
        <w:color w:val="64748B"/>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Arial Unicode MS" w:cs="Arial Unicode MS"/>
        <w:b/>
        <w:color w:val="64748B"/>
        <w:sz w:val="17"/>
      </w:rPr>
      <w:t>大衍科技投资报告逐页框架  |  内部讨论稿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cs="Arial Unicode M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Unicode MS" w:hAnsi="Arial Unicode MS" w:eastAsia="Arial Unicode MS" w:cs="Arial Unicode MS"/>
      <w:b/>
      <w:bCs/>
      <w:color w:val="183247"/>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Unicode MS" w:hAnsi="Arial Unicode MS" w:eastAsia="Arial Unicode MS" w:cs="Arial Unicode MS"/>
      <w:b/>
      <w:bCs/>
      <w:color w:val="007F73"/>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cs="Arial Unicode MS"/>
      <w:b/>
      <w:bCs/>
      <w:color w:val="1832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Unicode MS" w:hAnsi="Arial Unicode MS" w:eastAsia="Arial Unicode MS" w:cs="Arial Unicode MS"/>
      <w:b/>
      <w:color w:val="1832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Unicode MS" w:hAnsi="Arial Unicode MS" w:eastAsia="Arial Unicode MS" w:cs="Arial Unicode MS"/>
      <w:i/>
      <w:iCs/>
      <w:color w:val="64748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Arial Unicode MS" w:hAnsi="Arial Unicode MS" w:eastAsia="Arial Unicode MS" w:cs="Arial Unicode MS"/>
      <w:sz w:val="20"/>
    </w:rPr>
  </w:style>
  <w:style w:type="paragraph" w:styleId="ListBullet2">
    <w:name w:val="List Bullet 2"/>
    <w:basedOn w:val="Normal"/>
    <w:uiPriority w:val="99"/>
    <w:unhideWhenUsed/>
    <w:rsid w:val="00326F90"/>
    <w:pPr>
      <w:numPr>
        <w:numId w:val="2"/>
      </w:numPr>
      <w:spacing w:after="80" w:line="300" w:lineRule="auto"/>
      <w:contextualSpacing/>
    </w:pPr>
    <w:rPr>
      <w:rFonts w:ascii="Arial Unicode MS" w:hAnsi="Arial Unicode MS" w:eastAsia="Arial Unicode MS" w:cs="Arial Unicode M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fr.org/news/global-robot-demand-in-factories-doubles-over-10-years/1st-quarterly-newsletter-2015" TargetMode="External"/><Relationship Id="rId12" Type="http://schemas.openxmlformats.org/officeDocument/2006/relationships/hyperlink" Target="https://ifr.org/ifr-press-releases/news/service-robots-see-global-growth-boom" TargetMode="External"/><Relationship Id="rId13" Type="http://schemas.openxmlformats.org/officeDocument/2006/relationships/hyperlink" Target="https://www.miit.gov.cn/zwgk/zcwj/wjfb/tz/art/2026/art_f291ccd3da4c47ce95741de63cc088e6.html" TargetMode="External"/><Relationship Id="rId14" Type="http://schemas.openxmlformats.org/officeDocument/2006/relationships/hyperlink" Target="https://www.miit.gov.cn/cms_files/filemanager/1226211233/attach/20248/a14af1a12d16475881581dacc7d51366.pdf" TargetMode="External"/><Relationship Id="rId15" Type="http://schemas.openxmlformats.org/officeDocument/2006/relationships/hyperlink" Target="https://zfgb.hangzhou.gov.cn/11/101220263/t104220263014/530113.shtml" TargetMode="External"/><Relationship Id="rId16" Type="http://schemas.openxmlformats.org/officeDocument/2006/relationships/hyperlink" Target="https://deepmind.google/blog/scaling-up-learning-across-many-different-robot-types/" TargetMode="External"/><Relationship Id="rId17" Type="http://schemas.openxmlformats.org/officeDocument/2006/relationships/hyperlink" Target="https://investor.nvidia.com/news/press-release-details/2025/NVIDIA-Announces-Isaac-GR00T-N1--the-Worlds-First-Open-Humanoid-Robot-Foundation-Model--and-Simulation-Frameworks-to-Speed-Robot-Development/default.aspx" TargetMode="External"/><Relationship Id="rId18" Type="http://schemas.openxmlformats.org/officeDocument/2006/relationships/hyperlink" Target="https://www.uottawa.ca/faculty-engineering/school-electrical-engineering-computer-science/directory/abdulmotaleb-el-saddik" TargetMode="External"/><Relationship Id="rId19" Type="http://schemas.openxmlformats.org/officeDocument/2006/relationships/hyperlink" Target="https://rsc-src.ca/en/users/abdulmotaleb-el-saddik" TargetMode="External"/><Relationship Id="rId20" Type="http://schemas.openxmlformats.org/officeDocument/2006/relationships/hyperlink" Target="https://www.nature.com/articles/s44460-026-00097-1" TargetMode="External"/><Relationship Id="rId21" Type="http://schemas.openxmlformats.org/officeDocument/2006/relationships/hyperlink" Target="https://www.nature.com/articles/s42256-021-0043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大衍科技投资报告逐页框架</dc:title>
  <dc:subject>投资委员会汇报材料制作蓝本</dc:subject>
  <dc:creator>赛智伯乐</dc:creator>
  <cp:keywords>大衍科技, 具身智能, 触觉AI, 合成数据, 投资报告</cp:keywords>
  <dc:description>generated by python-docx</dc:description>
  <cp:lastModifiedBy/>
  <cp:revision>1</cp:revision>
  <dcterms:created xsi:type="dcterms:W3CDTF">2013-12-23T23:15:00Z</dcterms:created>
  <dcterms:modified xsi:type="dcterms:W3CDTF">2013-12-23T23:15:00Z</dcterms:modified>
  <cp:category/>
</cp:coreProperties>
</file>