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STHeiti" w:cs="STHeiti" w:eastAsia="STHeiti" w:hAnsi="STHeiti"/>
          <w:color w:val="000000"/>
          <w:sz w:val="28"/>
          <w:szCs w:val="28"/>
        </w:rPr>
        <w:t xml:space="preserve">关于智灵动力项目投资合规性的说明</w:t>
      </w:r>
    </w:p>
    <w:p>
      <w:pPr>
        <w:pStyle w:val="13"/>
        <w:keepNext/>
        <w:keepLines/>
        <w:numPr>
          <w:ilvl w:val="0"/>
          <w:numId w:val="1"/>
        </w:numPr>
        <w:spacing w:after="0" w:before="240" w:line="360"/>
        <w:ind w:firstLine="0"/>
        <w:jc w:val="left"/>
      </w:pPr>
      <w:r>
        <w:rPr>
          <w:rFonts w:ascii="Songti SC" w:cs="Songti SC" w:eastAsia="Songti SC" w:hAnsi="Songti SC"/>
          <w:b/>
          <w:bCs/>
          <w:color w:val="000000"/>
          <w:sz w:val="24"/>
          <w:szCs w:val="24"/>
        </w:rPr>
        <w:t xml:space="preserve">公司情况介绍</w:t>
      </w:r>
    </w:p>
    <w:p>
      <w:pPr>
        <w:pStyle w:val="13"/>
        <w:keepNext/>
        <w:keepLines/>
        <w:numPr>
          <w:ilvl w:val="0"/>
          <w:numId w:val="2"/>
        </w:numPr>
        <w:spacing w:after="0" w:before="0" w:line="360"/>
        <w:ind w:left="0" w:firstLine="482"/>
        <w:jc w:val="left"/>
      </w:pPr>
      <w:r>
        <w:rPr>
          <w:rFonts w:ascii="Songti SC" w:cs="Songti SC" w:eastAsia="Songti SC" w:hAnsi="Songti SC"/>
          <w:b/>
          <w:bCs/>
          <w:color w:val="000000"/>
          <w:sz w:val="24"/>
          <w:szCs w:val="24"/>
        </w:rPr>
        <w:t xml:space="preserve">公司简介</w:t>
      </w:r>
    </w:p>
    <w:p>
      <w:pPr>
        <w:keepLines w:val="false"/>
        <w:spacing w:after="0" w:before="0" w:line="360"/>
        <w:ind w:firstLine="480"/>
        <w:jc w:val="both"/>
      </w:pPr>
      <w:r>
        <w:rPr>
          <w:rFonts w:ascii="Songti SC" w:cs="Songti SC" w:eastAsia="Songti SC" w:hAnsi="Songti SC"/>
          <w:color w:val="000000"/>
          <w:sz w:val="24"/>
          <w:szCs w:val="24"/>
        </w:rPr>
        <w:t xml:space="preserve">智灵动力成立初期承接了清博相关技术及商务人员，并于2025年围绕AI应用开展多方向业务验证，后续将短剧确定为较明确的商业化方向并扩充专门团队。相关业务现由合肥全资子公司元娲运营，并与北京主体相对独立，以降低业务重合及合规风险。公司当前以AI应用落地和内容生产业务为主要经营抓手，公司全称、注册资本、股权层级及实际运营主体边界仍需结合工商登记、组织架构和主要合同进一步核验。</w:t>
      </w:r>
    </w:p>
    <w:p>
      <w:pPr>
        <w:keepLines w:val="false"/>
        <w:spacing w:after="0" w:before="0" w:line="360"/>
        <w:ind w:firstLine="480"/>
        <w:jc w:val="both"/>
      </w:pPr>
      <w:r>
        <w:rPr>
          <w:rFonts w:ascii="Songti SC" w:cs="Songti SC" w:eastAsia="Songti SC" w:hAnsi="Songti SC"/>
          <w:color w:val="000000"/>
          <w:sz w:val="24"/>
          <w:szCs w:val="24"/>
        </w:rPr>
        <w:t xml:space="preserve">智灵动力当前业务形态包括轻量智能体、金融行业智能体技术支持、TikTok转绘、短剧自营及一键成书系统等方向，其中轻量智能体拟先落地项目获取、PPT生成、数据表格整理和投后权益分析等场景，短剧及TikTok相关业务采用制作费叠加流量利润分成等方式，一键成书系统仍处于内测阶段；同时，公司正在停止传统非AI软件项目并优化短剧团队人员，显示其仍处于业务聚焦、组织收缩和商业化验证并行的阶段。</w:t>
      </w:r>
    </w:p>
    <w:p>
      <w:pPr>
        <w:pStyle w:val="13"/>
        <w:keepNext/>
        <w:keepLines/>
        <w:numPr>
          <w:ilvl w:val="0"/>
          <w:numId w:val="2"/>
        </w:numPr>
        <w:spacing w:after="0" w:before="0" w:line="360"/>
        <w:ind w:left="0" w:firstLine="482"/>
        <w:jc w:val="left"/>
      </w:pPr>
      <w:r>
        <w:rPr>
          <w:rFonts w:ascii="Songti SC" w:cs="Songti SC" w:eastAsia="Songti SC" w:hAnsi="Songti SC"/>
          <w:b/>
          <w:bCs/>
          <w:color w:val="000000"/>
          <w:sz w:val="24"/>
          <w:szCs w:val="24"/>
        </w:rPr>
        <w:t xml:space="preserve">核心团队</w:t>
      </w:r>
    </w:p>
    <w:p>
      <w:pPr>
        <w:keepLines w:val="false"/>
        <w:spacing w:after="0" w:before="0" w:line="360"/>
        <w:ind w:firstLine="480"/>
        <w:jc w:val="both"/>
      </w:pPr>
      <w:r>
        <w:rPr>
          <w:rFonts w:ascii="Songti SC" w:cs="Songti SC" w:eastAsia="Songti SC" w:hAnsi="Songti SC"/>
          <w:color w:val="000000"/>
          <w:sz w:val="24"/>
          <w:szCs w:val="24"/>
        </w:rPr>
        <w:t xml:space="preserve">公司商务团队约20至30人，成员分布在不同地区，主要承担客户拓展、需求衔接和商务转化工作，获客以老客户转介绍和创始人资源对接为主。</w:t>
      </w:r>
    </w:p>
    <w:p>
      <w:pPr>
        <w:keepLines w:val="false"/>
        <w:spacing w:after="0" w:before="0" w:line="360"/>
        <w:ind w:firstLine="480"/>
        <w:jc w:val="both"/>
      </w:pPr>
      <w:r>
        <w:rPr>
          <w:rFonts w:ascii="Songti SC" w:cs="Songti SC" w:eastAsia="Songti SC" w:hAnsi="Songti SC"/>
          <w:color w:val="000000"/>
          <w:sz w:val="24"/>
          <w:szCs w:val="24"/>
        </w:rPr>
        <w:t xml:space="preserve">除核心转介绍渠道外，商务团队还通过陌生拜访、行业活动和内容平台拓展潜在客户，现有获客结构对创始人及存量客户资源仍有一定依赖。</w:t>
      </w:r>
    </w:p>
    <w:p>
      <w:pPr>
        <w:pStyle w:val="13"/>
        <w:keepNext/>
        <w:keepLines/>
        <w:numPr>
          <w:ilvl w:val="0"/>
          <w:numId w:val="2"/>
        </w:numPr>
        <w:spacing w:after="0" w:before="0" w:line="360"/>
        <w:ind w:left="0" w:firstLine="482"/>
        <w:jc w:val="left"/>
      </w:pPr>
      <w:r>
        <w:rPr>
          <w:rFonts w:ascii="Songti SC" w:cs="Songti SC" w:eastAsia="Songti SC" w:hAnsi="Songti SC"/>
          <w:b/>
          <w:bCs/>
          <w:color w:val="000000"/>
          <w:sz w:val="24"/>
          <w:szCs w:val="24"/>
        </w:rPr>
        <w:t xml:space="preserve">产品及技术</w:t>
      </w:r>
    </w:p>
    <w:p>
      <w:pPr>
        <w:keepLines w:val="false"/>
        <w:spacing w:after="0" w:before="0" w:line="360"/>
        <w:ind w:firstLine="480"/>
        <w:jc w:val="both"/>
      </w:pPr>
      <w:r>
        <w:rPr>
          <w:rFonts w:ascii="Songti SC" w:cs="Songti SC" w:eastAsia="Songti SC" w:hAnsi="Songti SC"/>
          <w:color w:val="000000"/>
          <w:sz w:val="24"/>
          <w:szCs w:val="24"/>
        </w:rPr>
        <w:t xml:space="preserve">项目当前提供算法优化与算法工程化服务，尚未形成完整系统集成交付模式。团队主要为客户提供算法加速、参数优化和性能提升服务，最终交付算法代码或编译程序，不承担完整系统交付；服务场景包括算法优化、论文转算法、黑盒系统优化以及数据集与算法一体化开发。</w:t>
      </w:r>
    </w:p>
    <w:p>
      <w:pPr>
        <w:keepLines w:val="false"/>
        <w:spacing w:after="0" w:before="0" w:line="360"/>
        <w:ind w:firstLine="480"/>
        <w:jc w:val="both"/>
      </w:pPr>
      <w:r>
        <w:rPr>
          <w:rFonts w:ascii="Songti SC" w:cs="Songti SC" w:eastAsia="Songti SC" w:hAnsi="Songti SC"/>
          <w:color w:val="000000"/>
          <w:sz w:val="24"/>
          <w:szCs w:val="24"/>
        </w:rPr>
        <w:t xml:space="preserve">智灵动力已搭建算法工厂平台，优先适配客户既有系统，通过接口对接和能力植入降低替换成本与实施风险；同时计划在智能办公系统框架中逐步补充自进化、本体构建和信号发现等能力。项目可初步定位为“平台化算法能力加场景化交付”，但具体架构、代码资产、模型权属和安全边界仍需结合技术白皮书、部署文档及知识产权清单核验。</w:t>
      </w:r>
    </w:p>
    <w:p>
      <w:pPr>
        <w:keepLines w:val="false"/>
        <w:spacing w:after="0" w:before="0" w:line="360"/>
        <w:ind w:firstLine="480"/>
        <w:jc w:val="both"/>
      </w:pPr>
      <w:r>
        <w:rPr>
          <w:rFonts w:ascii="Songti SC" w:cs="Songti SC" w:eastAsia="Songti SC" w:hAnsi="Songti SC"/>
          <w:color w:val="000000"/>
          <w:sz w:val="24"/>
          <w:szCs w:val="24"/>
        </w:rPr>
        <w:t xml:space="preserve">项目强调自进化优化能力，并主张其压缩算法属于经第三方机构认证的自进化优化成果。该主张如能由第三方认证报告、测试样本、评测方法和可复现实验记录支持，可构成技术壁垒的重要佐证；在认证效力、认证范围及同类技术比较完成独立核验前，不宜据此形成排他性技术结论。</w:t>
      </w:r>
    </w:p>
    <w:p>
      <w:pPr>
        <w:keepLines w:val="false"/>
        <w:spacing w:after="0" w:before="0" w:line="360"/>
        <w:ind w:firstLine="480"/>
        <w:jc w:val="both"/>
      </w:pPr>
      <w:r>
        <w:rPr>
          <w:rFonts w:ascii="Songti SC" w:cs="Songti SC" w:eastAsia="Songti SC" w:hAnsi="Songti SC"/>
          <w:color w:val="000000"/>
          <w:sz w:val="24"/>
          <w:szCs w:val="24"/>
        </w:rPr>
        <w:t xml:space="preserve">项目已出现华为超聚变智能体安全算法优化和济南病虫害监测等潜在客户场景，前者订单线索约180万元，后者订单线索约1000万元至2000万元，且济南项目已召开首次碰头会。相关业务仍处于签约或推进阶段，商业成熟度应以正式合同、交付验收、回款凭证、客户确认及持续复购情况为核验基础。</w:t>
      </w:r>
    </w:p>
    <w:p>
      <w:pPr>
        <w:pStyle w:val="13"/>
        <w:keepNext/>
        <w:keepLines/>
        <w:numPr>
          <w:ilvl w:val="0"/>
          <w:numId w:val="1"/>
        </w:numPr>
        <w:spacing w:after="0" w:before="240" w:line="360"/>
        <w:ind w:firstLine="0"/>
        <w:jc w:val="left"/>
      </w:pPr>
      <w:r>
        <w:rPr>
          <w:rFonts w:ascii="Songti SC" w:cs="Songti SC" w:eastAsia="Songti SC" w:hAnsi="Songti SC"/>
          <w:b/>
          <w:bCs/>
          <w:color w:val="000000"/>
          <w:sz w:val="24"/>
          <w:szCs w:val="24"/>
        </w:rPr>
        <w:t xml:space="preserve">投资理由</w:t>
      </w:r>
    </w:p>
    <w:p>
      <w:pPr>
        <w:keepLines w:val="false"/>
        <w:spacing w:after="0" w:before="0" w:line="360"/>
        <w:ind w:firstLine="480"/>
        <w:jc w:val="both"/>
      </w:pPr>
      <w:r>
        <w:rPr>
          <w:rFonts w:ascii="Songti SC" w:cs="Songti SC" w:eastAsia="Songti SC" w:hAnsi="Songti SC"/>
          <w:color w:val="000000"/>
          <w:sz w:val="24"/>
          <w:szCs w:val="24"/>
        </w:rPr>
        <w:t xml:space="preserve">赛道选择已有商业化线索。智灵动力在2025年围绕AI应用验证三十多个方向，并于下半年将短剧确定为较明确的商业化方向，进而形成相应人员配置和业务推进基础。短剧业务对项目估值和投资窗口的支撑强度，仍取决于适用产业政策、监管准入、行业规模、可比公司、内容资质及商业转化情况。</w:t>
      </w:r>
    </w:p>
    <w:p>
      <w:pPr>
        <w:keepLines w:val="false"/>
        <w:spacing w:after="0" w:before="0" w:line="360"/>
        <w:ind w:firstLine="480"/>
        <w:jc w:val="both"/>
      </w:pPr>
      <w:r>
        <w:rPr>
          <w:rFonts w:ascii="Songti SC" w:cs="Songti SC" w:eastAsia="Songti SC" w:hAnsi="Songti SC"/>
          <w:color w:val="000000"/>
          <w:sz w:val="24"/>
          <w:szCs w:val="24"/>
        </w:rPr>
        <w:t xml:space="preserve">团队具备一定交付组织基础。公司目前约138人，研发团队四十余人，其中合肥约三十人为主力，另在杭州、北京等地配置人员；商务团队约二十至三十人，主要依靠老客户转介绍和创始人资源获客，沈教授带领的清华学生团队承担前沿技术研究与论文产出。关键人员履历、劳动关系、全职投入、股权激励及核心成员稳定性仍需通过履历核验、人员访谈、劳动合同及背景调查进一步确认。</w:t>
      </w:r>
    </w:p>
    <w:p>
      <w:pPr>
        <w:keepLines w:val="false"/>
        <w:spacing w:after="0" w:before="0" w:line="360"/>
        <w:ind w:firstLine="480"/>
        <w:jc w:val="both"/>
      </w:pPr>
      <w:r>
        <w:rPr>
          <w:rFonts w:ascii="Songti SC" w:cs="Songti SC" w:eastAsia="Songti SC" w:hAnsi="Songti SC"/>
          <w:color w:val="000000"/>
          <w:sz w:val="24"/>
          <w:szCs w:val="24"/>
        </w:rPr>
        <w:t xml:space="preserve">技术差异化已有业务验证线索。字幕环节已实现全自动化，公司通过控制符技术处理AI生成内容的穿模和动作失控问题，内容合格率达到95%以上，并形成每二十天交付五千分钟内容的生产节奏，下一轮订单目标拟提升至一万分钟。上述指标仍需核验测试口径、样本范围、客户验收标准、知识产权归属及竞品对比，以确认其可重复性、商业化能力和跨场景适用性。</w:t>
      </w:r>
    </w:p>
    <w:p>
      <w:pPr>
        <w:keepLines w:val="false"/>
        <w:spacing w:after="0" w:before="0" w:line="360"/>
        <w:ind w:firstLine="480"/>
        <w:jc w:val="both"/>
      </w:pPr>
      <w:r>
        <w:rPr>
          <w:rFonts w:ascii="Songti SC" w:cs="Songti SC" w:eastAsia="Songti SC" w:hAnsi="Songti SC"/>
          <w:color w:val="000000"/>
          <w:sz w:val="24"/>
          <w:szCs w:val="24"/>
        </w:rPr>
        <w:t xml:space="preserve">客户验证已出现多场景线索。公司已完成集鑫风控审核场景Demo开发，相关项目正在推进内部流程；同时已对接广博股份、海城邦达两家上市公司，单客潜在订单规模为二百万元级，并涉及成泰科技电力设备设计参数优化、华为超聚变智能体安全算法优化及济南病虫害监测等项目。相关客户和场景有助于验证技术横向迁移能力，但多项业务仍处于流程、对接或首次沟通阶段，真实转化率和收入确认边界应以合同、采购订单、验收报告、回款记录及客户访谈核验。</w:t>
      </w:r>
    </w:p>
    <w:p>
      <w:pPr>
        <w:keepLines w:val="false"/>
        <w:spacing w:after="0" w:before="0" w:line="360"/>
        <w:ind w:firstLine="480"/>
        <w:jc w:val="both"/>
      </w:pPr>
      <w:r>
        <w:rPr>
          <w:rFonts w:ascii="Songti SC" w:cs="Songti SC" w:eastAsia="Songti SC" w:hAnsi="Songti SC"/>
          <w:color w:val="000000"/>
          <w:sz w:val="24"/>
          <w:szCs w:val="24"/>
        </w:rPr>
        <w:t xml:space="preserve">商业模式具备从代工向行业方案延展的可能。短剧团队部分人员正在开展自营短剧业务并已申请相关牌照，业务定位不再限于代工；同时，公司拟与集鑫方设立聚焦金融行业智能体业务的合资公司，由集鑫方主导运营、智灵动力提供技术支持，获客以老客户转介绍和创始人资源为核心，并辅以陌拜、行业活动和内容平台拓展。该安排可能形成内容交付、自营内容和行业智能体解决方案并行的成长路径，但股权比例、治理架构、业务归属、结算方式、研发投入及资金回流机制尚未敲定，商业模式的可复制性和利润留存能力仍需专项测算。</w:t>
      </w:r>
    </w:p>
    <w:p>
      <w:pPr>
        <w:pStyle w:val="13"/>
        <w:keepNext/>
        <w:keepLines/>
        <w:numPr>
          <w:ilvl w:val="0"/>
          <w:numId w:val="1"/>
        </w:numPr>
        <w:spacing w:after="0" w:before="240" w:line="360"/>
        <w:ind w:firstLine="0"/>
        <w:jc w:val="left"/>
      </w:pPr>
      <w:r>
        <w:rPr>
          <w:rFonts w:ascii="Songti SC" w:cs="Songti SC" w:eastAsia="Songti SC" w:hAnsi="Songti SC"/>
          <w:b/>
          <w:bCs/>
          <w:color w:val="000000"/>
          <w:sz w:val="24"/>
          <w:szCs w:val="24"/>
        </w:rPr>
        <w:t xml:space="preserve">投资计划</w:t>
      </w:r>
    </w:p>
    <w:p>
      <w:pPr>
        <w:keepLines w:val="false"/>
        <w:spacing w:after="0" w:before="0" w:line="360"/>
        <w:ind w:firstLine="480"/>
        <w:jc w:val="both"/>
      </w:pPr>
      <w:r>
        <w:rPr>
          <w:rFonts w:ascii="Songti SC" w:cs="Songti SC" w:eastAsia="Songti SC" w:hAnsi="Songti SC"/>
          <w:color w:val="000000"/>
          <w:sz w:val="24"/>
          <w:szCs w:val="24"/>
        </w:rPr>
        <w:t xml:space="preserve">公司以2026年底估值达到60亿元为阶段性目标，具体估值依据、可比公司口径和业绩支撑仍需专项核验。</w:t>
      </w:r>
    </w:p>
    <w:p>
      <w:pPr>
        <w:keepLines w:val="false"/>
        <w:spacing w:after="0" w:before="0" w:line="360"/>
        <w:ind w:firstLine="480"/>
        <w:jc w:val="both"/>
      </w:pPr>
      <w:r>
        <w:rPr>
          <w:rFonts w:ascii="Songti SC" w:cs="Songti SC" w:eastAsia="Songti SC" w:hAnsi="Songti SC"/>
          <w:color w:val="000000"/>
          <w:sz w:val="24"/>
          <w:szCs w:val="24"/>
        </w:rPr>
        <w:t xml:space="preserve">下一轮融资计划联动杭州属地政府产业基金、老股东和财务机构，目标融资规模约1亿元，具体出资构成、融资方式及时间安排尚待明确。</w:t>
      </w:r>
    </w:p>
    <w:p>
      <w:pPr>
        <w:keepLines w:val="false"/>
        <w:spacing w:after="0" w:before="0" w:line="360"/>
        <w:ind w:firstLine="480"/>
        <w:jc w:val="both"/>
      </w:pPr>
      <w:r>
        <w:rPr>
          <w:rFonts w:ascii="Songti SC" w:cs="Songti SC" w:eastAsia="Songti SC" w:hAnsi="Songti SC"/>
          <w:color w:val="000000"/>
          <w:sz w:val="24"/>
          <w:szCs w:val="24"/>
        </w:rPr>
        <w:t xml:space="preserve">融资完成后，公司计划对外发布自进化大模型，并继续迭代自适应参数、自我蒸馏及离线、在线蒸馏等核心能力，资金用途和里程碑应在正式融资方案中进一步量化。</w:t>
      </w:r>
    </w:p>
    <w:p>
      <w:pPr>
        <w:keepLines w:val="false"/>
        <w:spacing w:after="0" w:before="0" w:line="360"/>
        <w:ind w:firstLine="480"/>
        <w:jc w:val="both"/>
      </w:pPr>
      <w:r>
        <w:rPr>
          <w:rFonts w:ascii="Songti SC" w:cs="Songti SC" w:eastAsia="Songti SC" w:hAnsi="Songti SC"/>
          <w:color w:val="000000"/>
          <w:sz w:val="24"/>
          <w:szCs w:val="24"/>
        </w:rPr>
        <w:t xml:space="preserve">本轮融资拟重点支持自进化大模型能力迭代、产品发布与商业化落地，具体估值依据、投资金额、交易方式、持股比例及交割条件尚待进一步明确。</w:t>
      </w:r>
    </w:p>
    <w:p>
      <w:pPr>
        <w:pStyle w:val="13"/>
        <w:keepNext/>
        <w:keepLines/>
        <w:numPr>
          <w:ilvl w:val="0"/>
          <w:numId w:val="1"/>
        </w:numPr>
        <w:spacing w:after="0" w:before="240" w:line="360"/>
        <w:ind w:firstLine="0"/>
        <w:jc w:val="left"/>
      </w:pPr>
      <w:r>
        <w:rPr>
          <w:rFonts w:ascii="Songti SC" w:cs="Songti SC" w:eastAsia="Songti SC" w:hAnsi="Songti SC"/>
          <w:b/>
          <w:bCs/>
          <w:color w:val="000000"/>
          <w:sz w:val="24"/>
          <w:szCs w:val="24"/>
        </w:rPr>
        <w:t xml:space="preserve">投资情形分析</w:t>
      </w:r>
    </w:p>
    <w:p>
      <w:pPr>
        <w:keepLines w:val="false"/>
        <w:spacing w:after="0" w:before="0" w:line="360"/>
        <w:ind w:firstLine="480"/>
        <w:jc w:val="both"/>
      </w:pPr>
      <w:r>
        <w:rPr>
          <w:rFonts w:ascii="Songti SC" w:cs="Songti SC" w:eastAsia="Songti SC" w:hAnsi="Songti SC"/>
          <w:color w:val="000000"/>
          <w:sz w:val="24"/>
          <w:szCs w:val="24"/>
        </w:rPr>
        <w:t xml:space="preserve">投资方式及投资限制方面，公司计划下一轮联动杭州属地政府产业基金、老股东及财务机构，融资规模约1亿元。应根据拟议增资、股权受让或专项载体安排识别交易路径，并逐项核对基金协议中的禁止性和限制性条款；最终结论取决于基金合伙协议、投资限制条款和正式交易方案。</w:t>
      </w:r>
    </w:p>
    <w:p>
      <w:pPr>
        <w:keepLines w:val="false"/>
        <w:spacing w:after="0" w:before="0" w:line="360"/>
        <w:ind w:firstLine="480"/>
        <w:jc w:val="both"/>
      </w:pPr>
      <w:r>
        <w:rPr>
          <w:rFonts w:ascii="Songti SC" w:cs="Songti SC" w:eastAsia="Songti SC" w:hAnsi="Songti SC"/>
          <w:color w:val="000000"/>
          <w:sz w:val="24"/>
          <w:szCs w:val="24"/>
        </w:rPr>
        <w:t xml:space="preserve">返投要求方面，公司拟与集鑫方设立聚焦金融行业智能体业务的合资公司，由集鑫方主导运营、智灵动力提供技术支持。可结合项目主体、注册地、研发人员、业务及投资落地安排识别潜在返投承载项，再按适用返投口径计算；最终认定取决于基金返投条款、返投认定规则和最新返投台账。</w:t>
      </w:r>
    </w:p>
    <w:p>
      <w:pPr>
        <w:keepLines w:val="false"/>
        <w:spacing w:after="0" w:before="0" w:line="360"/>
        <w:ind w:firstLine="480"/>
        <w:jc w:val="both"/>
      </w:pPr>
      <w:r>
        <w:rPr>
          <w:rFonts w:ascii="Songti SC" w:cs="Songti SC" w:eastAsia="Songti SC" w:hAnsi="Songti SC"/>
          <w:color w:val="000000"/>
          <w:sz w:val="24"/>
          <w:szCs w:val="24"/>
        </w:rPr>
        <w:t xml:space="preserve">关联交易方面，公司获客主要依赖老客户转介绍和创始人资源，商务团队同时通过陌拜、行业活动和内容平台拓展客户。应将项目主体、股东、实际控制人、核心团队和交易参与方纳入关联关系筛查，并与管理人、基金投资人及其关联方名单交叉比对；最终结论取决于关联关系核查表、利益冲突声明和相关主体清单。</w:t>
      </w:r>
    </w:p>
    <w:p>
      <w:pPr>
        <w:keepLines w:val="false"/>
        <w:spacing w:after="0" w:before="0" w:line="360"/>
        <w:ind w:firstLine="480"/>
        <w:jc w:val="both"/>
      </w:pPr>
      <w:r>
        <w:rPr>
          <w:rFonts w:ascii="Songti SC" w:cs="Songti SC" w:eastAsia="Songti SC" w:hAnsi="Songti SC"/>
          <w:color w:val="000000"/>
          <w:sz w:val="24"/>
          <w:szCs w:val="24"/>
        </w:rPr>
        <w:t xml:space="preserve">投资方向方面，拟设合资公司聚焦金融行业智能体业务，由集鑫方主导运营、智灵动力提供技术支持。可依据主营业务、产品技术和产业链位置形成方向匹配的初步判断，再与基金约定的投资范围、地域和阶段限制逐项比对；最终结论取决于基金投资范围及主营业务核验结果。</w:t>
      </w:r>
    </w:p>
    <w:p>
      <w:pPr>
        <w:keepLines w:val="false"/>
        <w:spacing w:after="0" w:before="0" w:line="360"/>
        <w:ind w:firstLine="480"/>
        <w:jc w:val="both"/>
      </w:pPr>
      <w:r>
        <w:rPr>
          <w:rFonts w:ascii="Songti SC" w:cs="Songti SC" w:eastAsia="Songti SC" w:hAnsi="Songti SC"/>
          <w:color w:val="000000"/>
          <w:sz w:val="24"/>
          <w:szCs w:val="24"/>
        </w:rPr>
        <w:t xml:space="preserve">投资配置方面，公司以2026年底估值达到60亿元为目标。应结合项目阶段、融资安排和拟议交易路径判断采用直接投资或专项载体的合理性，并核对基金配置比例及载体限制；最终结论取决于基金配置条款、专项载体或直投方案及最新配置台账。</w:t>
      </w:r>
    </w:p>
    <w:p>
      <w:pPr>
        <w:keepLines w:val="false"/>
        <w:spacing w:after="0" w:before="0" w:line="360"/>
        <w:ind w:firstLine="480"/>
        <w:jc w:val="both"/>
      </w:pPr>
      <w:r>
        <w:rPr>
          <w:rFonts w:ascii="Songti SC" w:cs="Songti SC" w:eastAsia="Songti SC" w:hAnsi="Songti SC"/>
          <w:color w:val="000000"/>
          <w:sz w:val="24"/>
          <w:szCs w:val="24"/>
        </w:rPr>
        <w:t xml:space="preserve">投资集中度方面，公司以2026年底估值达到60亿元为目标，但本轮具体投资金额尚未明确。应以本次及对同一项目的累计风险敞口为分子，分别以基金认缴规模和实缴规模为分母测算，并与协议限额比较；最终结论取决于基金合伙协议、基金规模台账以及本次和累计投资金额。</w:t>
      </w:r>
    </w:p>
    <w:p>
      <w:pPr>
        <w:keepLines w:val="false"/>
        <w:spacing w:after="0" w:before="0" w:line="360"/>
        <w:ind w:firstLine="480"/>
        <w:jc w:val="both"/>
      </w:pPr>
      <w:r>
        <w:rPr>
          <w:rFonts w:ascii="Songti SC" w:cs="Songti SC" w:eastAsia="Songti SC" w:hAnsi="Songti SC"/>
          <w:color w:val="000000"/>
          <w:sz w:val="24"/>
          <w:szCs w:val="24"/>
        </w:rPr>
        <w:t xml:space="preserve">其他法律法规、监管规定及基金合规要求方面，应围绕人工智能生成内容、数据处理、算法服务、短剧制作及跨境平台业务，核查主体登记、许可备案、数据与个人信息保护、知识产权、劳动用工、税务、诉讼处罚、失信制裁和投决程序。相关事项完成主管部门核验并落实至交易文件前，不宜形成无保留合规结论。</w:t>
      </w:r>
    </w:p>
    <w:p>
      <w:pPr>
        <w:keepNext/>
        <w:keepLines w:val="false"/>
        <w:spacing w:after="0" w:before="240" w:line="360"/>
        <w:ind w:firstLine="480"/>
        <w:jc w:val="both"/>
      </w:pPr>
      <w:r>
        <w:rPr>
          <w:rFonts w:ascii="Songti SC" w:cs="Songti SC" w:eastAsia="Songti SC" w:hAnsi="Songti SC"/>
          <w:color w:val="000000"/>
          <w:sz w:val="24"/>
          <w:szCs w:val="24"/>
        </w:rPr>
        <w:t xml:space="preserve">综上，部分基金约束、交易安排及专项核验事项尚未闭环；在完成必要审批、落实交易前提并经法务或风控人员复核前，不得形成无保留合规结论，最终以正式法律意见和交易文件为准。</w:t>
      </w:r>
    </w:p>
    <w:p>
      <w:pPr>
        <w:keepNext/>
        <w:spacing w:after="0" w:before="240" w:line="360"/>
        <w:jc w:val="right"/>
      </w:pPr>
      <w:r>
        <w:rPr>
          <w:rFonts w:ascii="Songti SC" w:cs="Songti SC" w:eastAsia="Songti SC" w:hAnsi="Songti SC"/>
          <w:color w:val="000000"/>
          <w:sz w:val="24"/>
          <w:szCs w:val="24"/>
        </w:rPr>
        <w:t xml:space="preserve">浙江赛智伯乐股权投资管理有限公司</w:t>
      </w:r>
    </w:p>
    <w:p>
      <w:pPr>
        <w:spacing w:after="0" w:before="240" w:line="360"/>
        <w:jc w:val="right"/>
      </w:pPr>
      <w:r>
        <w:rPr>
          <w:rFonts w:ascii="Songti SC" w:cs="Songti SC" w:eastAsia="Songti SC" w:hAnsi="Songti SC"/>
          <w:color w:val="000000"/>
          <w:sz w:val="24"/>
          <w:szCs w:val="24"/>
        </w:rPr>
        <w:t xml:space="preserve">2026年   7   月   31   日</w:t>
      </w:r>
    </w:p>
    <w:sectPr>
      <w:pgSz w:w="11906" w:h="16838" w:orient="portrait"/>
      <w:pgMar w:top="1440" w:right="1800" w:bottom="1440" w:left="1800" w:header="851"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ongti SC"/>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STHeiti"/>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iti SC Medium">
    <w:panose1 w:val="02000000000000000000"/>
    <w:charset w:val="80"/>
    <w:family w:val="auto"/>
    <w:pitch w:val="default"/>
    <w:sig w:usb0="8000002F" w:usb1="0800004A" w:usb2="00000000" w:usb3="00000000" w:csb0="203E0000"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ongti SC">
    <w:altName w:val="宋体"/>
    <w:charset w:val="86"/>
    <w:family w:val="auto"/>
    <w:pitch w:val="default"/>
  </w:font>
  <w:font w:name="STHeiti">
    <w:altName w:val="黑体"/>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E312E"/>
    <w:multiLevelType w:val="multilevel"/>
    <w:tmpl w:val="014E312E"/>
    <w:lvl w:ilvl="0" w:tentative="0">
      <w:start w:val="1"/>
      <w:numFmt w:val="chi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2164B8D"/>
    <w:multiLevelType w:val="multilevel"/>
    <w:tmpl w:val="52164B8D"/>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7F7EE99A"/>
    <w:multiLevelType w:val="singleLevel"/>
    <w:tmpl w:val="7F7EE99A"/>
    <w:lvl w:ilvl="0" w:tentative="0">
      <w:start w:val="1"/>
      <w:numFmt w:val="decimal"/>
      <w:suff w:val="nothing"/>
      <w:lvlText w:val="%1、"/>
      <w:lvlJc w:val="left"/>
    </w:lvl>
  </w:abstractNum>
  <w:num w:numId="1">
    <w:abstractNumId w:val="0"/>
  </w:num>
  <w:num w:numId="2">
    <w:abstractNumId w:val="1"/>
  </w:num>
  <w:num w:numId="3">
    <w:abstractNumId w:val="2"/>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hint="eastAsia" w:asciiTheme="minorHAnsi" w:hAnsiTheme="minorHAnsi" w:eastAsiaTheme="minorEastAsia" w:cstheme="minorBidi"/>
      <w:kern w:val="2"/>
      <w:sz w:val="32"/>
      <w:szCs w:val="22"/>
      <w:lang w:val="en-US" w:eastAsia="zh-CN" w:bidi="ar-SA"/>
    </w:rPr>
  </w:style>
  <w:style w:type="paragraph" w:styleId="2">
    <w:name w:val="heading 1"/>
    <w:basedOn w:val="1"/>
    <w:next w:val="1"/>
    <w:qFormat/>
    <w:uiPriority w:val="9"/>
    <w:pPr>
      <w:keepNext/>
      <w:keepLines/>
      <w:spacing w:before="340" w:after="330" w:line="576" w:lineRule="auto"/>
      <w:outlineLvl w:val="0"/>
    </w:pPr>
    <w:rPr>
      <w:rFonts w:hint="default" w:eastAsia="Heiti SC Medium"/>
      <w:b/>
      <w:kern w:val="44"/>
      <w:sz w:val="30"/>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Heiti SC Medium"/>
      <w:b/>
      <w:sz w:val="28"/>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Emphasis"/>
    <w:basedOn w:val="9"/>
    <w:qFormat/>
    <w:uiPriority w:val="20"/>
    <w:rPr>
      <w:i/>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paragraph" w:customStyle="1" w:styleId="14">
    <w:name w:val="Revision"/>
    <w:hidden/>
    <w:unhideWhenUsed/>
    <w:uiPriority w:val="99"/>
    <w:rPr>
      <w:rFonts w:hint="eastAsia" w:asciiTheme="minorHAnsi" w:hAnsiTheme="minorHAnsi" w:eastAsiaTheme="minorEastAsia" w:cstheme="minorBidi"/>
      <w:kern w:val="2"/>
      <w:sz w:val="32"/>
      <w:szCs w:val="22"/>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关于智灵动力项目投资合规性的说明</dc:title>
  <dc:creator>浙江赛智伯乐股权投资管理有限公司投资中台</dc:creator>
  <dc:description>合规性说明 AI 初稿；使用 docs 公司参考模板的版式规范</dc:description>
  <cp:lastModifiedBy>Un-named</cp:lastModifiedBy>
  <cp:revision>1</cp:revision>
  <dcterms:created xsi:type="dcterms:W3CDTF">2026-07-31T08:21:22.569Z</dcterms:created>
  <dcterms:modified xsi:type="dcterms:W3CDTF">2026-07-31T08:21:22.569Z</dcterms:modified>
</cp:coreProperties>
</file>

<file path=docProps/custom.xml><?xml version="1.0" encoding="utf-8"?>
<Properties xmlns="http://schemas.openxmlformats.org/officeDocument/2006/custom-properties" xmlns:vt="http://schemas.openxmlformats.org/officeDocument/2006/docPropsVTypes"/>
</file>