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STHeiti" w:cs="STHeiti" w:eastAsia="STHeiti" w:hAnsi="STHeiti"/>
          <w:color w:val="000000"/>
          <w:sz w:val="28"/>
          <w:szCs w:val="28"/>
        </w:rPr>
        <w:t xml:space="preserve">关于智灵动力项目投资合规性的说明</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公司情况介绍</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公司简介</w:t>
      </w:r>
    </w:p>
    <w:p>
      <w:pPr>
        <w:keepLines w:val="false"/>
        <w:spacing w:after="0" w:before="0" w:line="360"/>
        <w:ind w:firstLine="480"/>
        <w:jc w:val="both"/>
      </w:pPr>
      <w:r>
        <w:rPr>
          <w:rFonts w:ascii="Songti SC" w:cs="Songti SC" w:eastAsia="Songti SC" w:hAnsi="Songti SC"/>
          <w:color w:val="000000"/>
          <w:sz w:val="24"/>
          <w:szCs w:val="24"/>
        </w:rPr>
        <w:t xml:space="preserve">智灵动力成立初期承接清博相关技术和商务人员，2025年围绕AI应用开展多方向业务试验，并在下半年将短剧确定为重点商业化方向，随后组建专门团队。短剧及相关内容业务由合肥全资子公司元娲运营，与北京主体相对独立。公司工商登记全称、注册资本、股权层级及各主体业务边界尚待核实。</w:t>
      </w:r>
    </w:p>
    <w:p>
      <w:pPr>
        <w:keepLines w:val="false"/>
        <w:spacing w:after="0" w:before="0" w:line="360"/>
        <w:ind w:firstLine="480"/>
        <w:jc w:val="both"/>
      </w:pPr>
      <w:r>
        <w:rPr>
          <w:rFonts w:ascii="Songti SC" w:cs="Songti SC" w:eastAsia="Songti SC" w:hAnsi="Songti SC"/>
          <w:color w:val="000000"/>
          <w:sz w:val="24"/>
          <w:szCs w:val="24"/>
        </w:rPr>
        <w:t xml:space="preserve">公司现有业务包括轻量智能体、金融行业智能体技术支持、TikTok转绘、短剧自营和一键成书系统。轻量智能体拟用于项目获取、PPT生成、数据表格整理和投后权益分析等场景；短剧及TikTok相关业务按制作费加流量利润分成收费；一键成书系统仍在内测。公司正在停止传统非AI软件项目，并对短剧团队进行人员调整。</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核心团队</w:t>
      </w:r>
    </w:p>
    <w:p>
      <w:pPr>
        <w:keepLines w:val="false"/>
        <w:spacing w:after="0" w:before="0" w:line="360"/>
        <w:ind w:firstLine="480"/>
        <w:jc w:val="both"/>
      </w:pPr>
      <w:r>
        <w:rPr>
          <w:rFonts w:ascii="Songti SC" w:cs="Songti SC" w:eastAsia="Songti SC" w:hAnsi="Songti SC"/>
          <w:color w:val="000000"/>
          <w:sz w:val="24"/>
          <w:szCs w:val="24"/>
        </w:rPr>
        <w:t xml:space="preserve">公司现有人员约138人，研发团队四十余人，其中合肥约三十人，杭州和北京另有人员配置。沈教授带领的清华学生团队主要承担前沿技术研究和论文产出。沈教授与公司的任职关系、全职投入以及核心研发人员名单尚待核实。</w:t>
      </w:r>
    </w:p>
    <w:p>
      <w:pPr>
        <w:keepLines w:val="false"/>
        <w:spacing w:after="0" w:before="0" w:line="360"/>
        <w:ind w:firstLine="480"/>
        <w:jc w:val="both"/>
      </w:pPr>
      <w:r>
        <w:rPr>
          <w:rFonts w:ascii="Songti SC" w:cs="Songti SC" w:eastAsia="Songti SC" w:hAnsi="Songti SC"/>
          <w:color w:val="000000"/>
          <w:sz w:val="24"/>
          <w:szCs w:val="24"/>
        </w:rPr>
        <w:t xml:space="preserve">公司商务团队约二十至三十人，成员分布在不同地区，主要负责客户拓展、需求衔接和商务转化。现阶段获客以老客户转介绍和创始人资源对接为主，同时通过陌生拜访、行业活动和内容平台拓展客户。</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产品及技术</w:t>
      </w:r>
    </w:p>
    <w:p>
      <w:pPr>
        <w:keepLines w:val="false"/>
        <w:spacing w:after="0" w:before="0" w:line="360"/>
        <w:ind w:firstLine="480"/>
        <w:jc w:val="both"/>
      </w:pPr>
      <w:r>
        <w:rPr>
          <w:rFonts w:ascii="Songti SC" w:cs="Songti SC" w:eastAsia="Songti SC" w:hAnsi="Songti SC"/>
          <w:color w:val="000000"/>
          <w:sz w:val="24"/>
          <w:szCs w:val="24"/>
        </w:rPr>
        <w:t xml:space="preserve">公司目前提供算法优化和算法工程化服务，主要为客户完成算法加速、参数优化和性能提升，交付物为算法代码或编译程序，不承担完整系统集成。服务场景包括算法优化、论文转算法、黑盒系统优化以及数据集与算法一体化开发。</w:t>
      </w:r>
    </w:p>
    <w:p>
      <w:pPr>
        <w:keepLines w:val="false"/>
        <w:spacing w:after="0" w:before="0" w:line="360"/>
        <w:ind w:firstLine="480"/>
        <w:jc w:val="both"/>
      </w:pPr>
      <w:r>
        <w:rPr>
          <w:rFonts w:ascii="Songti SC" w:cs="Songti SC" w:eastAsia="Songti SC" w:hAnsi="Songti SC"/>
          <w:color w:val="000000"/>
          <w:sz w:val="24"/>
          <w:szCs w:val="24"/>
        </w:rPr>
        <w:t xml:space="preserve">公司已搭建算法工厂平台，主要通过接口对接客户既有系统，以减少系统替换和实施成本。公司还计划在智能办公系统中加入自进化、本体构建和信号发现等功能。平台架构、代码资产、模型权属和安全边界应结合技术白皮书、部署文档及知识产权清单核对。</w:t>
      </w:r>
    </w:p>
    <w:p>
      <w:pPr>
        <w:keepLines w:val="false"/>
        <w:spacing w:after="0" w:before="0" w:line="360"/>
        <w:ind w:firstLine="480"/>
        <w:jc w:val="both"/>
      </w:pPr>
      <w:r>
        <w:rPr>
          <w:rFonts w:ascii="Songti SC" w:cs="Songti SC" w:eastAsia="Songti SC" w:hAnsi="Songti SC"/>
          <w:color w:val="000000"/>
          <w:sz w:val="24"/>
          <w:szCs w:val="24"/>
        </w:rPr>
        <w:t xml:space="preserve">公司将自进化优化作为主要技术方向，并称其压缩算法已获得第三方机构认证。认证报告、测试样本、评测方法和可复现实验记录尚未完成核对，在确认认证范围及同类技术比较结果前，不宜据此认定公司具有排他性技术优势。</w:t>
      </w:r>
    </w:p>
    <w:p>
      <w:pPr>
        <w:keepLines w:val="false"/>
        <w:spacing w:after="0" w:before="0" w:line="360"/>
        <w:ind w:firstLine="480"/>
        <w:jc w:val="both"/>
      </w:pPr>
      <w:r>
        <w:rPr>
          <w:rFonts w:ascii="Songti SC" w:cs="Songti SC" w:eastAsia="Songti SC" w:hAnsi="Songti SC"/>
          <w:color w:val="000000"/>
          <w:sz w:val="24"/>
          <w:szCs w:val="24"/>
        </w:rPr>
        <w:t xml:space="preserve">公司正在推进华为超聚变智能体安全算法优化和济南病虫害监测等项目，前者金额约180万元，后者预计为1000万元至2000万元，济南项目已召开首次沟通会。前述项目仍处于签约或推进阶段，合同、验收、回款和客户确认情况尚未完成核对。</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投资理由</w:t>
      </w:r>
    </w:p>
    <w:p>
      <w:pPr>
        <w:keepLines w:val="false"/>
        <w:spacing w:after="0" w:before="0" w:line="360"/>
        <w:ind w:firstLine="480"/>
        <w:jc w:val="both"/>
      </w:pPr>
      <w:r>
        <w:rPr>
          <w:rFonts w:ascii="Songti SC" w:cs="Songti SC" w:eastAsia="Songti SC" w:hAnsi="Songti SC"/>
          <w:color w:val="000000"/>
          <w:sz w:val="24"/>
          <w:szCs w:val="24"/>
        </w:rPr>
        <w:t xml:space="preserve">短剧是公司在2025年试验三十多个AI应用方向后确定的重点业务之一，公司已据此配置专门团队并开展业务推进。该业务能否形成稳定收入，应结合内容资质、监管要求、正式订单、交付和回款情况判断。</w:t>
      </w:r>
    </w:p>
    <w:p>
      <w:pPr>
        <w:keepLines w:val="false"/>
        <w:spacing w:after="0" w:before="0" w:line="360"/>
        <w:ind w:firstLine="480"/>
        <w:jc w:val="both"/>
      </w:pPr>
      <w:r>
        <w:rPr>
          <w:rFonts w:ascii="Songti SC" w:cs="Songti SC" w:eastAsia="Songti SC" w:hAnsi="Songti SC"/>
          <w:color w:val="000000"/>
          <w:sz w:val="24"/>
          <w:szCs w:val="24"/>
        </w:rPr>
        <w:t xml:space="preserve">公司现有人员约138人，研发团队四十余人，商务团队约二十至三十人，并配置清华学生团队承担前沿技术研究和论文产出。现有人员规模能够支持多条业务线的研发和交付，但关键人员履历、劳动关系、全职投入、股权激励及核心成员稳定性仍待核实。</w:t>
      </w:r>
    </w:p>
    <w:p>
      <w:pPr>
        <w:keepLines w:val="false"/>
        <w:spacing w:after="0" w:before="0" w:line="360"/>
        <w:ind w:firstLine="480"/>
        <w:jc w:val="both"/>
      </w:pPr>
      <w:r>
        <w:rPr>
          <w:rFonts w:ascii="Songti SC" w:cs="Songti SC" w:eastAsia="Songti SC" w:hAnsi="Songti SC"/>
          <w:color w:val="000000"/>
          <w:sz w:val="24"/>
          <w:szCs w:val="24"/>
        </w:rPr>
        <w:t xml:space="preserve">公司已在字幕环节实现自动化处理，并通过控制符技术处理AI生成内容的穿模和动作失控问题，公司称内容合格率达到95%以上，目前每二十天可交付五千分钟内容，下一轮订单目标为一万分钟。上述指标应按统一测试口径核对样本范围、客户验收标准和知识产权归属。</w:t>
      </w:r>
    </w:p>
    <w:p>
      <w:pPr>
        <w:keepLines w:val="false"/>
        <w:spacing w:after="0" w:before="0" w:line="360"/>
        <w:ind w:firstLine="480"/>
        <w:jc w:val="both"/>
      </w:pPr>
      <w:r>
        <w:rPr>
          <w:rFonts w:ascii="Songti SC" w:cs="Songti SC" w:eastAsia="Songti SC" w:hAnsi="Songti SC"/>
          <w:color w:val="000000"/>
          <w:sz w:val="24"/>
          <w:szCs w:val="24"/>
        </w:rPr>
        <w:t xml:space="preserve">公司已完成集鑫风控审核场景Demo开发，相关项目正在履行内部流程；另已对接广博股份、海城邦达，单个客户的潜在订单规模为二百万元级。公司同时推进成泰科技电力设备设计参数优化、华为超聚变智能体安全算法优化及济南病虫害监测等项目。多数项目仍处于流程审批、业务对接或首次沟通阶段，商业转化应以合同、验收和回款记录为准。</w:t>
      </w:r>
    </w:p>
    <w:p>
      <w:pPr>
        <w:keepLines w:val="false"/>
        <w:spacing w:after="0" w:before="0" w:line="360"/>
        <w:ind w:firstLine="480"/>
        <w:jc w:val="both"/>
      </w:pPr>
      <w:r>
        <w:rPr>
          <w:rFonts w:ascii="Songti SC" w:cs="Songti SC" w:eastAsia="Songti SC" w:hAnsi="Songti SC"/>
          <w:color w:val="000000"/>
          <w:sz w:val="24"/>
          <w:szCs w:val="24"/>
        </w:rPr>
        <w:t xml:space="preserve">短剧团队部分人员正在开展自营短剧业务并申请相关牌照，公司拟由单纯代工向自营内容延伸。公司还拟与集鑫方设立金融行业智能体合资公司，由集鑫方负责运营，智灵动力提供技术支持。合资公司的股权比例、治理安排、业务归属、结算方式、研发投入和资金回流机制尚未确定。</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投资计划</w:t>
      </w:r>
    </w:p>
    <w:p>
      <w:pPr>
        <w:keepLines w:val="false"/>
        <w:spacing w:after="0" w:before="0" w:line="360"/>
        <w:ind w:firstLine="480"/>
        <w:jc w:val="both"/>
      </w:pPr>
      <w:r>
        <w:rPr>
          <w:rFonts w:ascii="Songti SC" w:cs="Songti SC" w:eastAsia="Songti SC" w:hAnsi="Songti SC"/>
          <w:color w:val="000000"/>
          <w:sz w:val="24"/>
          <w:szCs w:val="24"/>
        </w:rPr>
        <w:t xml:space="preserve">公司提出2026年底估值达到60亿元的阶段性目标。该目标采用的可比公司、收入预测和估值方法尚待明确。</w:t>
      </w:r>
    </w:p>
    <w:p>
      <w:pPr>
        <w:keepLines w:val="false"/>
        <w:spacing w:after="0" w:before="0" w:line="360"/>
        <w:ind w:firstLine="480"/>
        <w:jc w:val="both"/>
      </w:pPr>
      <w:r>
        <w:rPr>
          <w:rFonts w:ascii="Songti SC" w:cs="Songti SC" w:eastAsia="Songti SC" w:hAnsi="Songti SC"/>
          <w:color w:val="000000"/>
          <w:sz w:val="24"/>
          <w:szCs w:val="24"/>
        </w:rPr>
        <w:t xml:space="preserve">公司计划在下一轮融资中引入杭州属地政府产业基金、老股东和财务机构，融资规模约1亿元。各方出资金额、融资方式和时间安排尚未确定。</w:t>
      </w:r>
    </w:p>
    <w:p>
      <w:pPr>
        <w:keepLines w:val="false"/>
        <w:spacing w:after="0" w:before="0" w:line="360"/>
        <w:ind w:firstLine="480"/>
        <w:jc w:val="both"/>
      </w:pPr>
      <w:r>
        <w:rPr>
          <w:rFonts w:ascii="Songti SC" w:cs="Songti SC" w:eastAsia="Songti SC" w:hAnsi="Songti SC"/>
          <w:color w:val="000000"/>
          <w:sz w:val="24"/>
          <w:szCs w:val="24"/>
        </w:rPr>
        <w:t xml:space="preserve">融资资金拟用于自进化大模型能力迭代、产品发布和商业化落地，公司计划继续开发自适应参数、自我蒸馏以及离线、在线蒸馏等功能。具体资金用途、预算和阶段性里程碑应在融资方案中列明。</w:t>
      </w:r>
    </w:p>
    <w:p>
      <w:pPr>
        <w:keepLines w:val="false"/>
        <w:spacing w:after="0" w:before="0" w:line="360"/>
        <w:ind w:firstLine="480"/>
        <w:jc w:val="both"/>
      </w:pPr>
      <w:r>
        <w:rPr>
          <w:rFonts w:ascii="Songti SC" w:cs="Songti SC" w:eastAsia="Songti SC" w:hAnsi="Songti SC"/>
          <w:color w:val="000000"/>
          <w:sz w:val="24"/>
          <w:szCs w:val="24"/>
        </w:rPr>
        <w:t xml:space="preserve">本轮拟议交易的投前估值、我方投资金额、增资或股权受让方式、预计持股比例和交割条件均未确定，相关安排以正式融资方案和交易文件为准。</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投资情形分析</w:t>
      </w:r>
    </w:p>
    <w:p>
      <w:pPr>
        <w:keepLines w:val="false"/>
        <w:spacing w:after="0" w:before="0" w:line="360"/>
        <w:ind w:firstLine="480"/>
        <w:jc w:val="both"/>
      </w:pPr>
      <w:r>
        <w:rPr>
          <w:rFonts w:ascii="Songti SC" w:cs="Songti SC" w:eastAsia="Songti SC" w:hAnsi="Songti SC"/>
          <w:color w:val="000000"/>
          <w:sz w:val="24"/>
          <w:szCs w:val="24"/>
        </w:rPr>
        <w:t xml:space="preserve">公司计划在下一轮融资中引入杭州属地政府产业基金、老股东和财务机构，融资规模约1亿元，但尚未明确采用增资、股权受让或专项载体。交易方案确定后，应逐项核对基金合伙协议中的投资方式和限制条款。</w:t>
      </w:r>
    </w:p>
    <w:p>
      <w:pPr>
        <w:keepLines w:val="false"/>
        <w:spacing w:after="0" w:before="0" w:line="360"/>
        <w:ind w:firstLine="480"/>
        <w:jc w:val="both"/>
      </w:pPr>
      <w:r>
        <w:rPr>
          <w:rFonts w:ascii="Songti SC" w:cs="Songti SC" w:eastAsia="Songti SC" w:hAnsi="Songti SC"/>
          <w:color w:val="000000"/>
          <w:sz w:val="24"/>
          <w:szCs w:val="24"/>
        </w:rPr>
        <w:t xml:space="preserve">公司拟与集鑫方设立金融行业智能体合资公司，由集鑫方负责运营，智灵动力提供技术支持。该合资公司能否计入返投，应结合注册地、研发人员、业务和投资落地安排，按照基金返投条款、认定口径和台账计算。</w:t>
      </w:r>
    </w:p>
    <w:p>
      <w:pPr>
        <w:keepLines w:val="false"/>
        <w:spacing w:after="0" w:before="0" w:line="360"/>
        <w:ind w:firstLine="480"/>
        <w:jc w:val="both"/>
      </w:pPr>
      <w:r>
        <w:rPr>
          <w:rFonts w:ascii="Songti SC" w:cs="Songti SC" w:eastAsia="Songti SC" w:hAnsi="Songti SC"/>
          <w:color w:val="000000"/>
          <w:sz w:val="24"/>
          <w:szCs w:val="24"/>
        </w:rPr>
        <w:t xml:space="preserve">公司主要通过老客户转介绍和创始人资源获取客户，商务团队同时采用陌生拜访、行业活动和内容平台等方式拓展业务。本次交易应将项目主体、股东、实际控制人、核心团队和交易参与方纳入关联关系核查，并与管理人、基金投资人及其关联方名单交叉比对。</w:t>
      </w:r>
    </w:p>
    <w:p>
      <w:pPr>
        <w:keepLines w:val="false"/>
        <w:spacing w:after="0" w:before="0" w:line="360"/>
        <w:ind w:firstLine="480"/>
        <w:jc w:val="both"/>
      </w:pPr>
      <w:r>
        <w:rPr>
          <w:rFonts w:ascii="Songti SC" w:cs="Songti SC" w:eastAsia="Songti SC" w:hAnsi="Songti SC"/>
          <w:color w:val="000000"/>
          <w:sz w:val="24"/>
          <w:szCs w:val="24"/>
        </w:rPr>
        <w:t xml:space="preserve">公司现有业务涉及AI应用、算法优化、智能办公和内容生产，拟设合资公司聚焦金融行业智能体业务。上述业务与基金投资范围的匹配情况，应按照主营收入、核心产品、技术资产和产业链位置，与基金约定的行业、地域和阶段限制逐项比对。</w:t>
      </w:r>
    </w:p>
    <w:p>
      <w:pPr>
        <w:keepLines w:val="false"/>
        <w:spacing w:after="0" w:before="0" w:line="360"/>
        <w:ind w:firstLine="480"/>
        <w:jc w:val="both"/>
      </w:pPr>
      <w:r>
        <w:rPr>
          <w:rFonts w:ascii="Songti SC" w:cs="Songti SC" w:eastAsia="Songti SC" w:hAnsi="Songti SC"/>
          <w:color w:val="000000"/>
          <w:sz w:val="24"/>
          <w:szCs w:val="24"/>
        </w:rPr>
        <w:t xml:space="preserve">本轮拟议交易尚未确定由基金直接投资还是通过专项载体实施。投资实质和资产类型明确后，应核对基金配置比例、载体限制及穿透要求。</w:t>
      </w:r>
    </w:p>
    <w:p>
      <w:pPr>
        <w:keepLines w:val="false"/>
        <w:spacing w:after="0" w:before="0" w:line="360"/>
        <w:ind w:firstLine="480"/>
        <w:jc w:val="both"/>
      </w:pPr>
      <w:r>
        <w:rPr>
          <w:rFonts w:ascii="Songti SC" w:cs="Songti SC" w:eastAsia="Songti SC" w:hAnsi="Songti SC"/>
          <w:color w:val="000000"/>
          <w:sz w:val="24"/>
          <w:szCs w:val="24"/>
        </w:rPr>
        <w:t xml:space="preserve">公司提出2026年底估值达到60亿元的阶段性目标，但本轮具体投资金额尚未确定。集中度应以本次及对同一项目的累计风险敞口为分子，分别按基金认缴规模和实缴规模测算，并与协议限额比较。</w:t>
      </w:r>
    </w:p>
    <w:p>
      <w:pPr>
        <w:keepLines w:val="false"/>
        <w:spacing w:after="0" w:before="0" w:line="360"/>
        <w:ind w:firstLine="480"/>
        <w:jc w:val="both"/>
      </w:pPr>
      <w:r>
        <w:rPr>
          <w:rFonts w:ascii="Songti SC" w:cs="Songti SC" w:eastAsia="Songti SC" w:hAnsi="Songti SC"/>
          <w:color w:val="000000"/>
          <w:sz w:val="24"/>
          <w:szCs w:val="24"/>
        </w:rPr>
        <w:t xml:space="preserve">公司业务涉及人工智能生成内容、数据处理、算法服务、短剧制作和跨境平台运营。交割前应核查相关主体登记、许可备案、数据与个人信息保护、知识产权、劳动用工、税务、诉讼处罚、失信制裁和投决程序，并将必要条件写入交易文件。</w:t>
      </w:r>
    </w:p>
    <w:p>
      <w:pPr>
        <w:keepNext/>
        <w:keepLines/>
        <w:spacing w:after="0" w:before="240" w:line="360"/>
        <w:ind w:firstLine="480"/>
        <w:jc w:val="both"/>
      </w:pPr>
      <w:r>
        <w:rPr>
          <w:rFonts w:ascii="Songti SC" w:cs="Songti SC" w:eastAsia="Songti SC" w:hAnsi="Songti SC"/>
          <w:color w:val="000000"/>
          <w:sz w:val="24"/>
          <w:szCs w:val="24"/>
        </w:rPr>
        <w:t xml:space="preserve">综上，在补充核对基金合伙协议、返投台账、关联关系和本轮交易方案，并完成必要审批和交易文件约定后，可对本项目投资合规性形成最终结论。现阶段不宜作无保留判断，具体以法务或风控复核及正式交易文件为准。</w:t>
      </w:r>
    </w:p>
    <w:p>
      <w:pPr>
        <w:keepNext/>
        <w:keepLines/>
        <w:spacing w:after="0" w:before="240" w:line="360"/>
        <w:jc w:val="right"/>
      </w:pPr>
      <w:r>
        <w:rPr>
          <w:rFonts w:ascii="Songti SC" w:cs="Songti SC" w:eastAsia="Songti SC" w:hAnsi="Songti SC"/>
          <w:color w:val="000000"/>
          <w:sz w:val="24"/>
          <w:szCs w:val="24"/>
        </w:rPr>
        <w:t xml:space="preserve">浙江赛智伯乐股权投资管理有限公司</w:t>
      </w:r>
    </w:p>
    <w:p>
      <w:pPr>
        <w:keepLines/>
        <w:spacing w:after="0" w:before="240" w:line="360"/>
        <w:jc w:val="right"/>
      </w:pPr>
      <w:r>
        <w:rPr>
          <w:rFonts w:ascii="Songti SC" w:cs="Songti SC" w:eastAsia="Songti SC" w:hAnsi="Songti SC"/>
          <w:color w:val="000000"/>
          <w:sz w:val="24"/>
          <w:szCs w:val="24"/>
        </w:rPr>
        <w:t xml:space="preserve">2026年   7   月   31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2026-07-31T08:21:22.569Z</dcterms:created>
  <dcterms:modified xsi:type="dcterms:W3CDTF">2026-07-31T08:21:22.569Z</dcterms:modified>
</cp:coreProperties>
</file>

<file path=docProps/custom.xml><?xml version="1.0" encoding="utf-8"?>
<Properties xmlns="http://schemas.openxmlformats.org/officeDocument/2006/custom-properties" xmlns:vt="http://schemas.openxmlformats.org/officeDocument/2006/docPropsVTypes"/>
</file>