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B5214">
      <w:pPr>
        <w:snapToGrid w:val="0"/>
        <w:spacing w:line="360" w:lineRule="auto"/>
        <w:jc w:val="center"/>
        <w:rPr>
          <w:rFonts w:ascii="黑体" w:hAnsi="黑体" w:eastAsia="黑体"/>
          <w:color w:val="000000" w:themeColor="text1"/>
          <w:sz w:val="28"/>
          <w:szCs w:val="24"/>
          <w14:textFill>
            <w14:solidFill>
              <w14:schemeClr w14:val="tx1"/>
            </w14:solidFill>
          </w14:textFill>
        </w:rPr>
      </w:pPr>
      <w:r>
        <w:rPr>
          <w:rFonts w:ascii="黑体" w:hAnsi="黑体" w:eastAsia="黑体" w:cs="黑体"/>
          <w:sz w:val="28"/>
        </w:rPr>
        <w:t>关于德塔智能项目投资合规性的说明</w:t>
      </w:r>
    </w:p>
    <w:p w14:paraId="44388A27">
      <w:pPr>
        <w:pStyle w:val="13"/>
        <w:keepNext/>
        <w:keepLines/>
        <w:widowControl/>
        <w:numPr>
          <w:ilvl w:val="0"/>
          <w:numId w:val="1"/>
        </w:numPr>
        <w:snapToGrid w:val="0"/>
        <w:spacing w:before="240" w:line="360" w:lineRule="auto"/>
        <w:ind w:firstLineChars="0"/>
        <w:rPr>
          <w:rFonts w:ascii="宋体" w:hAnsi="宋体" w:eastAsia="宋体"/>
          <w:b/>
          <w:color w:val="000000" w:themeColor="text1"/>
          <w:sz w:val="24"/>
          <w:szCs w:val="24"/>
          <w14:textFill>
            <w14:solidFill>
              <w14:schemeClr w14:val="tx1"/>
            </w14:solidFill>
          </w14:textFill>
        </w:rPr>
      </w:pPr>
      <w:r>
        <w:rPr>
          <w:rFonts w:ascii="宋体" w:hAnsi="宋体" w:eastAsia="宋体" w:cs="宋体"/>
          <w:b/>
          <w:sz w:val="24"/>
        </w:rPr>
        <w:t>公司情况介绍</w:t>
      </w:r>
    </w:p>
    <w:p w14:paraId="4818DF8C">
      <w:pPr>
        <w:pStyle w:val="13"/>
        <w:keepNext/>
        <w:keepLines/>
        <w:widowControl/>
        <w:numPr>
          <w:ilvl w:val="0"/>
          <w:numId w:val="2"/>
        </w:numPr>
        <w:snapToGrid w:val="0"/>
        <w:spacing w:line="360" w:lineRule="auto"/>
        <w:ind w:left="0" w:firstLine="482"/>
        <w:rPr>
          <w:rFonts w:ascii="宋体" w:hAnsi="宋体" w:eastAsia="宋体"/>
          <w:b/>
          <w:bCs/>
          <w:color w:val="000000" w:themeColor="text1"/>
          <w:sz w:val="24"/>
          <w:szCs w:val="24"/>
          <w14:textFill>
            <w14:solidFill>
              <w14:schemeClr w14:val="tx1"/>
            </w14:solidFill>
          </w14:textFill>
        </w:rPr>
      </w:pPr>
      <w:r>
        <w:rPr>
          <w:rFonts w:ascii="宋体" w:hAnsi="宋体" w:eastAsia="宋体" w:cs="宋体"/>
          <w:b/>
          <w:bCs/>
          <w:sz w:val="24"/>
        </w:rPr>
        <w:t>公司简介</w:t>
      </w:r>
    </w:p>
    <w:p w14:paraId="7D44CE7B">
      <w:pPr>
        <w:pStyle w:val="13"/>
        <w:snapToGrid w:val="0"/>
        <w:spacing w:line="360" w:lineRule="auto"/>
        <w:ind w:firstLine="48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北京德塔源创智能科技有限公司成立于2026年1月，由北京通用人工智能研究院孵化。公司定位为人形机器人基础模型及“通脑”研发企业，围绕双足人形机器人全身协同操作（Loco-Manipulation）构建原生3D世界引擎、大脑决策模型、全身控制小脑及力位混合控制系统，拟通过通脑平台授权、通脑一体机、数据采集系统、特种场景定制及生态合作项目等方式实现产业化。公司现阶段以模型、算法、数据及软硬件协同能力为重点，不以大规模自建机器人本体产线为主要经营模式，但未来可能会切入机器人本体赛道。</w:t>
      </w:r>
    </w:p>
    <w:p w14:paraId="53B22F9B">
      <w:pPr>
        <w:pStyle w:val="13"/>
        <w:keepNext/>
        <w:keepLines/>
        <w:widowControl/>
        <w:numPr>
          <w:ilvl w:val="0"/>
          <w:numId w:val="2"/>
        </w:numPr>
        <w:snapToGrid w:val="0"/>
        <w:spacing w:line="360" w:lineRule="auto"/>
        <w:ind w:left="0" w:firstLine="482"/>
        <w:rPr>
          <w:rFonts w:ascii="宋体" w:hAnsi="宋体" w:eastAsia="宋体"/>
          <w:b/>
          <w:bCs/>
          <w:color w:val="000000" w:themeColor="text1"/>
          <w:sz w:val="24"/>
          <w:szCs w:val="24"/>
          <w14:textFill>
            <w14:solidFill>
              <w14:schemeClr w14:val="tx1"/>
            </w14:solidFill>
          </w14:textFill>
        </w:rPr>
      </w:pPr>
      <w:r>
        <w:rPr>
          <w:rFonts w:ascii="宋体" w:hAnsi="宋体" w:eastAsia="宋体" w:cs="宋体"/>
          <w:b/>
          <w:bCs/>
          <w:sz w:val="24"/>
        </w:rPr>
        <w:t>核心团队</w:t>
      </w:r>
    </w:p>
    <w:p w14:paraId="75D92EF0">
      <w:pPr>
        <w:snapToGrid w:val="0"/>
        <w:spacing w:line="360" w:lineRule="auto"/>
        <w:ind w:firstLine="480" w:firstLineChars="20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公司创始人、CEO马晓健本科毕业于清华大学计算机系，获美国加州大学洛杉矶分校（UCLA）计算机科学博士学位，曾在Google Robotics、NVIDIA Research等机构从事机器人学习、多模态模型及具身智能研究，并曾负责北京通研院具身数据及基础模型相关工作。其研究覆盖3D视觉语言模型、机器人基础模型、强化学习、遥操作及具身数据体系，主要负责公司战略、融资、基础设施、模型架构与数据体系建设。</w:t>
      </w:r>
    </w:p>
    <w:p w14:paraId="27EAA107">
      <w:pPr>
        <w:snapToGrid w:val="0"/>
        <w:spacing w:line="360" w:lineRule="auto"/>
        <w:ind w:firstLine="480" w:firstLineChars="20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公司联合创始人、CTO刘航欣本科毕业于美国弗吉尼亚理工大学，获UCLA计算机科学博士学位，具有DARPA机器人项目及人形机器人系统研发经历，曾负责北京通研院与乐聚机器人的联合实验室及多个工业场景项目。其研究和工程经验覆盖机器人规划控制、软硬件协同、全身遥操作、数据采集设备、视触觉灵巧手及长时程移动操作，主要负责公司机器人系统、控制及数采硬件平台。</w:t>
      </w:r>
    </w:p>
    <w:p w14:paraId="6F305C7C">
      <w:pPr>
        <w:snapToGrid w:val="0"/>
        <w:spacing w:line="360" w:lineRule="auto"/>
        <w:ind w:firstLine="480" w:firstLineChars="200"/>
        <w:rPr>
          <w:rFonts w:ascii="宋体" w:hAnsi="宋体" w:eastAsia="宋体" w:cs="宋体"/>
          <w:sz w:val="24"/>
        </w:rPr>
      </w:pPr>
      <w:r>
        <w:rPr>
          <w:rFonts w:ascii="宋体" w:hAnsi="宋体" w:eastAsia="宋体" w:cs="宋体"/>
          <w:sz w:val="24"/>
        </w:rPr>
        <w:t>公司联合创始人、首席科学家黄思远本科毕业于清华大学自动化系，获UCLA统计学博士学位，曾在Google DeepMind、Meta Reality Labs等机构开展研究，并长期从事3D场景理解、人形机器人与视觉操作。其团队提出的UniFP力位混合控制工作获得CoRL 2025最佳论文，并在空间智能、全身控制和场景生成等方向形成系列成果，主要负责公司前沿科研攻关、技术路线选择及人形机器人视觉运动策略。</w:t>
      </w:r>
    </w:p>
    <w:p w14:paraId="2D59042C">
      <w:pPr>
        <w:snapToGrid w:val="0"/>
        <w:spacing w:line="360" w:lineRule="auto"/>
        <w:ind w:firstLine="480" w:firstLineChars="200"/>
        <w:rPr>
          <w:rFonts w:ascii="宋体" w:hAnsi="宋体" w:eastAsia="宋体" w:cs="宋体"/>
          <w:sz w:val="24"/>
        </w:rPr>
      </w:pPr>
      <w:r>
        <w:rPr>
          <w:rFonts w:ascii="宋体" w:hAnsi="宋体" w:eastAsia="宋体" w:cs="宋体"/>
          <w:sz w:val="24"/>
        </w:rPr>
        <w:t>公司核心科学家朱松纯拥有世界泰斗级的学术地位和头衔。朱松纯是前UCLA统计学系及计算机系教授，视觉、认知、学习与自主机器人中心 (VCLA) 主任，曾三度获得马尔奖 (Marr Prize，计算机视觉领域的最高荣誉），是该奖项历史上首位获此殊荣的华人学者。拥有IEEE/ACM Fellow头衔，在国际顶级期刊发表 300+ 篇高影响力论文，H-index 极高。现任北京大学、清华大学讲席教授，北京大学人工智能研究院、智能学院院长，北京通用人工智能研究院院长。德塔智能作为通研院孵化的唯一一家产业公司，CEO 马晓健博士及核心团队均出自朱教授门下。</w:t>
      </w:r>
    </w:p>
    <w:p w14:paraId="4B01E107">
      <w:pPr>
        <w:pStyle w:val="13"/>
        <w:keepNext/>
        <w:keepLines/>
        <w:widowControl/>
        <w:numPr>
          <w:ilvl w:val="0"/>
          <w:numId w:val="2"/>
        </w:numPr>
        <w:snapToGrid w:val="0"/>
        <w:spacing w:line="360" w:lineRule="auto"/>
        <w:ind w:left="0" w:firstLine="482"/>
        <w:rPr>
          <w:rFonts w:ascii="宋体" w:hAnsi="宋体" w:eastAsia="宋体"/>
          <w:b/>
          <w:bCs/>
          <w:color w:val="000000" w:themeColor="text1"/>
          <w:sz w:val="24"/>
          <w:szCs w:val="24"/>
          <w14:textFill>
            <w14:solidFill>
              <w14:schemeClr w14:val="tx1"/>
            </w14:solidFill>
          </w14:textFill>
        </w:rPr>
      </w:pPr>
      <w:r>
        <w:rPr>
          <w:rFonts w:ascii="宋体" w:hAnsi="宋体" w:eastAsia="宋体" w:cs="宋体"/>
          <w:b/>
          <w:bCs/>
          <w:sz w:val="24"/>
        </w:rPr>
        <w:t>产品及技术</w:t>
      </w:r>
    </w:p>
    <w:p w14:paraId="2222A99A">
      <w:pPr>
        <w:snapToGrid w:val="0"/>
        <w:spacing w:line="360" w:lineRule="auto"/>
        <w:ind w:firstLine="480" w:firstLineChars="20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公司拟构建原生人形机器人基础模型（HFM）。大脑层以统一3D Transformer为基座，融合点云、RGB/深度视觉、语言指令、机器人姿态和历史运动状态，在三维空间中完成场景理解、任务分解、未来状态预测和全身参考动作生成；小脑层通过Real2Sim2Real及强化学习，将低频参考动作转化为高频、连续的全身关节控制；力位混合层通过UniFP实现隐式力估计、柔顺交互及位置—力协同控制。</w:t>
      </w:r>
    </w:p>
    <w:p w14:paraId="26D14D8B">
      <w:pPr>
        <w:snapToGrid w:val="0"/>
        <w:spacing w:line="360" w:lineRule="auto"/>
        <w:ind w:firstLine="480" w:firstLineChars="20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公司数据体系采用“高质量遥操作数据+规模化全身UMI数据+第一人称视觉数据+仿真数据”的分层结构，并依托真实场景重建、可交互资产生成、域随机化和仿真训练形成Real2Sim2Real闭环。团队已形成LEO、SceneWeaver、CLONE、OmniTrack、OmniXtreme、UniFP等研究及工程积累，覆盖3D理解与预测、全身遥操作、跨本体控制和力位混合操作等关键技术环节。</w:t>
      </w:r>
    </w:p>
    <w:p w14:paraId="469883BE">
      <w:pPr>
        <w:snapToGrid w:val="0"/>
        <w:spacing w:line="360" w:lineRule="auto"/>
        <w:ind w:firstLine="480" w:firstLineChars="200"/>
        <w:rPr>
          <w:rFonts w:ascii="宋体" w:hAnsi="宋体" w:eastAsia="宋体"/>
          <w:bCs/>
          <w:color w:val="000000" w:themeColor="text1"/>
          <w:sz w:val="24"/>
          <w:szCs w:val="24"/>
          <w14:textFill>
            <w14:solidFill>
              <w14:schemeClr w14:val="tx1"/>
            </w14:solidFill>
          </w14:textFill>
        </w:rPr>
      </w:pPr>
      <w:r>
        <w:rPr>
          <w:rFonts w:ascii="宋体" w:hAnsi="宋体" w:eastAsia="宋体" w:cs="宋体"/>
          <w:sz w:val="24"/>
        </w:rPr>
        <w:t>在产业验证方面，公司及其前身团队已与乐聚、宇树、智元、星海图等机器人本体企业开展科研合作、模型适配、联合实验室或场景PoC，并在汽车质检与物料搬运、SMT料盘分拣、电力巡检等场景进行探索。现阶段相关合作多数仍处于技术验证、课题合作、设备试用或联合拓展阶段，后续商业化规模仍需结合正式合同、验收、交付和回款情况持续核验。</w:t>
      </w:r>
    </w:p>
    <w:p w14:paraId="6402FD58">
      <w:pPr>
        <w:pStyle w:val="13"/>
        <w:keepNext/>
        <w:keepLines/>
        <w:widowControl/>
        <w:numPr>
          <w:ilvl w:val="0"/>
          <w:numId w:val="1"/>
        </w:numPr>
        <w:snapToGrid w:val="0"/>
        <w:spacing w:before="240" w:line="360" w:lineRule="auto"/>
        <w:ind w:firstLineChars="0"/>
        <w:rPr>
          <w:rFonts w:ascii="宋体" w:hAnsi="宋体" w:eastAsia="宋体"/>
          <w:b/>
          <w:color w:val="000000" w:themeColor="text1"/>
          <w:sz w:val="24"/>
          <w:szCs w:val="24"/>
          <w14:textFill>
            <w14:solidFill>
              <w14:schemeClr w14:val="tx1"/>
            </w14:solidFill>
          </w14:textFill>
        </w:rPr>
      </w:pPr>
      <w:r>
        <w:rPr>
          <w:rFonts w:ascii="宋体" w:hAnsi="宋体" w:eastAsia="宋体" w:cs="宋体"/>
          <w:b/>
          <w:sz w:val="24"/>
        </w:rPr>
        <w:t>投资理由</w:t>
      </w:r>
    </w:p>
    <w:p w14:paraId="61BDF355">
      <w:pPr>
        <w:pStyle w:val="13"/>
        <w:keepLines/>
        <w:widowControl/>
        <w:numPr>
          <w:ilvl w:val="0"/>
          <w:numId w:val="3"/>
        </w:numPr>
        <w:snapToGrid w:val="0"/>
        <w:spacing w:before="240" w:line="360" w:lineRule="auto"/>
        <w:ind w:firstLine="0" w:firstLineChars="0"/>
        <w:rPr>
          <w:rFonts w:ascii="宋体" w:hAnsi="宋体" w:eastAsia="宋体"/>
          <w:bCs/>
          <w:color w:val="000000" w:themeColor="text1"/>
          <w:sz w:val="24"/>
          <w:szCs w:val="24"/>
          <w14:textFill>
            <w14:solidFill>
              <w14:schemeClr w14:val="tx1"/>
            </w14:solidFill>
          </w14:textFill>
        </w:rPr>
      </w:pPr>
      <w:r>
        <w:rPr>
          <w:rFonts w:ascii="宋体" w:hAnsi="宋体" w:eastAsia="宋体" w:cs="宋体"/>
          <w:b/>
          <w:sz w:val="24"/>
        </w:rPr>
        <w:t>行业方向符合国家政策及产业趋势。</w:t>
      </w:r>
      <w:r>
        <w:rPr>
          <w:rFonts w:ascii="宋体" w:hAnsi="宋体" w:eastAsia="宋体" w:cs="宋体"/>
          <w:sz w:val="24"/>
        </w:rPr>
        <w:t>工业和信息化部《人形机器人创新发展指导意见》明确提出打造人形机器人的“大脑”和“小脑”、推动软件创新并拓展典型应用场景；国务院《关于深入实施“人工智能+”行动的意见》进一步推动人工智能与产业、消费等领域深度融合。德塔智能聚焦人形机器人基础模型、全身协同操作和真实场景应用，与人工智能、具身智能及机器人产业发展方向较为匹配。</w:t>
      </w:r>
    </w:p>
    <w:p w14:paraId="4F2CDFF7">
      <w:pPr>
        <w:pStyle w:val="13"/>
        <w:keepLines/>
        <w:widowControl/>
        <w:snapToGrid w:val="0"/>
        <w:spacing w:before="240" w:line="360" w:lineRule="auto"/>
        <w:ind w:firstLine="0" w:firstLineChars="0"/>
        <w:rPr>
          <w:rFonts w:ascii="宋体" w:hAnsi="宋体" w:eastAsia="宋体"/>
          <w:bCs/>
          <w:color w:val="000000" w:themeColor="text1"/>
          <w:sz w:val="24"/>
          <w:szCs w:val="24"/>
          <w14:textFill>
            <w14:solidFill>
              <w14:schemeClr w14:val="tx1"/>
            </w14:solidFill>
          </w14:textFill>
        </w:rPr>
      </w:pPr>
      <w:r>
        <w:rPr>
          <w:rFonts w:ascii="宋体" w:hAnsi="宋体" w:eastAsia="宋体" w:cs="宋体"/>
          <w:b/>
          <w:sz w:val="24"/>
        </w:rPr>
        <w:t>2、核心团队具备稀缺的AI与机器人复合能力。</w:t>
      </w:r>
      <w:r>
        <w:rPr>
          <w:rFonts w:ascii="宋体" w:hAnsi="宋体" w:eastAsia="宋体" w:cs="宋体"/>
          <w:sz w:val="24"/>
        </w:rPr>
        <w:t>三位核心创始人均具有UCLA博士背景，分别覆盖具身基础模型与数据、机器人规划控制与软硬件协同、3D空间智能与人形机器人操作。团队在北京通研院长期共同工作，师从国内人工智能领域泰斗级</w:t>
      </w:r>
      <w:r>
        <w:rPr>
          <w:rFonts w:hint="eastAsia" w:ascii="宋体" w:hAnsi="宋体" w:eastAsia="宋体" w:cs="宋体"/>
          <w:sz w:val="24"/>
          <w:lang w:val="en-US" w:eastAsia="zh-CN"/>
        </w:rPr>
        <w:t>人物</w:t>
      </w:r>
      <w:r>
        <w:rPr>
          <w:rFonts w:ascii="宋体" w:hAnsi="宋体" w:eastAsia="宋体" w:cs="宋体"/>
          <w:sz w:val="24"/>
        </w:rPr>
        <w:t>朱松纯，具备从科研成果、数据与模型基础设施到机器人真机部署的协同经验，技术分工较为完整。</w:t>
      </w:r>
    </w:p>
    <w:p w14:paraId="0798E9A4">
      <w:pPr>
        <w:pStyle w:val="13"/>
        <w:keepLines/>
        <w:widowControl/>
        <w:snapToGrid w:val="0"/>
        <w:spacing w:before="240" w:line="360" w:lineRule="auto"/>
        <w:ind w:firstLine="0" w:firstLineChars="0"/>
        <w:rPr>
          <w:rFonts w:ascii="宋体" w:hAnsi="宋体" w:eastAsia="宋体"/>
          <w:bCs/>
          <w:color w:val="000000" w:themeColor="text1"/>
          <w:sz w:val="24"/>
          <w:szCs w:val="24"/>
          <w14:textFill>
            <w14:solidFill>
              <w14:schemeClr w14:val="tx1"/>
            </w14:solidFill>
          </w14:textFill>
        </w:rPr>
      </w:pPr>
      <w:r>
        <w:rPr>
          <w:rFonts w:ascii="宋体" w:hAnsi="宋体" w:eastAsia="宋体" w:cs="宋体"/>
          <w:b/>
          <w:sz w:val="24"/>
        </w:rPr>
        <w:t>3、技术路线聚焦人形机器人落地的关键能力。</w:t>
      </w:r>
      <w:r>
        <w:rPr>
          <w:rFonts w:ascii="宋体" w:hAnsi="宋体" w:eastAsia="宋体" w:cs="宋体"/>
          <w:sz w:val="24"/>
        </w:rPr>
        <w:t>Loco-Manipulation要求机器人在移动过程中同时完成感知、规划、平衡、操作和力控制，是双足人形机器人由表演展示转向实际作业需要解决的重要技术环节。公司以原生3D世界引擎、全身控制小脑及力位混合控制构建分层架构，技术路径与单纯桌面操作VLA或上下肢完全解耦方案具有差异化。</w:t>
      </w:r>
    </w:p>
    <w:p w14:paraId="1047E311">
      <w:pPr>
        <w:pStyle w:val="13"/>
        <w:keepLines/>
        <w:widowControl/>
        <w:snapToGrid w:val="0"/>
        <w:spacing w:before="240" w:line="360" w:lineRule="auto"/>
        <w:ind w:firstLine="0" w:firstLineChars="0"/>
        <w:rPr>
          <w:rFonts w:ascii="宋体" w:hAnsi="宋体" w:eastAsia="宋体"/>
          <w:bCs/>
          <w:color w:val="000000" w:themeColor="text1"/>
          <w:sz w:val="24"/>
          <w:szCs w:val="24"/>
          <w14:textFill>
            <w14:solidFill>
              <w14:schemeClr w14:val="tx1"/>
            </w14:solidFill>
          </w14:textFill>
        </w:rPr>
      </w:pPr>
      <w:r>
        <w:rPr>
          <w:rFonts w:ascii="宋体" w:hAnsi="宋体" w:eastAsia="宋体" w:cs="宋体"/>
          <w:b/>
          <w:sz w:val="24"/>
        </w:rPr>
        <w:t>4、产业生态合作有助于形成跨本体及场景验证。</w:t>
      </w:r>
      <w:r>
        <w:rPr>
          <w:rFonts w:ascii="宋体" w:hAnsi="宋体" w:eastAsia="宋体" w:cs="宋体"/>
          <w:sz w:val="24"/>
        </w:rPr>
        <w:t>公司股东及合作方涵盖乐聚、智元、星海图等机器人产业主体，并与宇树等企业保持研发和生态合作。这些合作有助于公司获取不同本体、数据、真实场景和联合交付机会，也为跨本体算法适配、产品定义及后续市场拓展提供产业基础。</w:t>
      </w:r>
    </w:p>
    <w:p w14:paraId="30DEB647">
      <w:pPr>
        <w:pStyle w:val="13"/>
        <w:keepLines/>
        <w:widowControl/>
        <w:snapToGrid w:val="0"/>
        <w:spacing w:before="240" w:line="360" w:lineRule="auto"/>
        <w:ind w:firstLine="0" w:firstLineChars="0"/>
        <w:rPr>
          <w:rFonts w:ascii="宋体" w:hAnsi="宋体" w:eastAsia="宋体"/>
          <w:bCs/>
          <w:color w:val="000000" w:themeColor="text1"/>
          <w:sz w:val="24"/>
          <w:szCs w:val="24"/>
          <w14:textFill>
            <w14:solidFill>
              <w14:schemeClr w14:val="tx1"/>
            </w14:solidFill>
          </w14:textFill>
        </w:rPr>
      </w:pPr>
      <w:r>
        <w:rPr>
          <w:rFonts w:ascii="宋体" w:hAnsi="宋体" w:eastAsia="宋体" w:cs="宋体"/>
          <w:b/>
          <w:sz w:val="24"/>
        </w:rPr>
        <w:t>5、商业化路径由数据产品向通脑产品递进，具备阶段性验证基础。</w:t>
      </w:r>
      <w:r>
        <w:rPr>
          <w:rFonts w:ascii="宋体" w:hAnsi="宋体" w:eastAsia="宋体" w:cs="宋体"/>
          <w:sz w:val="24"/>
        </w:rPr>
        <w:t>公司计划先以数据采集设备、数据服务和PoC项目形成收入及数据积累，再推进搭载合作方本体的通脑一体机、平台授权和特种场景定制，长期视技术与融资进展探索自研本体。该路径兼顾早期现金流、核心模型迭代和长期产品价值，但仍需持续验证标准化程度、交付效率及批量订单转化。</w:t>
      </w:r>
    </w:p>
    <w:p w14:paraId="6B0396FC">
      <w:pPr>
        <w:pStyle w:val="13"/>
        <w:keepNext/>
        <w:keepLines/>
        <w:widowControl/>
        <w:numPr>
          <w:ilvl w:val="0"/>
          <w:numId w:val="1"/>
        </w:numPr>
        <w:snapToGrid w:val="0"/>
        <w:spacing w:before="240" w:line="360" w:lineRule="auto"/>
        <w:ind w:firstLineChars="0"/>
        <w:rPr>
          <w:rFonts w:ascii="宋体" w:hAnsi="宋体" w:eastAsia="宋体"/>
          <w:b/>
          <w:color w:val="000000" w:themeColor="text1"/>
          <w:sz w:val="24"/>
          <w:szCs w:val="24"/>
          <w14:textFill>
            <w14:solidFill>
              <w14:schemeClr w14:val="tx1"/>
            </w14:solidFill>
          </w14:textFill>
        </w:rPr>
      </w:pPr>
      <w:r>
        <w:rPr>
          <w:rFonts w:ascii="宋体" w:hAnsi="宋体" w:eastAsia="宋体" w:cs="宋体"/>
          <w:b/>
          <w:sz w:val="24"/>
        </w:rPr>
        <w:t>投资计划</w:t>
      </w:r>
    </w:p>
    <w:p w14:paraId="03C42F8C">
      <w:pPr>
        <w:snapToGrid w:val="0"/>
        <w:spacing w:line="360" w:lineRule="auto"/>
        <w:ind w:firstLine="480" w:firstLineChars="200"/>
        <w:rPr>
          <w:rFonts w:ascii="宋体" w:hAnsi="宋体" w:eastAsia="宋体" w:cs="宋体"/>
          <w:sz w:val="24"/>
        </w:rPr>
      </w:pPr>
      <w:r>
        <w:rPr>
          <w:rFonts w:ascii="宋体" w:hAnsi="宋体" w:eastAsia="宋体" w:cs="宋体"/>
          <w:sz w:val="24"/>
        </w:rPr>
        <w:t>本轮拟按投前估值24亿元进行增资；我方计划以增资方式投资本项目，总投资金额1,500万元。该轮公司预计增资2.7亿元，投后估值26.7亿元，投后持股预计比例0.56%，最终持股比例以经各方确认的完全摊薄交割股权结构为准。</w:t>
      </w:r>
    </w:p>
    <w:p w14:paraId="64B31125">
      <w:pPr>
        <w:pStyle w:val="13"/>
        <w:spacing w:line="360" w:lineRule="auto"/>
        <w:ind w:firstLine="480"/>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本基金拟通过SPV实施本次投资，SPV合计向标的公司增资3,000万元，其中本基金出资1,500万元，索辰科技及其关联方基金出资1,500万元。因此，本基金实际投资金额及风险敞口均为1,500万元。SPV仅作为共同投资及交割载体，不另行收取管理费或收益分成。</w:t>
      </w:r>
    </w:p>
    <w:p w14:paraId="460AEE67">
      <w:pPr>
        <w:pStyle w:val="13"/>
        <w:spacing w:line="360" w:lineRule="auto"/>
        <w:ind w:firstLine="480"/>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公司原提出5,000万元</w:t>
      </w:r>
      <w:r>
        <w:rPr>
          <w:rFonts w:hint="eastAsia" w:ascii="宋体" w:hAnsi="宋体" w:eastAsia="宋体"/>
          <w:color w:val="000000" w:themeColor="text1"/>
          <w:sz w:val="24"/>
          <w:szCs w:val="24"/>
          <w:lang w:val="en-US" w:eastAsia="zh-CN"/>
          <w14:textFill>
            <w14:solidFill>
              <w14:schemeClr w14:val="tx1"/>
            </w14:solidFill>
          </w14:textFill>
        </w:rPr>
        <w:t>作为</w:t>
      </w:r>
      <w:r>
        <w:rPr>
          <w:rFonts w:hint="eastAsia" w:ascii="宋体" w:hAnsi="宋体" w:eastAsia="宋体"/>
          <w:color w:val="000000" w:themeColor="text1"/>
          <w:sz w:val="24"/>
          <w:szCs w:val="24"/>
          <w14:textFill>
            <w14:solidFill>
              <w14:schemeClr w14:val="tx1"/>
            </w14:solidFill>
          </w14:textFill>
        </w:rPr>
        <w:t>最低投资金额，综合考虑</w:t>
      </w:r>
      <w:r>
        <w:rPr>
          <w:rFonts w:hint="eastAsia" w:ascii="宋体" w:hAnsi="宋体" w:eastAsia="宋体"/>
          <w:color w:val="000000" w:themeColor="text1"/>
          <w:sz w:val="24"/>
          <w:szCs w:val="24"/>
          <w:lang w:val="en-US" w:eastAsia="zh-CN"/>
          <w14:textFill>
            <w14:solidFill>
              <w14:schemeClr w14:val="tx1"/>
            </w14:solidFill>
          </w14:textFill>
        </w:rPr>
        <w:t>本基金可提供的产业资源，最终同意本基金设立的SPV可以以3</w:t>
      </w:r>
      <w:r>
        <w:rPr>
          <w:rFonts w:hint="default" w:ascii="宋体" w:hAnsi="宋体" w:eastAsia="宋体"/>
          <w:color w:val="000000" w:themeColor="text1"/>
          <w:sz w:val="24"/>
          <w:szCs w:val="24"/>
          <w:lang w:val="en-US" w:eastAsia="zh-CN"/>
          <w14:textFill>
            <w14:solidFill>
              <w14:schemeClr w14:val="tx1"/>
            </w14:solidFill>
          </w14:textFill>
        </w:rPr>
        <w:t>,</w:t>
      </w:r>
      <w:r>
        <w:rPr>
          <w:rFonts w:hint="eastAsia" w:ascii="宋体" w:hAnsi="宋体" w:eastAsia="宋体"/>
          <w:color w:val="000000" w:themeColor="text1"/>
          <w:sz w:val="24"/>
          <w:szCs w:val="24"/>
          <w:lang w:val="en-US" w:eastAsia="zh-CN"/>
          <w14:textFill>
            <w14:solidFill>
              <w14:schemeClr w14:val="tx1"/>
            </w14:solidFill>
          </w14:textFill>
        </w:rPr>
        <w:t>000万元参与本轮投资</w:t>
      </w:r>
      <w:r>
        <w:rPr>
          <w:rFonts w:hint="eastAsia" w:ascii="宋体" w:hAnsi="宋体" w:eastAsia="宋体"/>
          <w:color w:val="000000" w:themeColor="text1"/>
          <w:sz w:val="24"/>
          <w:szCs w:val="24"/>
          <w14:textFill>
            <w14:solidFill>
              <w14:schemeClr w14:val="tx1"/>
            </w14:solidFill>
          </w14:textFill>
        </w:rPr>
        <w:t>。</w:t>
      </w:r>
      <w:r>
        <w:rPr>
          <w:rFonts w:hint="eastAsia" w:ascii="宋体" w:hAnsi="宋体" w:eastAsia="宋体"/>
          <w:color w:val="000000" w:themeColor="text1"/>
          <w:sz w:val="24"/>
          <w:szCs w:val="24"/>
          <w:lang w:val="en-US" w:eastAsia="zh-CN"/>
          <w14:textFill>
            <w14:solidFill>
              <w14:schemeClr w14:val="tx1"/>
            </w14:solidFill>
          </w14:textFill>
        </w:rPr>
        <w:t>本轮融资的主投资人已在传签过程中，公司为本基金以加入协议的方式预留份额，因此按照公司融资安排最晚需在七月中上旬完成项目过会。本轮投资</w:t>
      </w:r>
      <w:r>
        <w:rPr>
          <w:rFonts w:hint="eastAsia" w:ascii="宋体" w:hAnsi="宋体" w:eastAsia="宋体"/>
          <w:color w:val="000000" w:themeColor="text1"/>
          <w:sz w:val="24"/>
          <w:szCs w:val="24"/>
          <w14:textFill>
            <w14:solidFill>
              <w14:schemeClr w14:val="tx1"/>
            </w14:solidFill>
          </w14:textFill>
        </w:rPr>
        <w:t>不存在抽屉协议、保底回购、额外补偿或其他未披露利益安排，</w:t>
      </w:r>
      <w:r>
        <w:rPr>
          <w:rFonts w:hint="eastAsia" w:ascii="宋体" w:hAnsi="宋体" w:eastAsia="宋体"/>
          <w:color w:val="000000" w:themeColor="text1"/>
          <w:sz w:val="24"/>
          <w:szCs w:val="24"/>
          <w:lang w:val="en-US" w:eastAsia="zh-CN"/>
          <w14:textFill>
            <w14:solidFill>
              <w14:schemeClr w14:val="tx1"/>
            </w14:solidFill>
          </w14:textFill>
        </w:rPr>
        <w:t>也不存在</w:t>
      </w:r>
      <w:r>
        <w:rPr>
          <w:rFonts w:hint="eastAsia" w:ascii="宋体" w:hAnsi="宋体" w:eastAsia="宋体"/>
          <w:color w:val="000000" w:themeColor="text1"/>
          <w:sz w:val="24"/>
          <w:szCs w:val="24"/>
          <w14:textFill>
            <w14:solidFill>
              <w14:schemeClr w14:val="tx1"/>
            </w14:solidFill>
          </w14:textFill>
        </w:rPr>
        <w:t>对其他同轮投资人构成不公平对待</w:t>
      </w:r>
      <w:r>
        <w:rPr>
          <w:rFonts w:hint="eastAsia" w:ascii="宋体" w:hAnsi="宋体" w:eastAsia="宋体"/>
          <w:color w:val="000000" w:themeColor="text1"/>
          <w:sz w:val="24"/>
          <w:szCs w:val="24"/>
          <w:lang w:val="en-US" w:eastAsia="zh-CN"/>
          <w14:textFill>
            <w14:solidFill>
              <w14:schemeClr w14:val="tx1"/>
            </w14:solidFill>
          </w14:textFill>
        </w:rPr>
        <w:t>的</w:t>
      </w:r>
      <w:r>
        <w:rPr>
          <w:rFonts w:hint="eastAsia" w:ascii="宋体" w:hAnsi="宋体" w:eastAsia="宋体"/>
          <w:color w:val="000000" w:themeColor="text1"/>
          <w:sz w:val="24"/>
          <w:szCs w:val="24"/>
          <w14:textFill>
            <w14:solidFill>
              <w14:schemeClr w14:val="tx1"/>
            </w14:solidFill>
          </w14:textFill>
        </w:rPr>
        <w:t>情况。</w:t>
      </w:r>
    </w:p>
    <w:p w14:paraId="50E06931">
      <w:pPr>
        <w:pStyle w:val="13"/>
        <w:spacing w:line="360" w:lineRule="auto"/>
        <w:ind w:firstLine="480"/>
        <w:rPr>
          <w:rFonts w:ascii="宋体" w:hAnsi="宋体" w:eastAsia="宋体"/>
          <w:bCs/>
          <w:color w:val="000000" w:themeColor="text1"/>
          <w:sz w:val="24"/>
          <w:szCs w:val="24"/>
          <w14:textFill>
            <w14:solidFill>
              <w14:schemeClr w14:val="tx1"/>
            </w14:solidFill>
          </w14:textFill>
        </w:rPr>
      </w:pPr>
      <w:bookmarkStart w:id="0" w:name="_GoBack"/>
      <w:bookmarkEnd w:id="0"/>
      <w:r>
        <w:rPr>
          <w:rFonts w:ascii="宋体" w:hAnsi="宋体" w:eastAsia="宋体"/>
          <w:color w:val="000000" w:themeColor="text1"/>
          <w:sz w:val="24"/>
          <w:szCs w:val="24"/>
          <w14:textFill>
            <w14:solidFill>
              <w14:schemeClr w14:val="tx1"/>
            </w14:solidFill>
          </w14:textFill>
        </w:rPr>
        <w:t>德塔智能成立不到半年已完成五轮融资，历史股东包括北京通研院、乐聚机器人、智元机器人、星海图、高瓴创投、元禾控股、复星锐正、联想创投、梅花创投等，历史老股东曾多次增资。本轮德塔智能总计融资</w:t>
      </w:r>
      <w:r>
        <w:rPr>
          <w:rFonts w:hint="default" w:ascii="宋体" w:hAnsi="宋体" w:eastAsia="宋体"/>
          <w:color w:val="000000" w:themeColor="text1"/>
          <w:sz w:val="24"/>
          <w:szCs w:val="24"/>
          <w14:textFill>
            <w14:solidFill>
              <w14:schemeClr w14:val="tx1"/>
            </w14:solidFill>
          </w14:textFill>
        </w:rPr>
        <w:t>2.7</w:t>
      </w:r>
      <w:r>
        <w:rPr>
          <w:rFonts w:ascii="宋体" w:hAnsi="宋体" w:eastAsia="宋体"/>
          <w:color w:val="000000" w:themeColor="text1"/>
          <w:sz w:val="24"/>
          <w:szCs w:val="24"/>
          <w14:textFill>
            <w14:solidFill>
              <w14:schemeClr w14:val="tx1"/>
            </w14:solidFill>
          </w14:textFill>
        </w:rPr>
        <w:t>亿元，新投资人包括北汽产投、交源资产（中芯国际系）、武汉创新投资集团。</w:t>
      </w:r>
    </w:p>
    <w:p w14:paraId="4C306314">
      <w:pPr>
        <w:snapToGrid w:val="0"/>
        <w:spacing w:line="360" w:lineRule="auto"/>
        <w:ind w:firstLine="480" w:firstLineChars="200"/>
        <w:rPr>
          <w:rFonts w:ascii="宋体" w:hAnsi="宋体" w:eastAsia="宋体" w:cs="宋体"/>
          <w:sz w:val="24"/>
        </w:rPr>
      </w:pPr>
    </w:p>
    <w:p w14:paraId="7755CDC7">
      <w:pPr>
        <w:pStyle w:val="13"/>
        <w:keepNext/>
        <w:keepLines/>
        <w:widowControl/>
        <w:numPr>
          <w:ilvl w:val="0"/>
          <w:numId w:val="1"/>
        </w:numPr>
        <w:snapToGrid w:val="0"/>
        <w:spacing w:before="240" w:line="360" w:lineRule="auto"/>
        <w:ind w:firstLineChars="0"/>
        <w:rPr>
          <w:rFonts w:ascii="宋体" w:hAnsi="宋体" w:eastAsia="宋体"/>
          <w:b/>
          <w:color w:val="000000" w:themeColor="text1"/>
          <w:sz w:val="24"/>
          <w:szCs w:val="24"/>
          <w14:textFill>
            <w14:solidFill>
              <w14:schemeClr w14:val="tx1"/>
            </w14:solidFill>
          </w14:textFill>
        </w:rPr>
      </w:pPr>
      <w:r>
        <w:rPr>
          <w:rFonts w:ascii="宋体" w:hAnsi="宋体" w:eastAsia="宋体" w:cs="宋体"/>
          <w:b/>
          <w:sz w:val="24"/>
        </w:rPr>
        <w:t>投资情形分析</w:t>
      </w:r>
    </w:p>
    <w:p w14:paraId="31C4517E">
      <w:pPr>
        <w:keepLines/>
        <w:widowControl/>
        <w:snapToGrid w:val="0"/>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cs="宋体"/>
          <w:b/>
          <w:sz w:val="24"/>
        </w:rPr>
        <w:t>1、投资情形分析，未从事本基金合伙协议约定的投资限制事项：</w:t>
      </w:r>
      <w:r>
        <w:rPr>
          <w:rFonts w:ascii="宋体" w:hAnsi="宋体" w:eastAsia="宋体" w:cs="宋体"/>
          <w:sz w:val="24"/>
        </w:rPr>
        <w:t>本项目采用现金增资方式取得标的公司股权，属于股权直投项目，不涉及借贷、委托贷款、对外担保、房地产开发、二级市场证券交易或其他本基金合伙协议约定的投资限制事项，符合合伙协议关于投资方式及投资限制的要求。</w:t>
      </w:r>
    </w:p>
    <w:p w14:paraId="53770E89">
      <w:pPr>
        <w:keepLines/>
        <w:widowControl/>
        <w:snapToGrid w:val="0"/>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cs="宋体"/>
          <w:b/>
          <w:sz w:val="24"/>
        </w:rPr>
        <w:t>2、不会导致本基金合伙协议约定的返投要求难以完成：宁波赛智具身股权投资合伙企业（有限合伙）截至2026年6月30日已实缴规模 4.15 亿元，其中宁波地区返投金额 2.4 亿元。截至2026年6月30日已交割总金额为0.25亿元（微纳核心0.1亿；靖安科技0.15亿），剩余可投资金额3.9亿元；已完成返投项目0个，对应返投金额0万元，另有1个返投储备项目（蓝成应急）已经过会，待完成交割。</w:t>
      </w:r>
      <w:r>
        <w:rPr>
          <w:rFonts w:ascii="宋体" w:hAnsi="宋体" w:eastAsia="宋体" w:cs="宋体"/>
          <w:sz w:val="24"/>
        </w:rPr>
        <w:t>德塔智能注册地在北京，本项目不属于返投项目；本次拟投资1,500万元，投资后基金仍具有覆盖返投目标的资金空间，不会导致返投要求难以完成。</w:t>
      </w:r>
    </w:p>
    <w:p w14:paraId="19758DB7">
      <w:pPr>
        <w:keepLines/>
        <w:widowControl/>
        <w:snapToGrid w:val="0"/>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cs="宋体"/>
          <w:b/>
          <w:sz w:val="24"/>
        </w:rPr>
        <w:t>3、不涉及关联交易事项从而可能对甬元投资造成损失：</w:t>
      </w:r>
      <w:r>
        <w:rPr>
          <w:rFonts w:ascii="宋体" w:hAnsi="宋体" w:eastAsia="宋体" w:cs="宋体"/>
          <w:sz w:val="24"/>
        </w:rPr>
        <w:t>根据现有股权结构、项目资料及管理人初步核查，标的公司、实际控制人、主要股东及核心管理团队与本基金、基金管理人及甬元投资不存在依据本基金合伙协议需要认定为关联交易的关系，本项目不属于关联交易；最终以关联关系核查表、投资决策文件及交易文件披露为准。</w:t>
      </w:r>
    </w:p>
    <w:p w14:paraId="4DCA6731">
      <w:pPr>
        <w:keepLines/>
        <w:widowControl/>
        <w:snapToGrid w:val="0"/>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cs="宋体"/>
          <w:b/>
          <w:sz w:val="24"/>
        </w:rPr>
        <w:t>4、投资方向分析：</w:t>
      </w:r>
      <w:r>
        <w:rPr>
          <w:rFonts w:ascii="宋体" w:hAnsi="宋体" w:eastAsia="宋体" w:cs="宋体"/>
          <w:sz w:val="24"/>
        </w:rPr>
        <w:t>本项目属于人工智能、具身智能、人形机器人基础模型、机器人控制系统及相关数据基础设施方向。公司围绕原生3D世界引擎、全身协同操作、跨本体控制和力位混合控制开展研发及产业化，属于具身智能机器人产业链关键软件及算法环节，符合本基金关于人工智能、具身智能及上下游产业链的投资方向。</w:t>
      </w:r>
    </w:p>
    <w:p w14:paraId="68E5A81A">
      <w:pPr>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b/>
          <w:color w:val="000000" w:themeColor="text1"/>
          <w:sz w:val="24"/>
          <w:szCs w:val="24"/>
          <w14:textFill>
            <w14:solidFill>
              <w14:schemeClr w14:val="tx1"/>
            </w14:solidFill>
          </w14:textFill>
        </w:rPr>
        <w:t>5、符合合伙协议约定的投资配置要求：</w:t>
      </w:r>
      <w:r>
        <w:rPr>
          <w:rFonts w:ascii="宋体" w:hAnsi="宋体" w:eastAsia="宋体"/>
          <w:color w:val="000000" w:themeColor="text1"/>
          <w:sz w:val="24"/>
          <w:szCs w:val="24"/>
          <w14:textFill>
            <w14:solidFill>
              <w14:schemeClr w14:val="tx1"/>
            </w14:solidFill>
          </w14:textFill>
        </w:rPr>
        <w:t>本项目为通过SPV进行投资的股权直投项目，符合合伙协议约定的投资配置要求。</w:t>
      </w:r>
    </w:p>
    <w:p w14:paraId="4D6EDD76">
      <w:pPr>
        <w:keepLines/>
        <w:widowControl/>
        <w:snapToGrid w:val="0"/>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cs="宋体"/>
          <w:b/>
          <w:sz w:val="24"/>
        </w:rPr>
        <w:t>6、符合合伙协议约定的投资集中度要求：</w:t>
      </w:r>
      <w:r>
        <w:rPr>
          <w:rFonts w:ascii="宋体" w:hAnsi="宋体" w:eastAsia="宋体" w:cs="宋体"/>
          <w:sz w:val="24"/>
        </w:rPr>
        <w:t>本项目拟投资金额1,500万元，未超过20%的集中度参考上限；投资金额及投资比例符合本基金合伙协议约定的投资集中度要求。</w:t>
      </w:r>
    </w:p>
    <w:p w14:paraId="3132E6EA">
      <w:pPr>
        <w:spacing w:before="240" w:line="360" w:lineRule="auto"/>
        <w:rPr>
          <w:rFonts w:ascii="宋体" w:hAnsi="宋体" w:eastAsia="宋体"/>
          <w:color w:val="000000" w:themeColor="text1"/>
          <w:sz w:val="24"/>
          <w:szCs w:val="24"/>
          <w14:textFill>
            <w14:solidFill>
              <w14:schemeClr w14:val="tx1"/>
            </w14:solidFill>
          </w14:textFill>
        </w:rPr>
      </w:pPr>
      <w:r>
        <w:rPr>
          <w:rFonts w:ascii="宋体" w:hAnsi="宋体" w:eastAsia="宋体"/>
          <w:b/>
          <w:bCs/>
          <w:color w:val="000000" w:themeColor="text1"/>
          <w:sz w:val="24"/>
          <w:szCs w:val="24"/>
          <w14:textFill>
            <w14:solidFill>
              <w14:schemeClr w14:val="tx1"/>
            </w14:solidFill>
          </w14:textFill>
        </w:rPr>
        <w:t>7、无其他违反法律法规或监管规定的情形：</w:t>
      </w:r>
      <w:r>
        <w:rPr>
          <w:rFonts w:ascii="宋体" w:hAnsi="宋体" w:eastAsia="宋体"/>
          <w:color w:val="000000" w:themeColor="text1"/>
          <w:sz w:val="24"/>
          <w:szCs w:val="24"/>
          <w14:textFill>
            <w14:solidFill>
              <w14:schemeClr w14:val="tx1"/>
            </w14:solidFill>
          </w14:textFill>
        </w:rPr>
        <w:t>根据现有材料，本项目无其他明显不满足法律法规、监管规定或基金合伙协议合规性审核要求的情形。</w:t>
      </w:r>
    </w:p>
    <w:p w14:paraId="08D159D5">
      <w:pPr>
        <w:spacing w:before="240" w:line="360" w:lineRule="auto"/>
        <w:ind w:firstLine="420"/>
        <w:rPr>
          <w:rFonts w:ascii="宋体" w:hAnsi="宋体" w:eastAsia="宋体"/>
          <w:color w:val="000000" w:themeColor="text1"/>
          <w:sz w:val="24"/>
          <w:szCs w:val="24"/>
          <w14:textFill>
            <w14:solidFill>
              <w14:schemeClr w14:val="tx1"/>
            </w14:solidFill>
          </w14:textFill>
        </w:rPr>
      </w:pPr>
      <w:r>
        <w:rPr>
          <w:rFonts w:ascii="宋体" w:hAnsi="宋体" w:eastAsia="宋体"/>
          <w:color w:val="000000" w:themeColor="text1"/>
          <w:sz w:val="24"/>
          <w:szCs w:val="24"/>
          <w14:textFill>
            <w14:solidFill>
              <w14:schemeClr w14:val="tx1"/>
            </w14:solidFill>
          </w14:textFill>
        </w:rPr>
        <w:t>综上，在完成上述尽调核验、投资决策程序及交易文件约定的前提下，本项目投资方向、投资方式、集中度及关联交易安排原则上符合基金合规性要求。</w:t>
      </w:r>
    </w:p>
    <w:p w14:paraId="626FE40B">
      <w:pPr>
        <w:keepNext/>
        <w:snapToGrid w:val="0"/>
        <w:spacing w:line="360" w:lineRule="auto"/>
      </w:pPr>
    </w:p>
    <w:p w14:paraId="798C6584">
      <w:pPr>
        <w:keepNext/>
        <w:snapToGrid w:val="0"/>
        <w:spacing w:before="240" w:line="360" w:lineRule="auto"/>
        <w:ind w:left="300" w:firstLine="420"/>
        <w:jc w:val="right"/>
        <w:rPr>
          <w:rFonts w:ascii="宋体" w:hAnsi="宋体" w:eastAsia="宋体"/>
          <w:sz w:val="24"/>
          <w:szCs w:val="24"/>
        </w:rPr>
      </w:pPr>
      <w:r>
        <w:rPr>
          <w:rFonts w:ascii="宋体" w:hAnsi="宋体" w:eastAsia="宋体" w:cs="宋体"/>
          <w:sz w:val="24"/>
        </w:rPr>
        <w:t>浙江赛智伯乐股权投资管理有限公司</w:t>
      </w:r>
    </w:p>
    <w:p w14:paraId="1A1F6BE5">
      <w:pPr>
        <w:snapToGrid w:val="0"/>
        <w:spacing w:before="240" w:line="360" w:lineRule="auto"/>
        <w:ind w:left="300" w:firstLine="420"/>
        <w:jc w:val="right"/>
        <w:rPr>
          <w:rFonts w:ascii="宋体" w:hAnsi="宋体" w:eastAsia="宋体"/>
          <w:sz w:val="24"/>
          <w:szCs w:val="24"/>
        </w:rPr>
      </w:pPr>
      <w:r>
        <w:rPr>
          <w:rFonts w:ascii="宋体" w:hAnsi="宋体" w:eastAsia="宋体" w:cs="宋体"/>
          <w:sz w:val="24"/>
        </w:rPr>
        <w:t>2026年   7   月   1   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5F98566-EC27-B045-9EE8-446A46DCB74B}"/>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1Yjc3YmI1Y2YwMzM0OTI1ODljYmNhZTdjZTIyY2QifQ=="/>
  </w:docVars>
  <w:rsids>
    <w:rsidRoot w:val="00BB628E"/>
    <w:rsid w:val="000226CD"/>
    <w:rsid w:val="00042F7D"/>
    <w:rsid w:val="000508BD"/>
    <w:rsid w:val="000D3084"/>
    <w:rsid w:val="00121777"/>
    <w:rsid w:val="0016433F"/>
    <w:rsid w:val="001732EE"/>
    <w:rsid w:val="001757DE"/>
    <w:rsid w:val="001E490D"/>
    <w:rsid w:val="001F0C46"/>
    <w:rsid w:val="0022671C"/>
    <w:rsid w:val="002653BD"/>
    <w:rsid w:val="002711B0"/>
    <w:rsid w:val="00291195"/>
    <w:rsid w:val="00345C34"/>
    <w:rsid w:val="003850BC"/>
    <w:rsid w:val="003B7FFD"/>
    <w:rsid w:val="003E2F15"/>
    <w:rsid w:val="004269B9"/>
    <w:rsid w:val="00427BDA"/>
    <w:rsid w:val="0043498C"/>
    <w:rsid w:val="00465F65"/>
    <w:rsid w:val="00485B5D"/>
    <w:rsid w:val="004C39F2"/>
    <w:rsid w:val="004D6DB8"/>
    <w:rsid w:val="005342B2"/>
    <w:rsid w:val="00577762"/>
    <w:rsid w:val="005B3402"/>
    <w:rsid w:val="005D758F"/>
    <w:rsid w:val="0064230A"/>
    <w:rsid w:val="0065598A"/>
    <w:rsid w:val="00674A64"/>
    <w:rsid w:val="006A0B7B"/>
    <w:rsid w:val="006D3300"/>
    <w:rsid w:val="00740402"/>
    <w:rsid w:val="00794F5F"/>
    <w:rsid w:val="007E01CE"/>
    <w:rsid w:val="0080478A"/>
    <w:rsid w:val="0086546A"/>
    <w:rsid w:val="0088732D"/>
    <w:rsid w:val="008A234A"/>
    <w:rsid w:val="00936C86"/>
    <w:rsid w:val="009B0E30"/>
    <w:rsid w:val="009D1ED0"/>
    <w:rsid w:val="009E1AB0"/>
    <w:rsid w:val="00A300B1"/>
    <w:rsid w:val="00A61E43"/>
    <w:rsid w:val="00A75BAF"/>
    <w:rsid w:val="00A90E8B"/>
    <w:rsid w:val="00AC2749"/>
    <w:rsid w:val="00AE019D"/>
    <w:rsid w:val="00B17AC9"/>
    <w:rsid w:val="00B50AA0"/>
    <w:rsid w:val="00B75313"/>
    <w:rsid w:val="00BB628E"/>
    <w:rsid w:val="00C205D7"/>
    <w:rsid w:val="00C21AA9"/>
    <w:rsid w:val="00C326ED"/>
    <w:rsid w:val="00C50FEE"/>
    <w:rsid w:val="00C53F3F"/>
    <w:rsid w:val="00C829F1"/>
    <w:rsid w:val="00CC145F"/>
    <w:rsid w:val="00D0197F"/>
    <w:rsid w:val="00D4240A"/>
    <w:rsid w:val="00DE3E16"/>
    <w:rsid w:val="00E07DE1"/>
    <w:rsid w:val="00E32DBE"/>
    <w:rsid w:val="00E453AB"/>
    <w:rsid w:val="00E63FC7"/>
    <w:rsid w:val="00E65633"/>
    <w:rsid w:val="00E824CA"/>
    <w:rsid w:val="00EB58EB"/>
    <w:rsid w:val="00F12EB1"/>
    <w:rsid w:val="00F25755"/>
    <w:rsid w:val="00F262C5"/>
    <w:rsid w:val="00F3586E"/>
    <w:rsid w:val="00F375E0"/>
    <w:rsid w:val="00F71E9C"/>
    <w:rsid w:val="00FD2D16"/>
    <w:rsid w:val="00FE2B6A"/>
    <w:rsid w:val="00FF4E66"/>
    <w:rsid w:val="01635C49"/>
    <w:rsid w:val="017149DC"/>
    <w:rsid w:val="021A27AB"/>
    <w:rsid w:val="02B63EF1"/>
    <w:rsid w:val="03C20F71"/>
    <w:rsid w:val="04232623"/>
    <w:rsid w:val="04785EAF"/>
    <w:rsid w:val="048C3708"/>
    <w:rsid w:val="08D544C6"/>
    <w:rsid w:val="09EE2822"/>
    <w:rsid w:val="0CBB102F"/>
    <w:rsid w:val="0D1D14F7"/>
    <w:rsid w:val="10685029"/>
    <w:rsid w:val="11301FEB"/>
    <w:rsid w:val="11D84431"/>
    <w:rsid w:val="12FB2185"/>
    <w:rsid w:val="14651A9B"/>
    <w:rsid w:val="147D04F7"/>
    <w:rsid w:val="14ED481B"/>
    <w:rsid w:val="156A35F2"/>
    <w:rsid w:val="16CD3E38"/>
    <w:rsid w:val="174A7237"/>
    <w:rsid w:val="18935F2E"/>
    <w:rsid w:val="18E51ED4"/>
    <w:rsid w:val="1A5249BA"/>
    <w:rsid w:val="1D316FCC"/>
    <w:rsid w:val="1DE2733E"/>
    <w:rsid w:val="1F535E95"/>
    <w:rsid w:val="23280026"/>
    <w:rsid w:val="23B83A39"/>
    <w:rsid w:val="23F708B9"/>
    <w:rsid w:val="246E3050"/>
    <w:rsid w:val="25F835C8"/>
    <w:rsid w:val="2A0140CD"/>
    <w:rsid w:val="2D244721"/>
    <w:rsid w:val="2DC53663"/>
    <w:rsid w:val="2F6D4E57"/>
    <w:rsid w:val="301D5356"/>
    <w:rsid w:val="302716A5"/>
    <w:rsid w:val="31D97C51"/>
    <w:rsid w:val="33BF728F"/>
    <w:rsid w:val="34E56399"/>
    <w:rsid w:val="35A40002"/>
    <w:rsid w:val="3753465F"/>
    <w:rsid w:val="38C05153"/>
    <w:rsid w:val="39952591"/>
    <w:rsid w:val="3A3A1488"/>
    <w:rsid w:val="3ABE5731"/>
    <w:rsid w:val="3ADF0F40"/>
    <w:rsid w:val="3B675D5A"/>
    <w:rsid w:val="3BCCF344"/>
    <w:rsid w:val="3C9371A7"/>
    <w:rsid w:val="3D9E6D1A"/>
    <w:rsid w:val="3E38578C"/>
    <w:rsid w:val="3F5900B0"/>
    <w:rsid w:val="3F8213B4"/>
    <w:rsid w:val="3FA94B93"/>
    <w:rsid w:val="40291322"/>
    <w:rsid w:val="413435B4"/>
    <w:rsid w:val="41635215"/>
    <w:rsid w:val="431B4E5C"/>
    <w:rsid w:val="44F23AE7"/>
    <w:rsid w:val="45206B25"/>
    <w:rsid w:val="472725D4"/>
    <w:rsid w:val="47CA1B4A"/>
    <w:rsid w:val="4858701A"/>
    <w:rsid w:val="48C458E0"/>
    <w:rsid w:val="4D3FEB36"/>
    <w:rsid w:val="4DEC0600"/>
    <w:rsid w:val="4E336E7D"/>
    <w:rsid w:val="4E760336"/>
    <w:rsid w:val="4E9B7546"/>
    <w:rsid w:val="4EF343E1"/>
    <w:rsid w:val="4F0A5FD9"/>
    <w:rsid w:val="4FFD140B"/>
    <w:rsid w:val="511E1076"/>
    <w:rsid w:val="512D51C5"/>
    <w:rsid w:val="531D3476"/>
    <w:rsid w:val="547930DC"/>
    <w:rsid w:val="573963A5"/>
    <w:rsid w:val="59C75EEA"/>
    <w:rsid w:val="5A317807"/>
    <w:rsid w:val="5A3541BE"/>
    <w:rsid w:val="5A4232B4"/>
    <w:rsid w:val="5D194642"/>
    <w:rsid w:val="5D42488D"/>
    <w:rsid w:val="5D9F0F2C"/>
    <w:rsid w:val="5DFFC926"/>
    <w:rsid w:val="5FB01277"/>
    <w:rsid w:val="5FB7DCA3"/>
    <w:rsid w:val="60C6751F"/>
    <w:rsid w:val="60CF67EB"/>
    <w:rsid w:val="60EE0200"/>
    <w:rsid w:val="61972646"/>
    <w:rsid w:val="61C251E9"/>
    <w:rsid w:val="61FE26C5"/>
    <w:rsid w:val="64FF47C8"/>
    <w:rsid w:val="660D1128"/>
    <w:rsid w:val="666351EC"/>
    <w:rsid w:val="67EB0D17"/>
    <w:rsid w:val="69653029"/>
    <w:rsid w:val="6D52739D"/>
    <w:rsid w:val="6DEC2697"/>
    <w:rsid w:val="6ECE55DC"/>
    <w:rsid w:val="6ED8429D"/>
    <w:rsid w:val="704679F6"/>
    <w:rsid w:val="71397275"/>
    <w:rsid w:val="714B6FA9"/>
    <w:rsid w:val="715A4658"/>
    <w:rsid w:val="72F5541E"/>
    <w:rsid w:val="739C3354"/>
    <w:rsid w:val="73AA5C50"/>
    <w:rsid w:val="751122B7"/>
    <w:rsid w:val="76DD23E8"/>
    <w:rsid w:val="78C86D74"/>
    <w:rsid w:val="79684BC9"/>
    <w:rsid w:val="7A166B42"/>
    <w:rsid w:val="7B334C21"/>
    <w:rsid w:val="7BE44282"/>
    <w:rsid w:val="7C3A6597"/>
    <w:rsid w:val="7C69286A"/>
    <w:rsid w:val="7E4065A4"/>
    <w:rsid w:val="7E7FE02C"/>
    <w:rsid w:val="7EC71C5F"/>
    <w:rsid w:val="7FD79115"/>
    <w:rsid w:val="BE7C9775"/>
    <w:rsid w:val="F9BAD250"/>
    <w:rsid w:val="FBDF3106"/>
    <w:rsid w:val="FCB6D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1872</Words>
  <Characters>2041</Characters>
  <Lines>68</Lines>
  <Paragraphs>34</Paragraphs>
  <TotalTime>18</TotalTime>
  <ScaleCrop>false</ScaleCrop>
  <LinksUpToDate>false</LinksUpToDate>
  <CharactersWithSpaces>3879</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2026-07-01T15:50:00Z</dcterms:created>
  <dc:creator>浙江赛智伯乐股权投资管理有限公司</dc:creator>
  <cp:lastModifiedBy>Ev.</cp:lastModifiedBy>
  <dcterms:modified xsi:type="dcterms:W3CDTF">2026-07-01T18:14:54Z</dcterms:modified>
  <dc:subject>宁波赛智具身基金项目投资合规性说明</dc:subject>
  <dc:title>关于德塔智能项目投资合规性的说明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eyJoZGlkIjoiMzEwNTM5NzYwMDRjMzkwZTVkZjY2ODkwMGIxNGU0OTUiLCJ1c2VySWQiOiIzMTU2Njg5ODYifQ==</vt:lpwstr>
  </property>
  <property fmtid="{D5CDD505-2E9C-101B-9397-08002B2CF9AE}" pid="3" name="KSOProductBuildVer">
    <vt:lpwstr>2052-6.9.0.8865</vt:lpwstr>
  </property>
  <property fmtid="{D5CDD505-2E9C-101B-9397-08002B2CF9AE}" pid="4" name="ICV">
    <vt:lpwstr>F0EF93AE3AD0BF6E9EE8446AC40F4929_43</vt:lpwstr>
  </property>
</Properties>
</file>