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/>
          <w:b/>
          <w:color w:val="1F4E79"/>
          <w:sz w:val="60"/>
        </w:rPr>
        <w:t>智灵动力</w:t>
      </w:r>
    </w:p>
    <w:p>
      <w:pPr>
        <w:jc w:val="center"/>
      </w:pPr>
      <w:r>
        <w:rPr>
          <w:rFonts w:ascii="微软雅黑" w:hAnsi="微软雅黑"/>
          <w:b/>
          <w:sz w:val="48"/>
        </w:rPr>
        <w:t>投资尽职调查报告</w:t>
      </w:r>
    </w:p>
    <w:p>
      <w:pPr>
        <w:spacing w:before="500"/>
        <w:jc w:val="center"/>
      </w:pPr>
      <w:r>
        <w:rPr>
          <w:color w:val="646464"/>
          <w:sz w:val="26"/>
        </w:rPr>
        <w:t>初步版｜公开资料驱动</w:t>
      </w:r>
    </w:p>
    <w:p>
      <w:pPr>
        <w:jc w:val="center"/>
      </w:pPr>
      <w:r>
        <w:rPr>
          <w:sz w:val="21"/>
        </w:rPr>
        <w:t>项目ID：62e6c2f3-5d0a-4cd9-b49d-2919b8ba1249</w:t>
      </w:r>
    </w:p>
    <w:p>
      <w:pPr>
        <w:jc w:val="center"/>
      </w:pPr>
      <w:r>
        <w:rPr>
          <w:sz w:val="21"/>
        </w:rPr>
        <w:t>报告日期：2026年8月6日</w:t>
      </w:r>
    </w:p>
    <w:p>
      <w:pPr>
        <w:jc w:val="center"/>
      </w:pPr>
      <w:r>
        <w:rPr>
          <w:sz w:val="21"/>
        </w:rPr>
        <w:t>内部资料｜未经许可不得外传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3&quot; \h \z \u"/>
    </w:p>
    <w:p>
      <w:r>
        <w:br w:type="page"/>
      </w:r>
    </w:p>
    <w:p>
      <w:pPr>
        <w:ind w:left="283" w:right="283"/>
      </w:pPr>
      <w:r>
        <w:rPr>
          <w:i/>
          <w:color w:val="784614"/>
        </w:rPr>
        <w:t>重要说明： 当前项目知识库未检索到公司提交的商业计划书、工商档案、股东名册、财务报表、银行流水、纳税申报、客户合同、知识产权清单、劳动用工、诉讼合规等原始尽调材料。本报告属于“公开资料驱动的初步尽调”，不能替代财务、法律、业务和技术专项尽调。凡公司自身事实未获原件支持者，均标注为“待核验”。</w:t>
      </w:r>
    </w:p>
    <w:p>
      <w:pPr>
        <w:pStyle w:val="Heading2"/>
      </w:pPr>
      <w:r>
        <w:t>一、执行摘要</w:t>
      </w:r>
    </w:p>
    <w:p>
      <w:pPr>
        <w:pStyle w:val="Heading3"/>
      </w:pPr>
      <w:r>
        <w:t>1.1 核心结论</w:t>
      </w:r>
    </w:p>
    <w:p>
      <w:r>
        <w:rPr>
          <w:b/>
        </w:rPr>
        <w:t>现阶段建议：暂不进入投资决策，转入“补充资料后再评估/谨慎观察”。</w:t>
      </w:r>
    </w:p>
    <w:p>
      <w:r>
        <w:t>智灵动力被公开信息描述为一家以国产开源大模型为基础、面向医疗、服装、教育、工业、媒体内容等场景提供多模态AI解决方案的早期企业，公开信息显示其已有天使轮融资记录，并形成数字人、内容生产、视频创作、时尚设计等产品线。但当前证据链存在明显缺口与冲突：公司成立时间、注册资本、地址、经营历史与产品历史口径不一致；公司披露的客户规模、产品效果和商业化数据缺乏合同、验收、回款及第三方测评支撑；财务、股权、知识产权、医疗合规和数据合规材料均未取得。</w:t>
      </w:r>
    </w:p>
    <w:p>
      <w:pPr>
        <w:pStyle w:val="Heading3"/>
      </w:pPr>
      <w:r>
        <w:t>1.2 初步亮点</w:t>
      </w:r>
    </w:p>
    <w:p>
      <w:pPr>
        <w:pStyle w:val="ListNumber"/>
      </w:pPr>
      <w:r>
        <w:t>产品矩阵及垂直场景探索较丰富。 公开报道提及“元娲”数字人、“元评”内容系统、“元镜”视频平台、“元裳”时尚设计平台，体现多模态、智能交互和垂直行业适配思路。</w:t>
      </w:r>
    </w:p>
    <w:p>
      <w:pPr>
        <w:pStyle w:val="ListNumber"/>
      </w:pPr>
      <w:r>
        <w:t>时尚垂类存在较具体的方法论描述。 联合创始人朱旭琪公开介绍了元裳大模型的数据标准、私有模型训练、多模态模型及从设计到试衣、3D秀场的链式服务框架。</w:t>
      </w:r>
    </w:p>
    <w:p>
      <w:pPr>
        <w:pStyle w:val="ListNumber"/>
      </w:pPr>
      <w:r>
        <w:t>公开信息显示已完成天使轮融资。 第三方创业数据库/企业信息页面称公司于2025年3月获飞图创投、盛景网联（盛景嘉成）投资，但金额、估值及交割文件尚未核验。</w:t>
      </w:r>
    </w:p>
    <w:p>
      <w:pPr>
        <w:pStyle w:val="ListNumber"/>
      </w:pPr>
      <w:r>
        <w:t>行业方向具备需求基础。 企业智能化、AIGC内容生产、AI医疗和服装设计数字化均存在效率提升需求，但不同赛道监管强度和商业化路径差异较大。</w:t>
      </w:r>
    </w:p>
    <w:p>
      <w:pPr>
        <w:pStyle w:val="Heading3"/>
      </w:pPr>
      <w:r>
        <w:t>1.3 核心风险</w:t>
      </w:r>
    </w:p>
    <w:p>
      <w:pPr>
        <w:pStyle w:val="ListNumber"/>
      </w:pPr>
      <w:r>
        <w:t>主体与历史沿革冲突（高风险）。 工商页面显示主体成立于2024年11月11日；媒体采访称“智灵动力成立于2023年”，并称元裳于2023年实现PMF。需核实是否存在前身公司、业务承接、资产/IP转让及关联交易。</w:t>
      </w:r>
    </w:p>
    <w:p>
      <w:pPr>
        <w:pStyle w:val="ListNumber"/>
      </w:pPr>
      <w:r>
        <w:t>工商信息冲突（高风险）。 不同公开页面显示注册资本为100万元或2,000万元，注册地址亦存在差异。可能源于工商变更或第三方数据滞后，须以全套工商内档为准。</w:t>
      </w:r>
    </w:p>
    <w:p>
      <w:pPr>
        <w:pStyle w:val="ListNumber"/>
      </w:pPr>
      <w:r>
        <w:t>商业化真实性未验证（高风险）。 “服务3万家企业”“省级党媒日产能从300篇增至5000篇”“72小时生成3000+设计稿”等信息主要来自自媒体/转载文章，缺少客户实名确认、合同、验收、发票与回款闭环。</w:t>
      </w:r>
    </w:p>
    <w:p>
      <w:pPr>
        <w:pStyle w:val="ListNumber"/>
      </w:pPr>
      <w:r>
        <w:t>财务信息完全缺失（高风险）。 无法判断收入质量、毛利率、研发投入、算力成本、现金消耗、应收账款及持续经营能力。</w:t>
      </w:r>
    </w:p>
    <w:p>
      <w:pPr>
        <w:pStyle w:val="ListNumber"/>
      </w:pPr>
      <w:r>
        <w:t>核心技术与知识产权边界不清（高风险）。 公司强调基于国产开源模型并升级DeepSeek基座，但自研层级、开源许可遵循、数据权属、模型权重、专利及软著尚未核验。</w:t>
      </w:r>
    </w:p>
    <w:p>
      <w:pPr>
        <w:pStyle w:val="ListNumber"/>
      </w:pPr>
      <w:r>
        <w:t>多赛道战略分散（中高风险）。 医疗、服装、教育、工业、媒体、咨询等场景跨度大，早期企业可能面临研发、销售和交付资源分散，难以形成单一可复制商业闭环。</w:t>
      </w:r>
    </w:p>
    <w:p>
      <w:pPr>
        <w:pStyle w:val="ListNumber"/>
      </w:pPr>
      <w:r>
        <w:t>医疗业务监管风险（高风险，若实质开展）。 若产品涉及诊断建议、临床决策或医疗器械预期用途，可能涉及医疗器械注册、临床评价、算法变更和质量体系；若处理健康医疗数据，还涉及个人信息、敏感个人信息和数据安全义务。当前未发现项目级资质证据。</w:t>
      </w:r>
    </w:p>
    <w:p>
      <w:pPr>
        <w:pStyle w:val="ListNumber"/>
      </w:pPr>
      <w:r>
        <w:t>宣传合规与声誉风险（中高风险）。 若公开效果指标未经严谨测试或客户授权，可能引发虚假/夸大宣传、客户保密、知识产权及声誉风险。</w:t>
      </w:r>
    </w:p>
    <w:p>
      <w:pPr>
        <w:pStyle w:val="Heading3"/>
      </w:pPr>
      <w:r>
        <w:t>1.4 建议的投资前置条件</w:t>
      </w:r>
    </w:p>
    <w:p>
      <w:r>
        <w:t>在以下事项完成前，不建议给出估值或投资条款：</w:t>
      </w:r>
    </w:p>
    <w:p>
      <w:pPr>
        <w:pStyle w:val="ListBullet"/>
      </w:pPr>
      <w:r>
        <w:t>取得并核验全套工商内档、历次章程、股权转让/增资文件、股东名册及实缴凭证；</w:t>
      </w:r>
    </w:p>
    <w:p>
      <w:pPr>
        <w:pStyle w:val="ListBullet"/>
      </w:pPr>
      <w:r>
        <w:t>提供最近24个月月度财务报表、银行流水、纳税申报和收入成本明细；</w:t>
      </w:r>
    </w:p>
    <w:p>
      <w:pPr>
        <w:pStyle w:val="ListBullet"/>
      </w:pPr>
      <w:r>
        <w:t>对前十大客户逐一完成“合同—交付—验收—开票—回款”穿行测试；</w:t>
      </w:r>
    </w:p>
    <w:p>
      <w:pPr>
        <w:pStyle w:val="ListBullet"/>
      </w:pPr>
      <w:r>
        <w:t>完成代码、模型、训练数据、开源许可和知识产权专项审计；</w:t>
      </w:r>
    </w:p>
    <w:p>
      <w:pPr>
        <w:pStyle w:val="ListBullet"/>
      </w:pPr>
      <w:r>
        <w:t>明确公司与前身/关联主体、清博系或其他合作方之间的人员、技术、客户和数据权属；</w:t>
      </w:r>
    </w:p>
    <w:p>
      <w:pPr>
        <w:pStyle w:val="ListBullet"/>
      </w:pPr>
      <w:r>
        <w:t>医疗业务按具体预期用途出具监管分类意见和数据合规评估；</w:t>
      </w:r>
    </w:p>
    <w:p>
      <w:pPr>
        <w:pStyle w:val="ListBullet"/>
      </w:pPr>
      <w:r>
        <w:t>对公开宣传中的核心指标进行可复现实测，并取得代表性客户访谈确认。</w:t>
      </w:r>
    </w:p>
    <w:p>
      <w:pPr>
        <w:pStyle w:val="Heading2"/>
      </w:pPr>
      <w:r>
        <w:t>二、尽调范围、方法与证据等级</w:t>
      </w:r>
    </w:p>
    <w:p>
      <w:pPr>
        <w:pStyle w:val="Heading3"/>
      </w:pPr>
      <w:r>
        <w:t>2.1 本次范围</w:t>
      </w:r>
    </w:p>
    <w:p>
      <w:r>
        <w:t>本报告覆盖公司主体与历史沿革、股权融资、团队、产品技术、商业模式、市场竞争、财务、法律合规、关键风险及后续尽调计划。</w:t>
      </w:r>
    </w:p>
    <w:p>
      <w:pPr>
        <w:pStyle w:val="Heading3"/>
      </w:pPr>
      <w:r>
        <w:t>2.2 证据等级</w:t>
      </w:r>
    </w:p>
    <w:p>
      <w:pPr>
        <w:pStyle w:val="ListBullet"/>
      </w:pPr>
      <w:r>
        <w:t>A级： 公司原始文件或政府/监管机构可验证文件；当前未取得。</w:t>
      </w:r>
    </w:p>
    <w:p>
      <w:pPr>
        <w:pStyle w:val="ListBullet"/>
      </w:pPr>
      <w:r>
        <w:t>B级： 权威媒体、正式采访、知名数据库及多源交叉验证信息。</w:t>
      </w:r>
    </w:p>
    <w:p>
      <w:pPr>
        <w:pStyle w:val="ListBullet"/>
      </w:pPr>
      <w:r>
        <w:t>C级： 企业宣传、自媒体转载、聚合信息页或单一第三方信息。</w:t>
      </w:r>
    </w:p>
    <w:p>
      <w:pPr>
        <w:pStyle w:val="ListBullet"/>
      </w:pPr>
      <w:r>
        <w:t>D级： 推测性信息；仅用于提出问题，不作为事实结论。</w:t>
      </w:r>
    </w:p>
    <w:p>
      <w:r>
        <w:t>当前公司自身事实主要处于B/C级，行业背景为B/C级；因此结论置信度为偏低。</w:t>
      </w:r>
    </w:p>
    <w:p>
      <w:pPr>
        <w:pStyle w:val="Heading2"/>
      </w:pPr>
      <w:r>
        <w:t>三、公司主体与历史沿革</w:t>
      </w:r>
    </w:p>
    <w:p>
      <w:pPr>
        <w:pStyle w:val="Heading3"/>
      </w:pPr>
      <w:r>
        <w:t>3.1 基本信息（待原件核验）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项目</w:t>
            </w:r>
          </w:p>
        </w:tc>
        <w:tc>
          <w:tcPr>
            <w:tcW w:type="dxa" w:w="3211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当前公开信息</w:t>
            </w:r>
          </w:p>
        </w:tc>
        <w:tc>
          <w:tcPr>
            <w:tcW w:type="dxa" w:w="3211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证据判断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公司全称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智灵动力（北京）科技有限公司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多源一致，仍应核验营业执照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法定代表人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郝雅婕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多源一致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成立日期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2024年11月11日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工商聚合页面一致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公司类型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有限责任公司（自然人投资或控股）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工商聚合页面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注册资本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100万元 / 2,000万元两种口径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冲突，待核验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注册地址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中关村东路123号 / 小营西路10号院两种口径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可能工商变更，待核验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经营范围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AI软件、软件开发、人工智能硬件销售、数据处理、数字内容等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待营业执照核验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业务定位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虚拟人、大模型及多行业AI解决方案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企业/第三方公开介绍</w:t>
            </w:r>
          </w:p>
        </w:tc>
      </w:tr>
    </w:tbl>
    <w:p/>
    <w:p>
      <w:pPr>
        <w:pStyle w:val="Heading3"/>
      </w:pPr>
      <w:r>
        <w:t>3.2 历史沿革疑点</w:t>
      </w:r>
    </w:p>
    <w:p>
      <w:r>
        <w:t>媒体采访称公司“成立于2023年”，元裳大模型于2023年实现服装行业首个PMF；但拟核验主体成立于2024年11月。可能解释包括：</w:t>
      </w:r>
    </w:p>
    <w:p>
      <w:pPr>
        <w:pStyle w:val="ListNumber"/>
      </w:pPr>
      <w:r>
        <w:t>业务最早在其他关联主体内孵化，后新设智灵动力承接；</w:t>
      </w:r>
    </w:p>
    <w:p>
      <w:pPr>
        <w:pStyle w:val="ListNumber"/>
      </w:pPr>
      <w:r>
        <w:t>“智灵动力”作为品牌/团队早于法人主体；</w:t>
      </w:r>
    </w:p>
    <w:p>
      <w:pPr>
        <w:pStyle w:val="ListNumber"/>
      </w:pPr>
      <w:r>
        <w:t>媒体表述有误；</w:t>
      </w:r>
    </w:p>
    <w:p>
      <w:pPr>
        <w:pStyle w:val="ListNumber"/>
      </w:pPr>
      <w:r>
        <w:t>产品、代码、客户合同或知识产权尚未完成主体迁移。</w:t>
      </w:r>
    </w:p>
    <w:p>
      <w:r>
        <w:t>该问题直接影响资产完整性、收入归属、知识产权权属、税务和历史负债，应作为法律尽调首要事项。</w:t>
      </w:r>
    </w:p>
    <w:p>
      <w:pPr>
        <w:pStyle w:val="Heading3"/>
      </w:pPr>
      <w:r>
        <w:t>3.3 必查文件</w:t>
      </w:r>
    </w:p>
    <w:p>
      <w:r>
        <w:t>营业执照、工商内档、历次章程、股东会/董事会决议、验资与实缴凭证、关联公司清单、业务及资产承接协议、IP转让协议、员工劳动关系迁移资料、历史客户合同主体清单。</w:t>
      </w:r>
    </w:p>
    <w:p>
      <w:pPr>
        <w:pStyle w:val="Heading2"/>
      </w:pPr>
      <w:r>
        <w:t>四、股权结构、融资与公司治理</w:t>
      </w:r>
    </w:p>
    <w:p>
      <w:pPr>
        <w:pStyle w:val="Heading3"/>
      </w:pPr>
      <w:r>
        <w:t>4.1 融资信息</w:t>
      </w:r>
    </w:p>
    <w:p>
      <w:r>
        <w:t>公开页面称：2025年3月19日公司完成天使轮融资，投资方为飞图创投、盛景网联（盛景嘉成），金额未披露。该信息尚无投资协议、增资协议、付款凭证及工商变更文件支持。</w:t>
      </w:r>
    </w:p>
    <w:p>
      <w:pPr>
        <w:pStyle w:val="Heading3"/>
      </w:pPr>
      <w:r>
        <w:t>4.2 待核验事项</w:t>
      </w:r>
    </w:p>
    <w:p>
      <w:pPr>
        <w:pStyle w:val="ListBullet"/>
      </w:pPr>
      <w:r>
        <w:t>当前股东及最终受益人、持股比例、认缴/实缴情况；</w:t>
      </w:r>
    </w:p>
    <w:p>
      <w:pPr>
        <w:pStyle w:val="ListBullet"/>
      </w:pPr>
      <w:r>
        <w:t>是否存在代持、对赌、回购、优先权、最惠国、清算优先、反稀释等安排；</w:t>
      </w:r>
    </w:p>
    <w:p>
      <w:pPr>
        <w:pStyle w:val="ListBullet"/>
      </w:pPr>
      <w:r>
        <w:t>创始团队股权与控制权稳定性；</w:t>
      </w:r>
    </w:p>
    <w:p>
      <w:pPr>
        <w:pStyle w:val="ListBullet"/>
      </w:pPr>
      <w:r>
        <w:t>员工期权池是否设立、授予与税务处理；</w:t>
      </w:r>
    </w:p>
    <w:p>
      <w:pPr>
        <w:pStyle w:val="ListBullet"/>
      </w:pPr>
      <w:r>
        <w:t>历史融资资金到账及用途；</w:t>
      </w:r>
    </w:p>
    <w:p>
      <w:pPr>
        <w:pStyle w:val="ListBullet"/>
      </w:pPr>
      <w:r>
        <w:t>董事会构成、重大事项表决机制、关联交易审批机制；</w:t>
      </w:r>
    </w:p>
    <w:p>
      <w:pPr>
        <w:pStyle w:val="ListBullet"/>
      </w:pPr>
      <w:r>
        <w:t>公司与投资方或清博等潜在合作/关联主体的关系。</w:t>
      </w:r>
    </w:p>
    <w:p>
      <w:pPr>
        <w:pStyle w:val="Heading3"/>
      </w:pPr>
      <w:r>
        <w:t>4.3 初步判断</w:t>
      </w:r>
    </w:p>
    <w:p>
      <w:r>
        <w:t>在股权及交易文件缺失情况下，无法判断本轮可投主体、有效估值、控制权及潜在优先权负担。股权尽调应设为交易继续推进的前置门槛。</w:t>
      </w:r>
    </w:p>
    <w:p>
      <w:pPr>
        <w:pStyle w:val="Heading2"/>
      </w:pPr>
      <w:r>
        <w:t>五、创始人与核心团队</w:t>
      </w:r>
    </w:p>
    <w:p>
      <w:pPr>
        <w:pStyle w:val="Heading3"/>
      </w:pPr>
      <w:r>
        <w:t>5.1 已识别人员</w:t>
      </w:r>
    </w:p>
    <w:p>
      <w:pPr>
        <w:pStyle w:val="ListBullet"/>
      </w:pPr>
      <w:r>
        <w:t>郝雅婕： 公开页面称创始人/法定代表人；另有线索称其为公司副总裁，职务口径存在差异。</w:t>
      </w:r>
    </w:p>
    <w:p>
      <w:pPr>
        <w:pStyle w:val="ListBullet"/>
      </w:pPr>
      <w:r>
        <w:t>朱旭琪： 媒体采访称智灵动力联合创始人、元裳大模型负责人、AIGCxFashion发起人；其公开表达显示对服装产业数据、设计流程和AIGC落地具有一定理解。</w:t>
      </w:r>
    </w:p>
    <w:p>
      <w:pPr>
        <w:pStyle w:val="ListBullet"/>
      </w:pPr>
      <w:r>
        <w:t>张伟、王欢、郎清平： 第三方页面列为管理团队，具体职责、履历和劳动关系未披露。</w:t>
      </w:r>
    </w:p>
    <w:p>
      <w:pPr>
        <w:pStyle w:val="ListBullet"/>
      </w:pPr>
      <w:r>
        <w:t>沈阳： 共有线索池称其为首席科学家，并提及清华教授背景；当前项目资料未形成充分交叉验证，需核实聘任关系、投入时间和知识产权安排。</w:t>
      </w:r>
    </w:p>
    <w:p>
      <w:pPr>
        <w:pStyle w:val="Heading3"/>
      </w:pPr>
      <w:r>
        <w:t>5.2 团队风险</w:t>
      </w:r>
    </w:p>
    <w:p>
      <w:pPr>
        <w:pStyle w:val="ListNumber"/>
      </w:pPr>
      <w:r>
        <w:t>核心成员履历、全职状态、竞业限制及劳动合同未取得；</w:t>
      </w:r>
    </w:p>
    <w:p>
      <w:pPr>
        <w:pStyle w:val="ListNumber"/>
      </w:pPr>
      <w:r>
        <w:t>创始人、法定代表人、CEO/实际控制人角色不清；</w:t>
      </w:r>
    </w:p>
    <w:p>
      <w:pPr>
        <w:pStyle w:val="ListNumber"/>
      </w:pPr>
      <w:r>
        <w:t>研发、医疗专家、销售交付和合规负责人配置不明；</w:t>
      </w:r>
    </w:p>
    <w:p>
      <w:pPr>
        <w:pStyle w:val="ListNumber"/>
      </w:pPr>
      <w:r>
        <w:t>若大量技术由顾问或外部合作方贡献，需核验成果归属；</w:t>
      </w:r>
    </w:p>
    <w:p>
      <w:pPr>
        <w:pStyle w:val="ListNumber"/>
      </w:pPr>
      <w:r>
        <w:t>多赛道经营对行业专家、销售和交付团队要求高，当前组织承载力无法判断。</w:t>
      </w:r>
    </w:p>
    <w:p>
      <w:pPr>
        <w:pStyle w:val="Heading3"/>
      </w:pPr>
      <w:r>
        <w:t>5.3 建议核验</w:t>
      </w:r>
    </w:p>
    <w:p>
      <w:r>
        <w:t>对全部核心成员开展履历背调、访谈及时间投入核验；取得劳动/顾问合同、保密及职务成果协议、薪酬社保记录；核验核心人员过去任职单位的竞业限制与潜在知识产权争议。</w:t>
      </w:r>
    </w:p>
    <w:p>
      <w:pPr>
        <w:pStyle w:val="Heading2"/>
      </w:pPr>
      <w:r>
        <w:t>六、产品、技术与知识产权</w:t>
      </w:r>
    </w:p>
    <w:p>
      <w:pPr>
        <w:pStyle w:val="Heading3"/>
      </w:pPr>
      <w:r>
        <w:t>6.1 公开产品矩阵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产品/方向</w:t>
            </w:r>
          </w:p>
        </w:tc>
        <w:tc>
          <w:tcPr>
            <w:tcW w:type="dxa" w:w="3211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公开描述</w:t>
            </w:r>
          </w:p>
        </w:tc>
        <w:tc>
          <w:tcPr>
            <w:tcW w:type="dxa" w:w="3211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当前判断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元娲数字人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多模态交互、智能体推理、数字员工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产品存在性与客户数据待核验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元评系统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多文体内容生产、媒体内容生成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需验证内容质量、版权和客户使用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元镜平台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分镜、视频方案及内容生成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需验证生成效果、成本和商业化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元裳设计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服装设计、虚拟试衣、3D秀场、私有模型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垂直方法论较具体，需验证产品及客户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Desearch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AI企业咨询、研究与竞对分析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来源较弱，需核验是否公司正式产品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医疗AI解决方案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公开页面笼统提及医疗场景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微软雅黑" w:hAnsi="微软雅黑"/>
                <w:sz w:val="17"/>
              </w:rPr>
              <w:t>未见具体产品、客户、资质及临床证据</w:t>
            </w:r>
          </w:p>
        </w:tc>
      </w:tr>
    </w:tbl>
    <w:p/>
    <w:p>
      <w:pPr>
        <w:pStyle w:val="Heading3"/>
      </w:pPr>
      <w:r>
        <w:t>6.2 技术路线</w:t>
      </w:r>
    </w:p>
    <w:p>
      <w:r>
        <w:t>公开信息显示，公司以国产开源大模型为基础，强调多模态理解、智能交互、智慧推理和垂直行业适配，并于2025年宣称全线产品升级DeepSeek基座。由此推断，其价值可能主要来自应用层工程、场景数据、工作流编排、微调/检索增强、交互与交付能力，而非训练通用基础模型。该推断必须通过技术尽调验证。</w:t>
      </w:r>
    </w:p>
    <w:p>
      <w:pPr>
        <w:pStyle w:val="Heading3"/>
      </w:pPr>
      <w:r>
        <w:t>6.3 公开指标的审慎性</w:t>
      </w:r>
    </w:p>
    <w:p>
      <w:r>
        <w:t>报道中出现内容质量提升300%、响应速度提升60%、意图理解精度提升87%、服务3万家企业、部分客户效率提升4倍等数据。上述指标未披露测试集、基线、样本量、统计方法、第三方机构和客户授权，不能直接作为投资判断依据。</w:t>
      </w:r>
    </w:p>
    <w:p>
      <w:pPr>
        <w:pStyle w:val="Heading3"/>
      </w:pPr>
      <w:r>
        <w:t>6.4 技术尽调重点</w:t>
      </w:r>
    </w:p>
    <w:p>
      <w:pPr>
        <w:pStyle w:val="ListBullet"/>
      </w:pPr>
      <w:r>
        <w:t>代码仓库、提交历史、核心模块与开发人员归属；</w:t>
      </w:r>
    </w:p>
    <w:p>
      <w:pPr>
        <w:pStyle w:val="ListBullet"/>
      </w:pPr>
      <w:r>
        <w:t>基础模型、微调方法、RAG、Agent编排、推理部署与成本结构；</w:t>
      </w:r>
    </w:p>
    <w:p>
      <w:pPr>
        <w:pStyle w:val="ListBullet"/>
      </w:pPr>
      <w:r>
        <w:t>数据来源、授权、清洗、标注、脱敏、删除与退出机制；</w:t>
      </w:r>
    </w:p>
    <w:p>
      <w:pPr>
        <w:pStyle w:val="ListBullet"/>
      </w:pPr>
      <w:r>
        <w:t>开源软件及模型许可证清单，是否满足商用、署名、衍生发布义务；</w:t>
      </w:r>
    </w:p>
    <w:p>
      <w:pPr>
        <w:pStyle w:val="ListBullet"/>
      </w:pPr>
      <w:r>
        <w:t>模型效果评测：准确性、幻觉率、稳定性、鲁棒性、安全性、延迟和单位调用成本；</w:t>
      </w:r>
    </w:p>
    <w:p>
      <w:pPr>
        <w:pStyle w:val="ListBullet"/>
      </w:pPr>
      <w:r>
        <w:t>客户私有化部署与SaaS版本的安全隔离、权限、日志、备份和灾备；</w:t>
      </w:r>
    </w:p>
    <w:p>
      <w:pPr>
        <w:pStyle w:val="ListBullet"/>
      </w:pPr>
      <w:r>
        <w:t>专利、软著、商标、域名及权利人；</w:t>
      </w:r>
    </w:p>
    <w:p>
      <w:pPr>
        <w:pStyle w:val="ListBullet"/>
      </w:pPr>
      <w:r>
        <w:t>外包开发、联合研发、顾问成果的知识产权归属。</w:t>
      </w:r>
    </w:p>
    <w:p>
      <w:pPr>
        <w:pStyle w:val="Heading3"/>
      </w:pPr>
      <w:r>
        <w:t>6.5 初步技术判断</w:t>
      </w:r>
    </w:p>
    <w:p>
      <w:r>
        <w:t>当前无法证明公司已形成难以复制的底层算法壁垒。更可行的护城河应来自高质量垂直数据、深入工作流、客户集成、可验证ROI和持续交付能力。若这些要素不能建立，公司将面临基础模型升级导致应用同质化和价格下行的压力。</w:t>
      </w:r>
    </w:p>
    <w:p>
      <w:pPr>
        <w:pStyle w:val="Heading2"/>
      </w:pPr>
      <w:r>
        <w:t>七、商业模式、客户与销售</w:t>
      </w:r>
    </w:p>
    <w:p>
      <w:pPr>
        <w:pStyle w:val="Heading3"/>
      </w:pPr>
      <w:r>
        <w:t>7.1 可能的商业模式</w:t>
      </w:r>
    </w:p>
    <w:p>
      <w:r>
        <w:t>根据产品形态，可能包括SaaS订阅、私有化部署、项目制交付、API/调用量计费、软硬件一体化、行业联合解决方案等。当前未取得合同与报价材料，无法确认收入结构。</w:t>
      </w:r>
    </w:p>
    <w:p>
      <w:pPr>
        <w:pStyle w:val="Heading3"/>
      </w:pPr>
      <w:r>
        <w:t>7.2 商业化证据缺口</w:t>
      </w:r>
    </w:p>
    <w:p>
      <w:r>
        <w:t>公开报道提到银行、党媒、MCN、国潮品牌及时装周等案例，但多以匿名或宣传性表述出现。以下关键问题均未解决：</w:t>
      </w:r>
    </w:p>
    <w:p>
      <w:pPr>
        <w:pStyle w:val="ListBullet"/>
      </w:pPr>
      <w:r>
        <w:t>客户是否为付费客户，还是试用/联合宣传/渠道客户；</w:t>
      </w:r>
    </w:p>
    <w:p>
      <w:pPr>
        <w:pStyle w:val="ListBullet"/>
      </w:pPr>
      <w:r>
        <w:t>合同签署主体是否为智灵动力；</w:t>
      </w:r>
    </w:p>
    <w:p>
      <w:pPr>
        <w:pStyle w:val="ListBullet"/>
      </w:pPr>
      <w:r>
        <w:t>项目是否完成验收、开票和回款；</w:t>
      </w:r>
    </w:p>
    <w:p>
      <w:pPr>
        <w:pStyle w:val="ListBullet"/>
      </w:pPr>
      <w:r>
        <w:t>收入是一次性项目还是可续费订阅；</w:t>
      </w:r>
    </w:p>
    <w:p>
      <w:pPr>
        <w:pStyle w:val="ListBullet"/>
      </w:pPr>
      <w:r>
        <w:t>客户集中度、获客成本、销售周期、续费率和净收入留存；</w:t>
      </w:r>
    </w:p>
    <w:p>
      <w:pPr>
        <w:pStyle w:val="ListBullet"/>
      </w:pPr>
      <w:r>
        <w:t>大模型调用、算力、实施和售后成本是否导致低毛利；</w:t>
      </w:r>
    </w:p>
    <w:p>
      <w:pPr>
        <w:pStyle w:val="ListBullet"/>
      </w:pPr>
      <w:r>
        <w:t>客户数据是否可合法用于模型改进。</w:t>
      </w:r>
    </w:p>
    <w:p>
      <w:pPr>
        <w:pStyle w:val="Heading3"/>
      </w:pPr>
      <w:r>
        <w:t>7.3 客户穿行测试建议</w:t>
      </w:r>
    </w:p>
    <w:p>
      <w:r>
        <w:t>从前十大客户中抽取不少于5家，核对：商机记录→报价→合同→交付计划→系统日志→验收单→发票→银行回款→售后工单→续费/复购。同步访谈客户业务负责人和IT/采购人员，验证采购动机、实际使用频次、替代方案、ROI与续约意愿。</w:t>
      </w:r>
    </w:p>
    <w:p>
      <w:pPr>
        <w:pStyle w:val="Heading2"/>
      </w:pPr>
      <w:r>
        <w:t>八、行业与竞争分析</w:t>
      </w:r>
    </w:p>
    <w:p>
      <w:pPr>
        <w:pStyle w:val="Heading3"/>
      </w:pPr>
      <w:r>
        <w:t>8.1 行业判断</w:t>
      </w:r>
    </w:p>
    <w:p>
      <w:r>
        <w:t>公司跨越多个AIGC应用赛道，不宜用单一“AI医疗”市场规模为其整体估值背书。行业资料显示，AI医疗正由概念验证走向商业化，但医疗数据、临床验证、产品注册、收费路径和医生接受度仍构成核心门槛；服装AIGC则对数据标准、设计可控性、制版可靠性和行业接受度要求较高。</w:t>
      </w:r>
    </w:p>
    <w:p>
      <w:pPr>
        <w:pStyle w:val="Heading3"/>
      </w:pPr>
      <w:r>
        <w:t>8.2 竞争结构</w:t>
      </w:r>
    </w:p>
    <w:p>
      <w:pPr>
        <w:pStyle w:val="ListBullet"/>
      </w:pPr>
      <w:r>
        <w:t>基础模型与云平台： 大型模型厂商可向下提供通用多模态、Agent和行业工具，挤压应用层议价空间。</w:t>
      </w:r>
    </w:p>
    <w:p>
      <w:pPr>
        <w:pStyle w:val="ListBullet"/>
      </w:pPr>
      <w:r>
        <w:t>垂直AI企业： 在医疗、时尚、内容、数字人等单一赛道深耕，拥有更强数据、客户和合规积累。</w:t>
      </w:r>
    </w:p>
    <w:p>
      <w:pPr>
        <w:pStyle w:val="ListBullet"/>
      </w:pPr>
      <w:r>
        <w:t>传统软件/设备厂商： 掌握医院、媒体、服装企业的既有系统入口和客户关系，可通过集成AI功能形成替代。</w:t>
      </w:r>
    </w:p>
    <w:p>
      <w:pPr>
        <w:pStyle w:val="ListBullet"/>
      </w:pPr>
      <w:r>
        <w:t>客户自研： 大型客户可能基于开源模型和内部数据搭建私有系统。</w:t>
      </w:r>
    </w:p>
    <w:p>
      <w:pPr>
        <w:pStyle w:val="Heading3"/>
      </w:pPr>
      <w:r>
        <w:t>8.3 智灵动力可能的差异化</w:t>
      </w:r>
    </w:p>
    <w:p>
      <w:r>
        <w:t>公开材料显示其试图以“人机共生引擎+多模态+垂直适配”覆盖多个场景。但该差异化目前更多属于产品叙事，尚未由独家数据、专利、头部客户、续费率、单位经济模型或权威评测证明。</w:t>
      </w:r>
    </w:p>
    <w:p>
      <w:pPr>
        <w:pStyle w:val="Heading3"/>
      </w:pPr>
      <w:r>
        <w:t>8.4 战略建议</w:t>
      </w:r>
    </w:p>
    <w:p>
      <w:r>
        <w:t>优先收敛1—2个已具备付费与复购证据的场景，以可量化ROI、标准化交付和数据闭环建立壁垒；医疗等高监管方向不宜仅凭通用产品能力横向扩张。</w:t>
      </w:r>
    </w:p>
    <w:p>
      <w:pPr>
        <w:pStyle w:val="Heading2"/>
      </w:pPr>
      <w:r>
        <w:t>九、财务尽调</w:t>
      </w:r>
    </w:p>
    <w:p>
      <w:pPr>
        <w:pStyle w:val="Heading3"/>
      </w:pPr>
      <w:r>
        <w:t>9.1 当前状况</w:t>
      </w:r>
    </w:p>
    <w:p>
      <w:r>
        <w:t>暂无已授权的项目财务原始资料。 当前无法对收入、毛利、净利润、经营现金流、应收账款、研发投入、算力成本、负债和资金续航作出事实判断，也无法进行估值测算。</w:t>
      </w:r>
    </w:p>
    <w:p>
      <w:pPr>
        <w:pStyle w:val="Heading3"/>
      </w:pPr>
      <w:r>
        <w:t>9.2 必需资料</w:t>
      </w:r>
    </w:p>
    <w:p>
      <w:pPr>
        <w:pStyle w:val="ListNumber"/>
      </w:pPr>
      <w:r>
        <w:t>成立至今月度资产负债表、利润表、现金流量表及科目余额表；</w:t>
      </w:r>
    </w:p>
    <w:p>
      <w:pPr>
        <w:pStyle w:val="ListNumber"/>
      </w:pPr>
      <w:r>
        <w:t>全部银行账户流水、征信报告、借款及担保文件；</w:t>
      </w:r>
    </w:p>
    <w:p>
      <w:pPr>
        <w:pStyle w:val="ListNumber"/>
      </w:pPr>
      <w:r>
        <w:t>增值税和企业所得税申报、完税证明；</w:t>
      </w:r>
    </w:p>
    <w:p>
      <w:pPr>
        <w:pStyle w:val="ListNumber"/>
      </w:pPr>
      <w:r>
        <w:t>收入明细、合同台账、发票台账、回款台账和应收账龄；</w:t>
      </w:r>
    </w:p>
    <w:p>
      <w:pPr>
        <w:pStyle w:val="ListNumber"/>
      </w:pPr>
      <w:r>
        <w:t>成本费用明细，重点拆分模型调用、GPU/云服务、数据采购、外包、销售佣金和实施成本；</w:t>
      </w:r>
    </w:p>
    <w:p>
      <w:pPr>
        <w:pStyle w:val="ListNumber"/>
      </w:pPr>
      <w:r>
        <w:t>固定资产、无形资产、研发费用资本化、政府补助；</w:t>
      </w:r>
    </w:p>
    <w:p>
      <w:pPr>
        <w:pStyle w:val="ListNumber"/>
      </w:pPr>
      <w:r>
        <w:t>关联方往来、资金拆借和异常大额交易；</w:t>
      </w:r>
    </w:p>
    <w:p>
      <w:pPr>
        <w:pStyle w:val="ListNumber"/>
      </w:pPr>
      <w:r>
        <w:t>未来24个月预算、现金消耗及融资计划。</w:t>
      </w:r>
    </w:p>
    <w:p>
      <w:pPr>
        <w:pStyle w:val="Heading3"/>
      </w:pPr>
      <w:r>
        <w:t>9.3 财务核验重点</w:t>
      </w:r>
    </w:p>
    <w:p>
      <w:pPr>
        <w:pStyle w:val="ListBullet"/>
      </w:pPr>
      <w:r>
        <w:t>收入确认是否与验收及履约义务匹配；</w:t>
      </w:r>
    </w:p>
    <w:p>
      <w:pPr>
        <w:pStyle w:val="ListBullet"/>
      </w:pPr>
      <w:r>
        <w:t>免费试用、渠道代销、关联交易是否被计入收入；</w:t>
      </w:r>
    </w:p>
    <w:p>
      <w:pPr>
        <w:pStyle w:val="ListBullet"/>
      </w:pPr>
      <w:r>
        <w:t>项目制交付的人力和算力成本是否完整归集；</w:t>
      </w:r>
    </w:p>
    <w:p>
      <w:pPr>
        <w:pStyle w:val="ListBullet"/>
      </w:pPr>
      <w:r>
        <w:t>应收账款是否存在长账期、回款依赖或坏账；</w:t>
      </w:r>
    </w:p>
    <w:p>
      <w:pPr>
        <w:pStyle w:val="ListBullet"/>
      </w:pPr>
      <w:r>
        <w:t>研发费用及无形资产是否存在不当资本化；</w:t>
      </w:r>
    </w:p>
    <w:p>
      <w:pPr>
        <w:pStyle w:val="ListBullet"/>
      </w:pPr>
      <w:r>
        <w:t>融资到账与估值是否与工商、银行流水一致；</w:t>
      </w:r>
    </w:p>
    <w:p>
      <w:pPr>
        <w:pStyle w:val="ListBullet"/>
      </w:pPr>
      <w:r>
        <w:t>现金可支撑月数及降本空间。</w:t>
      </w:r>
    </w:p>
    <w:p>
      <w:pPr>
        <w:pStyle w:val="Heading2"/>
      </w:pPr>
      <w:r>
        <w:t>十、法律、合规与数据安全</w:t>
      </w:r>
    </w:p>
    <w:p>
      <w:pPr>
        <w:pStyle w:val="Heading3"/>
      </w:pPr>
      <w:r>
        <w:t>10.1 公司与合同合规</w:t>
      </w:r>
    </w:p>
    <w:p>
      <w:r>
        <w:t>需核验公司主体资质、重大合同、关联交易、借款担保、诉讼仲裁、行政处罚、知识产权争议及商业秘密保护。当前未取得项目级原始证据。</w:t>
      </w:r>
    </w:p>
    <w:p>
      <w:pPr>
        <w:pStyle w:val="Heading3"/>
      </w:pPr>
      <w:r>
        <w:t>10.2 数据与个人信息保护</w:t>
      </w:r>
    </w:p>
    <w:p>
      <w:r>
        <w:t>公司产品涉及文本、图像、语音、视频及可能的医疗健康数据，应重点检查：</w:t>
      </w:r>
    </w:p>
    <w:p>
      <w:pPr>
        <w:pStyle w:val="ListBullet"/>
      </w:pPr>
      <w:r>
        <w:t>数据来源和处理目的是否合法、正当、必要；</w:t>
      </w:r>
    </w:p>
    <w:p>
      <w:pPr>
        <w:pStyle w:val="ListBullet"/>
      </w:pPr>
      <w:r>
        <w:t>是否取得个人信息及敏感个人信息的有效授权；</w:t>
      </w:r>
    </w:p>
    <w:p>
      <w:pPr>
        <w:pStyle w:val="ListBullet"/>
      </w:pPr>
      <w:r>
        <w:t>客户数据、公开网络数据、训练数据的使用边界；</w:t>
      </w:r>
    </w:p>
    <w:p>
      <w:pPr>
        <w:pStyle w:val="ListBullet"/>
      </w:pPr>
      <w:r>
        <w:t>数据脱敏、最小权限、访问审计、加密、留存和删除机制；</w:t>
      </w:r>
    </w:p>
    <w:p>
      <w:pPr>
        <w:pStyle w:val="ListBullet"/>
      </w:pPr>
      <w:r>
        <w:t>向第三方模型/API传输数据的合同与风险控制；</w:t>
      </w:r>
    </w:p>
    <w:p>
      <w:pPr>
        <w:pStyle w:val="ListBullet"/>
      </w:pPr>
      <w:r>
        <w:t>跨境传输及海外业务的合规安排；</w:t>
      </w:r>
    </w:p>
    <w:p>
      <w:pPr>
        <w:pStyle w:val="ListBullet"/>
      </w:pPr>
      <w:r>
        <w:t>生成内容的版权、肖像、声音、商标和不良信息治理。</w:t>
      </w:r>
    </w:p>
    <w:p>
      <w:pPr>
        <w:pStyle w:val="Heading3"/>
      </w:pPr>
      <w:r>
        <w:t>10.3 生成式AI与内容治理</w:t>
      </w:r>
    </w:p>
    <w:p>
      <w:r>
        <w:t>若公司向境内公众提供生成式AI服务，应核验适用的备案/登记、安全评估、内容标识及投诉处置要求；企业私有化部署也需明确客户与公司的责任边界。当前未发现项目级备案证据。</w:t>
      </w:r>
    </w:p>
    <w:p>
      <w:pPr>
        <w:pStyle w:val="Heading3"/>
      </w:pPr>
      <w:r>
        <w:t>10.4 医疗业务监管</w:t>
      </w:r>
    </w:p>
    <w:p>
      <w:r>
        <w:t>若仅用于行政办公、患者服务或非诊断性内容生成，监管路径相对轻；若输出诊断、治疗建议或具有医疗器械预期用途，则应开展产品分类界定、注册检验、临床评价、质量管理体系和不良事件管理。必须以具体产品功能、宣传文案及实际使用方式判断，不能仅以“技术平台”规避监管。</w:t>
      </w:r>
    </w:p>
    <w:p>
      <w:pPr>
        <w:pStyle w:val="Heading3"/>
      </w:pPr>
      <w:r>
        <w:t>10.5 知识产权与开源合规</w:t>
      </w:r>
    </w:p>
    <w:p>
      <w:r>
        <w:t>需建立软件物料清单（SBOM）和模型/数据来源清单，核验DeepSeek及其他模型的许可证、商业使用条件、权重来源及二次分发义务；同时确认员工、顾问、外包和合作开发成果均已归属于公司。</w:t>
      </w:r>
    </w:p>
    <w:p>
      <w:pPr>
        <w:pStyle w:val="Heading2"/>
      </w:pPr>
      <w:r>
        <w:t>十一、风险矩阵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风险事项</w:t>
            </w:r>
          </w:p>
        </w:tc>
        <w:tc>
          <w:tcPr>
            <w:tcW w:type="dxa" w:w="1926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概率</w:t>
            </w:r>
          </w:p>
        </w:tc>
        <w:tc>
          <w:tcPr>
            <w:tcW w:type="dxa" w:w="1926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影响</w:t>
            </w:r>
          </w:p>
        </w:tc>
        <w:tc>
          <w:tcPr>
            <w:tcW w:type="dxa" w:w="1926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等级</w:t>
            </w:r>
          </w:p>
        </w:tc>
        <w:tc>
          <w:tcPr>
            <w:tcW w:type="dxa" w:w="1926"/>
            <w:vAlign w:val="center"/>
            <w:shd w:fill="D9EAF7"/>
          </w:tcPr>
          <w:p>
            <w:r>
              <w:rPr>
                <w:rFonts w:ascii="微软雅黑" w:hAnsi="微软雅黑"/>
                <w:b/>
                <w:sz w:val="17"/>
              </w:rPr>
              <w:t>建议措施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主体、注册资本、地址及经营历史口径冲突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红色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调取工商内档并核验前身及资产承接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财务与现金流完全不可见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红色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完成财务报表、流水、税务及收入穿行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客户与效果数据缺乏独立验证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红色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客户函证、访谈和合同回款核验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核心技术与IP权属不清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红色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代码审计、开源审计、IP权属核验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医疗产品资质与数据合规缺口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红色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产品分类、监管路径和PIA/数据审计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多赛道导致资源分散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橙色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收敛核心场景，建立产品与财务分部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基础模型依赖及同质化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橙色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强化数据、工作流、客户集成和模型可替换性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核心团队稳定性与全职状态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橙色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背调、劳动关系、股权激励和竞业核验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宣传指标夸大或无法复现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橙色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第三方测试、审批宣传材料、客户授权</w:t>
            </w:r>
          </w:p>
        </w:tc>
      </w:tr>
      <w:tr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融资条款及潜在优先权负担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中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高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橙色</w:t>
            </w:r>
          </w:p>
        </w:tc>
        <w:tc>
          <w:tcPr>
            <w:tcW w:type="dxa" w:w="1926"/>
            <w:vAlign w:val="center"/>
          </w:tcPr>
          <w:p>
            <w:r>
              <w:rPr>
                <w:rFonts w:ascii="微软雅黑" w:hAnsi="微软雅黑"/>
                <w:sz w:val="17"/>
              </w:rPr>
              <w:t>审阅历史投资协议和股东权利文件</w:t>
            </w:r>
          </w:p>
        </w:tc>
      </w:tr>
    </w:tbl>
    <w:p/>
    <w:p>
      <w:pPr>
        <w:pStyle w:val="Heading2"/>
      </w:pPr>
      <w:r>
        <w:t>十二、投资价值判断</w:t>
      </w:r>
    </w:p>
    <w:p>
      <w:pPr>
        <w:pStyle w:val="Heading3"/>
      </w:pPr>
      <w:r>
        <w:t>12.1 正面逻辑</w:t>
      </w:r>
    </w:p>
    <w:p>
      <w:pPr>
        <w:pStyle w:val="ListBullet"/>
      </w:pPr>
      <w:r>
        <w:t>AIGC向行业工作流渗透具有长期趋势；</w:t>
      </w:r>
    </w:p>
    <w:p>
      <w:pPr>
        <w:pStyle w:val="ListBullet"/>
      </w:pPr>
      <w:r>
        <w:t>公司公开展示了多模态与多个垂直场景的产品化尝试；</w:t>
      </w:r>
    </w:p>
    <w:p>
      <w:pPr>
        <w:pStyle w:val="ListBullet"/>
      </w:pPr>
      <w:r>
        <w:t>元裳方向具有相对具体的数据与工作流方法论；</w:t>
      </w:r>
    </w:p>
    <w:p>
      <w:pPr>
        <w:pStyle w:val="ListBullet"/>
      </w:pPr>
      <w:r>
        <w:t>若公开客户和效率指标经核验真实，可能已具备一定产品市场匹配基础。</w:t>
      </w:r>
    </w:p>
    <w:p>
      <w:pPr>
        <w:pStyle w:val="Heading3"/>
      </w:pPr>
      <w:r>
        <w:t>12.2 反面逻辑</w:t>
      </w:r>
    </w:p>
    <w:p>
      <w:pPr>
        <w:pStyle w:val="ListBullet"/>
      </w:pPr>
      <w:r>
        <w:t>现有证据不足以确认真实收入、复购、毛利和现金流；</w:t>
      </w:r>
    </w:p>
    <w:p>
      <w:pPr>
        <w:pStyle w:val="ListBullet"/>
      </w:pPr>
      <w:r>
        <w:t>主体历史与工商口径冲突，资产完整性需优先查清；</w:t>
      </w:r>
    </w:p>
    <w:p>
      <w:pPr>
        <w:pStyle w:val="ListBullet"/>
      </w:pPr>
      <w:r>
        <w:t>产品线过宽，可能以项目制交付为主，标准化和可扩张性存疑；</w:t>
      </w:r>
    </w:p>
    <w:p>
      <w:pPr>
        <w:pStyle w:val="ListBullet"/>
      </w:pPr>
      <w:r>
        <w:t>基于开源基础模型的应用层容易同质化，技术指标尚未形成可信验证；</w:t>
      </w:r>
    </w:p>
    <w:p>
      <w:pPr>
        <w:pStyle w:val="ListBullet"/>
      </w:pPr>
      <w:r>
        <w:t>医疗方向的合规、临床证据和支付路径均未呈现；</w:t>
      </w:r>
    </w:p>
    <w:p>
      <w:pPr>
        <w:pStyle w:val="ListBullet"/>
      </w:pPr>
      <w:r>
        <w:t>宣传性指标较多，但缺少可复现测试和客户实名证据。</w:t>
      </w:r>
    </w:p>
    <w:p>
      <w:pPr>
        <w:pStyle w:val="Heading3"/>
      </w:pPr>
      <w:r>
        <w:t>12.3 当前建议</w:t>
      </w:r>
    </w:p>
    <w:p>
      <w:r>
        <w:rPr>
          <w:b/>
        </w:rPr>
        <w:t>评级：谨慎观察 / 暂不推荐进入投决。</w:t>
      </w:r>
    </w:p>
    <w:p>
      <w:r>
        <w:t>建议先安排一次“资料核验型尽调”，用2—3周完成主体、股权、财务、客户、技术和合规六条主线的红旗排查。若公司能证明：</w:t>
      </w:r>
    </w:p>
    <w:p>
      <w:pPr>
        <w:pStyle w:val="ListNumber"/>
      </w:pPr>
      <w:r>
        <w:t>主体及核心资产完整清晰；</w:t>
      </w:r>
    </w:p>
    <w:p>
      <w:pPr>
        <w:pStyle w:val="ListNumber"/>
      </w:pPr>
      <w:r>
        <w:t>代表性客户真实付费并持续复购；</w:t>
      </w:r>
    </w:p>
    <w:p>
      <w:pPr>
        <w:pStyle w:val="ListNumber"/>
      </w:pPr>
      <w:r>
        <w:t>核心产品具有正向毛利和可复制交付；</w:t>
      </w:r>
    </w:p>
    <w:p>
      <w:pPr>
        <w:pStyle w:val="ListNumber"/>
      </w:pPr>
      <w:r>
        <w:t>自研技术、数据和IP权属清晰；</w:t>
      </w:r>
    </w:p>
    <w:p>
      <w:pPr>
        <w:pStyle w:val="ListNumber"/>
      </w:pPr>
      <w:r>
        <w:t>医疗及数据合规路径可执行；</w:t>
      </w:r>
    </w:p>
    <w:p>
      <w:pPr>
        <w:pStyle w:val="ListNumber"/>
      </w:pPr>
      <w:r>
        <w:t>现金续航与融资需求合理；</w:t>
      </w:r>
    </w:p>
    <w:p>
      <w:r>
        <w:t>再进入估值、条款及投资回报分析。</w:t>
      </w:r>
    </w:p>
    <w:p>
      <w:pPr>
        <w:pStyle w:val="Heading2"/>
      </w:pPr>
      <w:r>
        <w:t>十三、后续尽调清单（优先级排序）</w:t>
      </w:r>
    </w:p>
    <w:p>
      <w:pPr>
        <w:pStyle w:val="Heading3"/>
      </w:pPr>
      <w:r>
        <w:t>P0：一票否决与交易基础</w:t>
      </w:r>
    </w:p>
    <w:p>
      <w:pPr>
        <w:pStyle w:val="ListNumber"/>
      </w:pPr>
      <w:r>
        <w:t>营业执照、工商内档、章程、股东名册、实缴凭证；</w:t>
      </w:r>
    </w:p>
    <w:p>
      <w:pPr>
        <w:pStyle w:val="ListNumber"/>
      </w:pPr>
      <w:r>
        <w:t>历史融资协议、股东权利、回购/对赌/代持文件；</w:t>
      </w:r>
    </w:p>
    <w:p>
      <w:pPr>
        <w:pStyle w:val="ListNumber"/>
      </w:pPr>
      <w:r>
        <w:t>前身及关联主体清单，业务、人员、客户、IP和数据承接文件；</w:t>
      </w:r>
    </w:p>
    <w:p>
      <w:pPr>
        <w:pStyle w:val="ListNumber"/>
      </w:pPr>
      <w:r>
        <w:t>成立至今财务报表、银行流水、纳税申报；</w:t>
      </w:r>
    </w:p>
    <w:p>
      <w:pPr>
        <w:pStyle w:val="ListNumber"/>
      </w:pPr>
      <w:r>
        <w:t>前十大客户合同、验收、发票、回款及联系人；</w:t>
      </w:r>
    </w:p>
    <w:p>
      <w:pPr>
        <w:pStyle w:val="ListNumber"/>
      </w:pPr>
      <w:r>
        <w:t>代码与知识产权权属、开源模型和数据许可；</w:t>
      </w:r>
    </w:p>
    <w:p>
      <w:pPr>
        <w:pStyle w:val="ListNumber"/>
      </w:pPr>
      <w:r>
        <w:t>重大诉讼、处罚、担保、借款及劳动争议。</w:t>
      </w:r>
    </w:p>
    <w:p>
      <w:pPr>
        <w:pStyle w:val="Heading3"/>
      </w:pPr>
      <w:r>
        <w:t>P1：价值验证</w:t>
      </w:r>
    </w:p>
    <w:p>
      <w:pPr>
        <w:pStyle w:val="ListNumber"/>
      </w:pPr>
      <w:r>
        <w:t>各产品月活、付费客户、ARR/MRR、客单价、续费率、流失率；</w:t>
      </w:r>
    </w:p>
    <w:p>
      <w:pPr>
        <w:pStyle w:val="ListNumber"/>
      </w:pPr>
      <w:r>
        <w:t>分产品收入、毛利、实施周期、算力成本和售后成本；</w:t>
      </w:r>
    </w:p>
    <w:p>
      <w:pPr>
        <w:pStyle w:val="ListNumber"/>
      </w:pPr>
      <w:r>
        <w:t>核心模型评测报告及可复现实测环境；</w:t>
      </w:r>
    </w:p>
    <w:p>
      <w:pPr>
        <w:pStyle w:val="ListNumber"/>
      </w:pPr>
      <w:r>
        <w:t>客户ROI、替代方案和采购决策流程；</w:t>
      </w:r>
    </w:p>
    <w:p>
      <w:pPr>
        <w:pStyle w:val="ListNumber"/>
      </w:pPr>
      <w:r>
        <w:t>核心团队全职状态、职责、薪酬及股权激励；</w:t>
      </w:r>
    </w:p>
    <w:p>
      <w:pPr>
        <w:pStyle w:val="ListNumber"/>
      </w:pPr>
      <w:r>
        <w:t>医疗产品具体功能、客户场景、资质和临床/验证材料。</w:t>
      </w:r>
    </w:p>
    <w:p>
      <w:pPr>
        <w:pStyle w:val="Heading3"/>
      </w:pPr>
      <w:r>
        <w:t>P2：增长与治理</w:t>
      </w:r>
    </w:p>
    <w:p>
      <w:pPr>
        <w:pStyle w:val="ListNumber"/>
      </w:pPr>
      <w:r>
        <w:t>未来24个月产品路线图、销售管线和预算；</w:t>
      </w:r>
    </w:p>
    <w:p>
      <w:pPr>
        <w:pStyle w:val="ListNumber"/>
      </w:pPr>
      <w:r>
        <w:t>渠道合作及海外业务安排；</w:t>
      </w:r>
    </w:p>
    <w:p>
      <w:pPr>
        <w:pStyle w:val="ListNumber"/>
      </w:pPr>
      <w:r>
        <w:t>数据安全制度、等保/ISO等认证及安全事件记录；</w:t>
      </w:r>
    </w:p>
    <w:p>
      <w:pPr>
        <w:pStyle w:val="ListNumber"/>
      </w:pPr>
      <w:r>
        <w:t>董事会治理、财务内控、合同审批与关联交易制度；</w:t>
      </w:r>
    </w:p>
    <w:p>
      <w:pPr>
        <w:pStyle w:val="ListNumber"/>
      </w:pPr>
      <w:r>
        <w:t>本轮融资金额、估值、资金用途和里程碑。</w:t>
      </w:r>
    </w:p>
    <w:p>
      <w:pPr>
        <w:pStyle w:val="Heading2"/>
      </w:pPr>
      <w:r>
        <w:t>十四、建议访谈提纲</w:t>
      </w:r>
    </w:p>
    <w:p>
      <w:pPr>
        <w:pStyle w:val="Heading3"/>
      </w:pPr>
      <w:r>
        <w:t>对创始人/实际控制人</w:t>
      </w:r>
    </w:p>
    <w:p>
      <w:pPr>
        <w:pStyle w:val="ListBullet"/>
      </w:pPr>
      <w:r>
        <w:t>2023年业务与2024年法人主体之间的关系是什么？</w:t>
      </w:r>
    </w:p>
    <w:p>
      <w:pPr>
        <w:pStyle w:val="ListBullet"/>
      </w:pPr>
      <w:r>
        <w:t>注册资本100万元与2,000万元口径为何不同？</w:t>
      </w:r>
    </w:p>
    <w:p>
      <w:pPr>
        <w:pStyle w:val="ListBullet"/>
      </w:pPr>
      <w:r>
        <w:t>公司目前唯一核心场景是什么，为什么同时进入多个行业？</w:t>
      </w:r>
    </w:p>
    <w:p>
      <w:pPr>
        <w:pStyle w:val="ListBullet"/>
      </w:pPr>
      <w:r>
        <w:t>天使轮真实融资金额、估值、投资方及股东权利是什么？</w:t>
      </w:r>
    </w:p>
    <w:p>
      <w:pPr>
        <w:pStyle w:val="ListBullet"/>
      </w:pPr>
      <w:r>
        <w:t>哪些公开客户数据可提供合同、验收和回款证明？</w:t>
      </w:r>
    </w:p>
    <w:p>
      <w:pPr>
        <w:pStyle w:val="Heading3"/>
      </w:pPr>
      <w:r>
        <w:t>对CTO/技术负责人</w:t>
      </w:r>
    </w:p>
    <w:p>
      <w:pPr>
        <w:pStyle w:val="ListBullet"/>
      </w:pPr>
      <w:r>
        <w:t>自研技术相对于DeepSeek等基础模型的边界是什么？</w:t>
      </w:r>
    </w:p>
    <w:p>
      <w:pPr>
        <w:pStyle w:val="ListBullet"/>
      </w:pPr>
      <w:r>
        <w:t>模型升级时如何确保客户应用稳定及历史效果不退化？</w:t>
      </w:r>
    </w:p>
    <w:p>
      <w:pPr>
        <w:pStyle w:val="ListBullet"/>
      </w:pPr>
      <w:r>
        <w:t>训练和微调数据从何而来，授权如何证明？</w:t>
      </w:r>
    </w:p>
    <w:p>
      <w:pPr>
        <w:pStyle w:val="ListBullet"/>
      </w:pPr>
      <w:r>
        <w:t>各产品单次任务推理成本、延迟、毛利和故障率是多少？</w:t>
      </w:r>
    </w:p>
    <w:p>
      <w:pPr>
        <w:pStyle w:val="ListBullet"/>
      </w:pPr>
      <w:r>
        <w:t>是否有可独立部署、可替换基础模型的架构？</w:t>
      </w:r>
    </w:p>
    <w:p>
      <w:pPr>
        <w:pStyle w:val="Heading3"/>
      </w:pPr>
      <w:r>
        <w:t>对财务负责人</w:t>
      </w:r>
    </w:p>
    <w:p>
      <w:pPr>
        <w:pStyle w:val="ListBullet"/>
      </w:pPr>
      <w:r>
        <w:t>月度收入、毛利、现金消耗和应收账龄情况如何？</w:t>
      </w:r>
    </w:p>
    <w:p>
      <w:pPr>
        <w:pStyle w:val="ListBullet"/>
      </w:pPr>
      <w:r>
        <w:t>项目制与订阅制收入各占多少？</w:t>
      </w:r>
    </w:p>
    <w:p>
      <w:pPr>
        <w:pStyle w:val="ListBullet"/>
      </w:pPr>
      <w:r>
        <w:t>免费试用、关联客户和渠道收入如何核算？</w:t>
      </w:r>
    </w:p>
    <w:p>
      <w:pPr>
        <w:pStyle w:val="ListBullet"/>
      </w:pPr>
      <w:r>
        <w:t>算力与外包成本是否完整计入项目成本？</w:t>
      </w:r>
    </w:p>
    <w:p>
      <w:pPr>
        <w:pStyle w:val="ListBullet"/>
      </w:pPr>
      <w:r>
        <w:t>当前现金可支撑多少个月？</w:t>
      </w:r>
    </w:p>
    <w:p>
      <w:pPr>
        <w:pStyle w:val="Heading3"/>
      </w:pPr>
      <w:r>
        <w:t>对客户</w:t>
      </w:r>
    </w:p>
    <w:p>
      <w:pPr>
        <w:pStyle w:val="ListBullet"/>
      </w:pPr>
      <w:r>
        <w:t>采购原因、竞品比较和决策流程是什么？</w:t>
      </w:r>
    </w:p>
    <w:p>
      <w:pPr>
        <w:pStyle w:val="ListBullet"/>
      </w:pPr>
      <w:r>
        <w:t>产品实际使用频率、效果及ROI如何？</w:t>
      </w:r>
    </w:p>
    <w:p>
      <w:pPr>
        <w:pStyle w:val="ListBullet"/>
      </w:pPr>
      <w:r>
        <w:t>是否完成验收和付款，是否计划续约/扩容？</w:t>
      </w:r>
    </w:p>
    <w:p>
      <w:pPr>
        <w:pStyle w:val="ListBullet"/>
      </w:pPr>
      <w:r>
        <w:t>数据安全、模型输出和售后服务有何问题？</w:t>
      </w:r>
    </w:p>
    <w:p>
      <w:pPr>
        <w:pStyle w:val="Heading2"/>
      </w:pPr>
      <w:r>
        <w:t>十五、来源与局限</w:t>
      </w:r>
    </w:p>
    <w:p>
      <w:r>
        <w:t>本报告关键依据包括：</w:t>
      </w:r>
    </w:p>
    <w:p>
      <w:pPr>
        <w:pStyle w:val="ListNumber"/>
      </w:pPr>
      <w:r>
        <w:t>《智灵动力（北京）科技有限公司 - 工商信息查询 - 爱企查》；</w:t>
      </w:r>
    </w:p>
    <w:p>
      <w:pPr>
        <w:pStyle w:val="ListNumber"/>
      </w:pPr>
      <w:r>
        <w:t>《智灵动力_智灵动力（北京）科技有限公司》公开聚合页面；</w:t>
      </w:r>
    </w:p>
    <w:p>
      <w:pPr>
        <w:pStyle w:val="ListNumber"/>
      </w:pPr>
      <w:r>
        <w:t>innoHere英诺嘿呀《智灵动力 - 公司详情》；</w:t>
      </w:r>
    </w:p>
    <w:p>
      <w:pPr>
        <w:pStyle w:val="ListNumber"/>
      </w:pPr>
      <w:r>
        <w:t>时代周报《专访智灵动力朱旭琪：真正融入服装业，AIGC需要大量数据训练》；</w:t>
      </w:r>
    </w:p>
    <w:p>
      <w:pPr>
        <w:pStyle w:val="ListNumber"/>
      </w:pPr>
      <w:r>
        <w:t>腾讯新闻转载《第一批DeepSeek应用来了！智灵动力全线产品升级DeepSeek基座，AI人机共生能力倍增》；</w:t>
      </w:r>
    </w:p>
    <w:p>
      <w:pPr>
        <w:pStyle w:val="ListNumber"/>
      </w:pPr>
      <w:r>
        <w:t>证券时报等AI医疗行业资料及相关行业研究页面。</w:t>
      </w:r>
    </w:p>
    <w:p>
      <w:r>
        <w:t>行业资料仅用于市场、竞争及监管背景，不用于证明智灵动力自身经营事实。不同公开来源之间存在冲突，最终应以公司原件、政府登记、银行及税务记录、客户函证和专项尽调结果为准。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智灵动力投资尽职调查报告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浙江赛智伯乐股权投资管理有限公司｜内部投研材料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智灵动力投资尽职调查报告（初步版）</dc:title>
  <dc:subject>投资尽职调查</dc:subject>
  <dc:creator>浙江赛智伯乐股权投资管理有限公司投资中台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