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00"/>
      </w:pPr>
      <w:r>
        <w:rPr>
          <w:rFonts w:ascii="PingFang SC Semibold" w:hAnsi="PingFang SC Semibold" w:cs="PingFang SC Semibold"/>
          <w:sz w:val="64"/>
          <w:sz-cs w:val="64"/>
          <w:b/>
          <w:spacing w:val="0"/>
          <w:color w:val="13284B"/>
        </w:rPr>
        <w:t xml:space="preserve">智灵动力项目 Q&amp;A</w:t>
      </w:r>
    </w:p>
    <w:p>
      <w:pPr/>
      <w:r>
        <w:rPr>
          <w:rFonts w:ascii="PingFang SC" w:hAnsi="PingFang SC" w:cs="PingFang SC"/>
          <w:sz w:val="40"/>
          <w:sz-cs w:val="40"/>
          <w:spacing w:val="0"/>
          <w:color w:val="495260"/>
        </w:rPr>
        <w:t xml:space="preserve">投资沟通与初步尽调问题清单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项目：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智灵动力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项目ID：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62e6c2f3-5d0a-4cd9-b49d-2919b8ba1249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版本日期：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2026年8月6日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编制：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浙江赛智伯乐股权投资管理有限公司投资中台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资料口径：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当前授权资料以公开联网核验材料和行业资料为主，未检索到公司BP、财务报表、股权穿透表、客户合同、知识产权清单等项目原件。文中公司事实均标注“公开信息/待核验”，不得替代正式尽调。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一、执行摘要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核心判断：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智灵动力可初步归类为基于国产开源大模型、面向医疗与服装等垂直行业提供AI解决方案的早期项目。公开信息显示其具备多模态、智能交互与行业适配思路，并在服装方向形成“元裳大模型”相关产品叙事；但现阶段项目主体沿革、技术权属、医疗产品形态、客户收入、融资条款及财务状况均缺少项目原件支撑，投资判断应以补齐证据链为前提。</w:t>
      </w:r>
    </w:p>
    <w:p>
      <w:pPr>
        <w:jc w:val="center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维度</w:t>
      </w:r>
    </w:p>
    <w:p>
      <w:pPr>
        <w:jc w:val="center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当前判断</w:t>
      </w:r>
    </w:p>
    <w:p>
      <w:pPr>
        <w:jc w:val="center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证据状态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项目定位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垂直行业大模型与AI应用解决方案，公开信息涉及医疗、服装、教育、工业。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公开信息，待公司确认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产品/技术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国产开源底座、多模态理解、智能交互、行业适配；服装方向公开披露“元裳大模型”。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公开报道，缺技术原件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商业化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服装方向有“客户需求驱动、2023年实现首个PMF”的媒体表述；客户、合同、收入均未披露。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媒体口径，待核验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融资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第三方页面称2025年3月获天使轮，投资方为飞图创投、盛景网联（盛景嘉成），金额未披露。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第三方公开信息，待核验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主要风险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主体时间口径矛盾、赛道跨度较大、数据与模型权属、医疗合规、商业化复制、财务信息缺失。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需专项尽调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二、项目与主体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Q1. 智灵动力是什么公司，核心定位是什么？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A461A"/>
        </w:rPr>
        <w:t xml:space="preserve">公开信息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公开资料将智灵动力描述为人工智能大模型研发与应用企业，以国产开源大模型为基础，结合多模态理解、智能交互和智慧推理，为医疗、服装、教育、工业等垂直行业提供AI解决方案。该定位尚需公司BP、产品清单及收入结构验证，尤其要确认当前主航道及资源投入比例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依据：第三方项目页面《智灵动力_智灵动力（北京）科技有限公司》。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Q2. 项目法律主体与成立时间是什么？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存在矛盾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工商公开页面显示“智灵动力（北京）科技有限公司”成立于2024年11月11日，注册资本2,000万元，法定代表人为郝雅婕。媒体专访则称“智灵动力成立于2023年”。两种口径可能对应团队启动时间与现法律主体设立时间，也可能涉及主体迁移或重组，必须核验历史主体、资产/人员/知识产权承接关系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依据：爱企查工商页面；时代周报相关专访。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Q3. 股权结构、实际控制人和员工持股安排如何？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待核验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当前授权资料未披露完整股东名册、持股比例、实控人认定、一致行动关系、期权池及历史增资转让。建议取得最新公司章程、工商内档、穿透后股权结构图、历次投资协议和员工激励文件，并核验是否存在代持、对赌、优先权或潜在稀释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Q4. 历史融资情况如何？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第三方待核验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第三方项目页面称公司于2025年3月19日获得天使轮融资，投资方为飞图创投、盛景网联（盛景嘉成），融资金额未透露。该信息尚无投资协议、交割凭证及工商变更文件支撑，融资金额、投前/投后估值、股份比例和特殊权利均待核验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依据：第三方项目页面《智灵动力_智灵动力（北京）科技有限公司》。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三、团队与组织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Q5. 创始人与核心团队有哪些成员？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待核验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公开项目页面列示创始人为郝雅婕，管理团队包括郝雅婕、朱旭琪、张伟、王欢、郎清平；媒体报道将朱旭琪称为联合创始人、元裳大模型负责人及AIGCxFashion发起人。除朱旭琪的服装AI公开访谈外，其他成员的教育、履历、分工、全职状态和过往业绩尚缺乏授权原件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依据：第三方项目页面；时代周报相关专访。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Q6. 团队是否具备“AI技术+垂直行业+商业化”复合能力？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待核验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朱旭琪的公开访谈体现其对服装数据标准、模型训练、设计工作流及产业痛点有一定理解，但尚不足以证明整体团队的底层模型研发、医疗临床、数据合规、企业销售与交付能力。需核验研发团队人数与代码贡献、医疗专家配置、销售交付负责人及核心人员稳定性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四、产品与技术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Q7. 公司的技术路线是什么？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A461A"/>
        </w:rPr>
        <w:t xml:space="preserve">公开信息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公开信息显示，公司基于国产开源大模型开展行业适配，技术关键词包括多模态理解、自然语言智能交互、垂直行业训练与推理。服装方向公开提及预训练、微调/LoRA、风格标签对齐、特征向量数据库及私有设计模型。当前尚未披露底座模型版本、自研模块边界、训练数据量、评测集、推理成本和核心性能指标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依据：第三方项目页面；时代周报相关专访。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Q8. “元裳大模型”的产品形态和价值是什么？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A461A"/>
        </w:rPr>
        <w:t xml:space="preserve">媒体口径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据朱旭琪专访，元裳以多模态模型组为核心，构建从时尚元素采集、数据资产管理、私有模型训练到视觉应用的一站式通路，并提供设计、试衣、3D秀场等链式服务；其强调将端到端图像生成转化为基于设计师意图的逐步可控迭代。产品成熟度、实际部署数量、客户留存和付费情况仍待核验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依据：时代周报《专访智灵动力朱旭琪：真正融入服装业，AIGC需要大量数据训练》。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Q9. 医疗方向具体产品和监管属性是什么？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资料缺失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当前资料仅能确认公开项目介绍涉及“医疗”垂直行业，未披露具体产品、科室、用户、临床用途或是否构成医疗器械。需优先明确其属于低风险的病历生成/患者服务/运营管理，还是辅助诊断等高风险场景；后者通常涉及医疗器械注册、临床评价、算法变更管理及更严格的数据合规要求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Q10. 核心技术壁垒和知识产权如何判断？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待核验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目前无法确认专利、软著、商标、代码、模型权重和数据集权属。鉴于公司使用开源底座，真正壁垒应重点核验：行业数据的合法、排他和持续获取能力；专有评测体系；工作流嵌入深度；模型推理成本；客户反馈形成的数据飞轮；以及在开源许可证约束下的商业使用合规性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五、市场、客户与商业模式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Q11. 公司解决了什么核心痛点？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A461A"/>
        </w:rPr>
        <w:t xml:space="preserve">初步判断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服装方向的核心痛点包括创意设计效率、数据标准不统一、企业私有数据难复用、生成内容可控性不足，以及设计—试衣—展示流程割裂；医疗方向理论上可聚焦医生文书负担、数据整合和运营效率，但项目自身具体场景尚未披露。投资判断应落到单一高频、刚需、可量化ROI的切入口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Q12. 是否已验证产品市场匹配（PMF）？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媒体口径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朱旭琪在专访中称，元裳最初来自客户对服装设计模型的需求，并于2023年实现服装行业首个PMF落地。该表述可作为商业验证线索，但不能替代证据。应取得客户名称、合同、验收、发票、回款、活跃度、续费与节省成本数据，并访谈客户确认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依据：时代周报相关专访。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Q13. 当前客户、订单和收入情况如何？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资料缺失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暂无已授权资料披露客户名单、付费客户数、合同额、收入、回款、在手订单或销售管线。需按行业、产品和客户拆分近24个月合同台账，区分PoC、免费试点、一次性项目与可续费订阅，并核验客户集中度、交付周期及应收账款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Q14. 商业模式是否可规模化？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待验证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可能的模式包括私有化部署、SaaS订阅、模型/API调用、定制开发与数据/咨询服务。当前未披露实际收入结构。若收入主要来自定制项目，需警惕人力交付、毛利受限与跨行业复用困难；若采取订阅/API模式，应核验单客年费、Token与算力成本、续费率和标准化部署周期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Q15. 市场空间与行业趋势如何？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A461A"/>
        </w:rPr>
        <w:t xml:space="preserve">行业资料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行业资料普遍认为AI医疗处于商业化落地阶段，但不同机构口径差异较大，不宜直接作为项目可服务市场。相对确定的趋势是：政策明确支持多类卫生健康AI场景；低风险非诊断场景落地更快；医疗数据、临床验证和合规能力构成关键门槛。公司应基于具体产品、客群、价格和可触达渠道自下而上测算TAM/SAM/SOM。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依据：智慧医疗网、报告大厅、智研咨询等AI医疗行业资料。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Q16. 主要竞争对手和差异化是什么？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待定位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医疗方向潜在竞争者包括互联网/大模型平台、医疗信息化厂商及专业AI医疗企业；行业资料列举百度灵医、讯飞医疗、腾讯觅影、医渡科技、推想医疗、数坤科技等不同类型玩家。服装方向还需对比通用图像生成工具、垂直设计SaaS和品牌自研模型。智灵动力的差异化目前主要是“国产开源底座+多模态+行业适配”的描述，尚需用性能、成本、交付、客户与数据壁垒量化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六、财务、融资与回报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Q17. 历史财务表现和现金消耗如何？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资料缺失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暂无已授权财务报表或管理报表，无法判断收入增速、毛利率、净利润、经营现金流、研发投入、应收账款及现金跑道。需取得成立至今月度三表、银行流水、纳税申报、合同发票回款匹配表及未来三年预算，并重点拆分算力、研发人员和项目交付成本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Q18. 本轮融资金额、估值与资金用途是什么？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资料缺失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当前资料未披露本轮融资方案。正式决策前应明确融资金额、投前估值、出让比例、老股转让、最低交割、资金用途与18—24个月里程碑，并将拨款或估值调整与产品发布、付费客户、ARR/收入、毛利率、医疗合规节点等可核验指标挂钩。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Q19. 退出路径与回报逻辑是什么？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初步框架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潜在路径包括后续股权融资、被大模型平台/行业软件商/医疗信息化企业并购，或在业务规模与合规条件成熟后进入资本市场。现阶段缺乏收入、估值和可比交易数据，无法测算回报。早期投资更应关注下一轮可融资性：明确主航道、形成标杆客户、提升标准化收入占比并建立可审计的数据与财务体系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七、风险与投资建议</w:t>
      </w:r>
    </w:p>
    <w:p>
      <w:pPr>
        <w:spacing w:after="1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3284B"/>
        </w:rPr>
        <w:t xml:space="preserve">Q20. 当前最关键的投资风险和下一步动作是什么？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702C0C"/>
        </w:rPr>
        <w:t xml:space="preserve">重点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C6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关键风险：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（1）2023年团队起步与2024年法律主体成立的口径及资产承接不清；（2）医疗、服装、教育、工业多赛道并行可能导致资源分散；（3）开源底座下自研边界和IP壁垒不清；（4）客户、收入与PMF缺少原始证据；（5）医疗数据、算法与产品注册合规风险；（6）算力和定制交付可能侵蚀毛利；（7）股权、融资和财务信息缺失。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建议：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暂按“持续跟踪、补证后再判断”处理。优先完成主体/IP链条、产品技术测试、Top客户访谈、财务流水核验、医疗合规评估和本轮条款六项专项核查；在公司证明单一主航道、可复用产品、真实付费与合理单位经济性后，再进入估值和投资条款谈判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八、优先补充资料清单</w:t>
      </w:r>
    </w:p>
    <w:p>
      <w:pPr>
        <w:jc w:val="center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优先级</w:t>
      </w:r>
    </w:p>
    <w:p>
      <w:pPr>
        <w:jc w:val="center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资料</w:t>
      </w:r>
    </w:p>
    <w:p>
      <w:pPr>
        <w:jc w:val="center"/>
      </w:pPr>
      <w:r>
        <w:rPr>
          <w:rFonts w:ascii="PingFang SC Semibold" w:hAnsi="PingFang SC Semibold" w:cs="PingFang SC Semibold"/>
          <w:sz w:val="25"/>
          <w:sz-cs w:val="25"/>
          <w:b/>
          <w:spacing w:val="0"/>
          <w:color w:val="13284B"/>
        </w:rPr>
        <w:t xml:space="preserve">核验目标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BP、最新章程、工商内档、完整股权穿透、历次投资协议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主体、实控人、融资和特殊权利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产品清单、架构图、代码/模型权属、开源许可证、专利软著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自研边界、IP完整性与可持续壁垒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客户合同、验收、发票、回款、活跃与续费数据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PMF、真实收入和客户价值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成立至今三表、银行流水、纳税申报、预算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财务真实性、毛利与现金跑道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P0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医疗产品说明、数据授权、伦理/临床材料、备案/注册路径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监管属性和合规可行性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团队简历、劳动合同、社保、竞业、期权池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核心团队能力与稳定性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P1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本轮TS、融资用途和月度里程碑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1A1A1A"/>
        </w:rPr>
        <w:t xml:space="preserve">估值合理性与资金效率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3284B"/>
        </w:rPr>
        <w:t xml:space="preserve">九、来源与口径说明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《智灵动力_智灵动力（北京）科技有限公司》（第三方项目页面）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《智灵动力（北京）科技有限公司—工商信息查询》（爱企查公开页面）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《专访智灵动力朱旭琪：真正融入服装业，AIGC需要大量数据训练》（时代周报及转载页面）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《2025年AI医疗行业分析：市场规模将突破1500亿元，技术融合引领产业升级》（智慧医疗网）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《2026年AI医疗市场规模分析：整体规模突破千亿元，累计获批三类医疗器械超200款》（报告大厅）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《2025年中国AI医疗器械行业产业链图谱、产业环境、市场规模及未来趋势研判》（智研咨询）</w:t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《2015-2025：中国AI医疗投资十年沉浮录》（36氪/动脉网）</w:t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646464"/>
        </w:rPr>
        <w:t xml:space="preserve">说明：行业资料仅用于市场、政策和竞品上下文，不用于确认智灵动力自身事实；所有标注“待核验”的事项均应以公司原件、访谈及第三方独立核查为准。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