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ATitle"/>
      </w:pPr>
      <w:r>
        <w:rPr>
          <w:rFonts w:ascii="Songti SC" w:hAnsi="Songti SC" w:cs="Songti SC" w:eastAsia="Songti SC" w:hint="eastAsia"/>
          <w:b/>
          <w:color w:val="1F2730"/>
          <w:sz w:val="40"/>
          <w:lang w:eastAsia="zh-CN"/>
        </w:rPr>
        <w:t>智灵动力</w:t>
      </w:r>
      <w:r>
        <w:rPr>
          <w:rFonts w:ascii="Times New Roman" w:hAnsi="Times New Roman" w:cs="Times New Roman" w:eastAsia="Songti SC"/>
          <w:b/>
          <w:color w:val="1F2730"/>
          <w:sz w:val="40"/>
        </w:rPr>
        <w:t xml:space="preserve">Q&amp;A </w:t>
      </w:r>
      <w:r>
        <w:rPr>
          <w:rFonts w:ascii="Songti SC" w:hAnsi="Songti SC" w:cs="Songti SC" w:eastAsia="Songti SC" w:hint="eastAsia"/>
          <w:b/>
          <w:color w:val="1F2730"/>
          <w:sz w:val="40"/>
          <w:lang w:eastAsia="zh-CN"/>
        </w:rPr>
        <w:t>报告</w:t>
      </w:r>
    </w:p>
    <w:p>
      <w:pPr>
        <w:pStyle w:val="Heading1"/>
      </w:pPr>
      <w:r>
        <w:rPr>
          <w:rFonts w:ascii="Times New Roman" w:hAnsi="Times New Roman" w:cs="Times New Roman" w:eastAsia="Heiti SC"/>
          <w:b/>
          <w:color w:val="1F2730"/>
          <w:sz w:val="28"/>
        </w:rPr>
        <w:t>Q1</w:t>
      </w:r>
      <w:r>
        <w:rPr>
          <w:rFonts w:ascii="Heiti SC" w:hAnsi="Heiti SC" w:cs="Heiti SC" w:eastAsia="Heiti SC" w:hint="eastAsia"/>
          <w:b/>
          <w:color w:val="1F2730"/>
          <w:sz w:val="28"/>
          <w:lang w:eastAsia="zh-CN"/>
        </w:rPr>
        <w:t>：智灵动力是什么项目，目前处于什么阶段？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现有证据仅能将智灵动力置于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医疗相关赛道，尚不能确认其公司主体、具体产品、目标科室、付费客户或商业化阶段。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[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尚无可核验证据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 xml:space="preserve">] 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因此，现阶段不能把项目表述为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已产品化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已进入医院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或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已实现商业化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，也不能形成关于技术壁垒、收入质量或投资价值的确定判断。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项目定义需先回答四个基础问题：产品服务谁，是医院、医生、患者、药械企业还是科研机构；解决何种流程，是辅助诊断、病历生成、患者服务、医院管理、医学检验还是药物研发；交付形态是软件许可、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SaaS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、私有化部署、软硬件一体机还是项目制服务；当前状态是研发、内部测试、医院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POC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、注册申报、签约、交付、验收、收入确认或回款。上述状态之间不可互相替代。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在项目主体和产品未确认前，最稳妥的内部定位是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“AI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医疗方向待识别项目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。下一步应取得营业执照、公司简介、产品清单、系统演示、商业化台账及监管分类意见，并由创始人和产品负责人共同确认一页式业务定义。若项目实际并非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医疗，应立即重做行业、竞品与合规分析。</w:t>
      </w:r>
    </w:p>
    <w:p>
      <w:pPr>
        <w:pStyle w:val="Heading1"/>
        <w:pageBreakBefore/>
      </w:pPr>
      <w:r>
        <w:rPr>
          <w:rFonts w:ascii="Times New Roman" w:hAnsi="Times New Roman" w:cs="Times New Roman" w:eastAsia="Heiti SC"/>
          <w:b/>
          <w:color w:val="1F2730"/>
          <w:sz w:val="28"/>
        </w:rPr>
        <w:t>Q2</w:t>
      </w:r>
      <w:r>
        <w:rPr>
          <w:rFonts w:ascii="Heiti SC" w:hAnsi="Heiti SC" w:cs="Heiti SC" w:eastAsia="Heiti SC" w:hint="eastAsia"/>
          <w:b/>
          <w:color w:val="1F2730"/>
          <w:sz w:val="28"/>
          <w:lang w:eastAsia="zh-CN"/>
        </w:rPr>
        <w:t>：行业机会与客户痛点是否成立？</w:t>
      </w:r>
    </w:p>
    <w:p>
      <w:pPr/>
      <w:r>
        <w:rPr>
          <w:rFonts w:ascii="Times New Roman" w:hAnsi="Times New Roman" w:cs="Times New Roman" w:eastAsia="Songti SC"/>
          <w:b w:val="0"/>
          <w:color w:val="1F2730"/>
          <w:sz w:val="21"/>
        </w:rPr>
        <w:t>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医疗的方向性需求成立，但行业增长不能自动证明智灵动力拥有可获取的市场。医疗机构的核心诉求通常集中在减轻医护文书与重复劳动、提高诊疗质量、改善患者流程、加强运营和质控，以及缓解基层专业能力不足。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2024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年发布的《卫生健康行业人工智能应用场景参考指引》覆盖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84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类应用场景，说明政策层面对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进入临床、管理、基层和公共卫生流程给出了较广的应用边界。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行业同时具有明显分化：低风险、非诊断类场景通常更易部署；直接影响诊断治疗的产品需要更严格的临床验证、医疗器械注册及质量管理。医院信息系统标准不一、数据孤岛、预算与采购周期、私有化算力成本和持续运维投入，都会使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有需求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与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愿付费、可复制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之间出现较大距离。行业市场规模的不同统计口径差异显著，不宜用一个宽口径总规模推导项目收入空间。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[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多来源口径冲突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]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智灵动力必须用目标客户的现行流程证明痛点，而非仅依赖行业趋势。需要补充至少三类同场景客户访谈，量化现有流程的人时、错误率、等待时间、单次成本或收入损失，并提供预算归口和采购决策链。若产品不能带来可量化改善，或改善价值低于采购、集成和维护成本，需求可能停留在试点层面。</w:t>
      </w:r>
    </w:p>
    <w:p>
      <w:pPr>
        <w:pStyle w:val="Heading1"/>
        <w:pageBreakBefore/>
      </w:pPr>
      <w:r>
        <w:rPr>
          <w:rFonts w:ascii="Times New Roman" w:hAnsi="Times New Roman" w:cs="Times New Roman" w:eastAsia="Heiti SC"/>
          <w:b/>
          <w:color w:val="1F2730"/>
          <w:sz w:val="28"/>
        </w:rPr>
        <w:t>Q3</w:t>
      </w:r>
      <w:r>
        <w:rPr>
          <w:rFonts w:ascii="Heiti SC" w:hAnsi="Heiti SC" w:cs="Heiti SC" w:eastAsia="Heiti SC" w:hint="eastAsia"/>
          <w:b/>
          <w:color w:val="1F2730"/>
          <w:sz w:val="28"/>
          <w:lang w:eastAsia="zh-CN"/>
        </w:rPr>
        <w:t>：产品与技术是否解决关键问题？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现有证据不能确认智灵动力的产品架构、数据输入、核心模型、输出结果及反馈闭环。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[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尚无可核验证据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 xml:space="preserve">] 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对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医疗项目，技术判断不应只看模型演示，而应同时审查数据合法性、临床有效性、系统稳定性、可解释性、安全性及工作流适配。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技术核验应沿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数据输入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—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模型或规则引擎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—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业务输出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—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人工复核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—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结果反馈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展开。公司需说明哪些模块自主研发，哪些依赖开源模型、第三方大模型、云服务或医疗信息化厂商；训练、验证和测试数据如何分离；数据是否取得合法授权；关键指标在何种人群、机构、设备和样本量下产生；跨医院、跨设备和罕见病例是否出现性能衰减。内部测试不能等同于第三方测试，单中心结果也不能直接推导多中心泛化能力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若产品触及诊断、治疗建议或高风险临床决策，还应提供监管分类、临床评价路径、注册计划和算法更新控制方案；若定位为流程提效工具，也需证明错误输出不会被医生或患者误用。建议由临床专家、算法专家、医疗器械法规顾问和医院信息科分别完成独立评审，在此之前不宜认定技术已达到临床可用或规模交付状态。</w:t>
      </w:r>
    </w:p>
    <w:p>
      <w:pPr>
        <w:pStyle w:val="Heading1"/>
        <w:pageBreakBefore/>
      </w:pPr>
      <w:r>
        <w:rPr>
          <w:rFonts w:ascii="Times New Roman" w:hAnsi="Times New Roman" w:cs="Times New Roman" w:eastAsia="Heiti SC"/>
          <w:b/>
          <w:color w:val="1F2730"/>
          <w:sz w:val="28"/>
        </w:rPr>
        <w:t>Q4</w:t>
      </w:r>
      <w:r>
        <w:rPr>
          <w:rFonts w:ascii="Heiti SC" w:hAnsi="Heiti SC" w:cs="Heiti SC" w:eastAsia="Heiti SC" w:hint="eastAsia"/>
          <w:b/>
          <w:color w:val="1F2730"/>
          <w:sz w:val="28"/>
          <w:lang w:eastAsia="zh-CN"/>
        </w:rPr>
        <w:t>：核心优势与竞争差异是否可信？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智灵动力尚无可核验的性能、客户、注册、数据资源或知识产权证据，当前不能确认其竞争壁垒。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[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尚无可核验证据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] 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医疗竞争者不仅包括同类创业公司，也包括大型医疗设备商、医疗信息化厂商、互联网平台、通用大模型供应商、医院自研团队，以及医生人工流程和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不采购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选项。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行业对标显示，成熟参与者往往依靠多项能力组合：合规且可持续的数据来源、深度医院合作、注册证或临床验证、与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HIS/EMR/PACS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等系统的集成经验、稳定交付与售后，以及可持续资金投入。仅有算法准确率、低价格或一次性定制能力，通常难形成长期壁垒；基础模型能力提升还可能压缩通用问答、文本生成等功能的差异化空间。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公司应提交同场景竞品矩阵，以相同测试集和同一业务流程比较准确性、召回率、幻觉率、响应延迟、部署周期、接口兼容、客户总成本及监管状态，并说明失败案例。真正可投资的优势应同时满足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客户在意、可量化、难复制、可持续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。若差异主要来自创始人关系、单一医院数据或人工服务，需评估关系中断、数据不可续用和人效约束。</w:t>
      </w:r>
    </w:p>
    <w:p>
      <w:pPr>
        <w:pStyle w:val="Heading1"/>
        <w:pageBreakBefore/>
      </w:pPr>
      <w:r>
        <w:rPr>
          <w:rFonts w:ascii="Times New Roman" w:hAnsi="Times New Roman" w:cs="Times New Roman" w:eastAsia="Heiti SC"/>
          <w:b/>
          <w:color w:val="1F2730"/>
          <w:sz w:val="28"/>
        </w:rPr>
        <w:t>Q5</w:t>
      </w:r>
      <w:r>
        <w:rPr>
          <w:rFonts w:ascii="Heiti SC" w:hAnsi="Heiti SC" w:cs="Heiti SC" w:eastAsia="Heiti SC" w:hint="eastAsia"/>
          <w:b/>
          <w:color w:val="1F2730"/>
          <w:sz w:val="28"/>
          <w:lang w:eastAsia="zh-CN"/>
        </w:rPr>
        <w:t>：商业模式能否产品化与规模化？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现有证据不能确认智灵动力采用软件许可、订阅、调用量计费、硬件销售、实施服务或科研合作模式，也不能判断收入是否具有重复性。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[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尚无可核验证据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 xml:space="preserve">] 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医疗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常见的商业化障碍是项目制收入看似增长，但每家医院都需要重新集成、标注、调参和驻场，导致收入与人员同步增长，毛利和现金流难以改善。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产品化应通过五项指标验证：标准模块占比、单院部署周期、单项目定制人天、可复用接口或组件比例、上线后的续费与扩科室情况。公司还需拆分软件、硬件、实施、运维和第三方算力成本，说明毛利率口径及售后责任。若依赖医院本地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GPU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、第三方大模型或信息化厂商，应将推理成本、适配费用、涨价风险和服务等级协议纳入单位经济模型。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建议选择一个高频、强痛点、预算归口清晰的场景作为标准产品，先验证三家不同信息化条件客户的复制效率。若第十家客户的部署成本没有明显低于第一家，或续费依赖新增定制功能，则公司更接近医疗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IT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项目交付商而非可规模化软件企业，估值方法也应相应调整。</w:t>
      </w:r>
    </w:p>
    <w:p>
      <w:pPr>
        <w:pStyle w:val="Heading1"/>
        <w:pageBreakBefore/>
      </w:pPr>
      <w:r>
        <w:rPr>
          <w:rFonts w:ascii="Times New Roman" w:hAnsi="Times New Roman" w:cs="Times New Roman" w:eastAsia="Heiti SC"/>
          <w:b/>
          <w:color w:val="1F2730"/>
          <w:sz w:val="28"/>
        </w:rPr>
        <w:t>Q6</w:t>
      </w:r>
      <w:r>
        <w:rPr>
          <w:rFonts w:ascii="Heiti SC" w:hAnsi="Heiti SC" w:cs="Heiti SC" w:eastAsia="Heiti SC" w:hint="eastAsia"/>
          <w:b/>
          <w:color w:val="1F2730"/>
          <w:sz w:val="28"/>
          <w:lang w:eastAsia="zh-CN"/>
        </w:rPr>
        <w:t>：客户、订单、交付、收入和回款是否得到验证？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目前没有客户名单、合同、订单、交付单、验收报告、发票、收入明细或银行流水支持智灵动力的商业化进展。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[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尚无可核验证据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 xml:space="preserve">] 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任何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合作医院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覆盖客户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在手订单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或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收入增长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的表述均不应进入投资判断，直至取得对应证据。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客户进展必须按线索、需求确认、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Demo/POC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、测试、招投标、签署合同、交付、验收、收入确认、回款和复购逐项列示。合作协议或联合实验室不等于采购，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POC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不等于订单，交付不等于验收，收入也不等于现金。公司应按客户别名提供合同金额、产品、当前阶段、预计日期和证据，并披露前五大客户集中度、销售周期、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POC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转化率、应收账款账龄和回款条件。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核验应抽取至少三类客户：最大收入客户、最新签约客户及已流失或未转化客户，由投资团队直接访谈业务使用者、信息科、采购或财务人员。重点确认产品实际使用频率、关键效果、验收条件、预算来源、续费意愿及是否存在关联交易。无法形成合同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—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验收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—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发票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—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流水闭环时，商业化证据应视为不足。</w:t>
      </w:r>
    </w:p>
    <w:p>
      <w:pPr>
        <w:pStyle w:val="Heading1"/>
        <w:pageBreakBefore/>
      </w:pPr>
      <w:r>
        <w:rPr>
          <w:rFonts w:ascii="Times New Roman" w:hAnsi="Times New Roman" w:cs="Times New Roman" w:eastAsia="Heiti SC"/>
          <w:b/>
          <w:color w:val="1F2730"/>
          <w:sz w:val="28"/>
        </w:rPr>
        <w:t>Q7</w:t>
      </w:r>
      <w:r>
        <w:rPr>
          <w:rFonts w:ascii="Heiti SC" w:hAnsi="Heiti SC" w:cs="Heiti SC" w:eastAsia="Heiti SC" w:hint="eastAsia"/>
          <w:b/>
          <w:color w:val="1F2730"/>
          <w:sz w:val="28"/>
          <w:lang w:eastAsia="zh-CN"/>
        </w:rPr>
        <w:t>：团队、治理、知识产权与合规基础是否稳定？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现有证据未披露创始人、核心管理层、股权结构、历史融资、员工构成、知识产权或监管资质。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[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尚无可核验证据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 xml:space="preserve">] 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团队评估需要覆盖临床理解、算法研发、产品、医院销售、交付、医疗器械法规、数据安全和财务管理，不能仅凭名校或大厂经历判断执行力。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公司应提供全职证明、劳动或顾问协议、竞业限制、历史任职成果和关键人依赖情况；提供完整股权穿透、代持清理、员工期权、关联方交易及董事会安排。对于高校、医院或前雇主背景技术，应核验职务成果归属、技术转让或许可范围、独占性、期限及再许可权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知识产权核验应覆盖专利、软件著作权、源代码、商标、模型权重、数据集与标注成果。医疗数据还需说明采集目的、授权链、脱敏、存储地点、访问控制、跨机构使用、模型训练与二次利用边界。产品若涉及医疗器械、生成式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服务或互联网诊疗相关活动，应取得专业法规意见并核实所需注册、备案和许可；缓释方案不能替代已经完成的合规证据。</w:t>
      </w:r>
    </w:p>
    <w:p>
      <w:pPr>
        <w:pStyle w:val="Heading1"/>
        <w:pageBreakBefore/>
      </w:pPr>
      <w:r>
        <w:rPr>
          <w:rFonts w:ascii="Times New Roman" w:hAnsi="Times New Roman" w:cs="Times New Roman" w:eastAsia="Heiti SC"/>
          <w:b/>
          <w:color w:val="1F2730"/>
          <w:sz w:val="28"/>
        </w:rPr>
        <w:t>Q8</w:t>
      </w:r>
      <w:r>
        <w:rPr>
          <w:rFonts w:ascii="Heiti SC" w:hAnsi="Heiti SC" w:cs="Heiti SC" w:eastAsia="Heiti SC" w:hint="eastAsia"/>
          <w:b/>
          <w:color w:val="1F2730"/>
          <w:sz w:val="28"/>
          <w:lang w:eastAsia="zh-CN"/>
        </w:rPr>
        <w:t>：财务质量、资金需求与交易条件是否可控？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智灵动力的历史收入、毛利、费用、现金余额、应收账款、负债、融资需求、估值和交易条款均缺失，无法判断资金安全边际或本轮定价合理性。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[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尚无可核验证据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 xml:space="preserve">] 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在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医疗项目中，研发、临床验证、注册、医院销售、私有化部署和长期运维均可能形成持续现金消耗，且回款通常晚于合同签署。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公司应提交至少两年及最新一期利润表、资产负债表、现金流量表、科目余额表、纳税申报、银行流水和应收账款账龄，并将收入按合同、验收、开票和回款四个口径勾稽。预算应拆分研发、算力、数据、注册临床、销售、实施和售后支出，给出未来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18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个月月度现金计划及下行情景。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交易评估还需明确投前和投后估值、融资金额、资金用途、创始人稀释、清算优先、回购、反稀释、优先认购、董事席位及关键人条款。估值不能只以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医疗赛道热度或宽口径市场规模支撑，应与已验证收入、复购、产品成熟度和监管里程碑匹配。在财务和条款资料补齐前，不建议进入定价谈判。</w:t>
      </w:r>
    </w:p>
    <w:p>
      <w:pPr>
        <w:pStyle w:val="Heading1"/>
        <w:pageBreakBefore/>
      </w:pPr>
      <w:r>
        <w:rPr>
          <w:rFonts w:ascii="Times New Roman" w:hAnsi="Times New Roman" w:cs="Times New Roman" w:eastAsia="Heiti SC"/>
          <w:b/>
          <w:color w:val="1F2730"/>
          <w:sz w:val="28"/>
        </w:rPr>
        <w:t>Q9</w:t>
      </w:r>
      <w:r>
        <w:rPr>
          <w:rFonts w:ascii="Heiti SC" w:hAnsi="Heiti SC" w:cs="Heiti SC" w:eastAsia="Heiti SC" w:hint="eastAsia"/>
          <w:b/>
          <w:color w:val="1F2730"/>
          <w:sz w:val="28"/>
          <w:lang w:eastAsia="zh-CN"/>
        </w:rPr>
        <w:t>：主要风险与最强反方观点是什么？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最强反方观点是：智灵动力可能只是处于概念或试点阶段的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医疗项目，尚未证明数据、技术、合规、付费和规模复制闭环；通用大模型、成熟医疗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IT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厂商及医院自研能力又可能快速削弱其功能差异。在缺乏项目级证据的情况下，这一反方观点不能被排除。</w:t>
      </w:r>
    </w:p>
    <w:p>
      <w:pPr>
        <w:pStyle w:val="Heading2"/>
      </w:pP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（</w:t>
      </w:r>
      <w:r>
        <w:rPr>
          <w:rFonts w:ascii="Times New Roman" w:hAnsi="Times New Roman" w:cs="Times New Roman" w:eastAsia="Heiti SC"/>
          <w:b/>
          <w:color w:val="1F2730"/>
          <w:sz w:val="22"/>
        </w:rPr>
        <w:t>1</w:t>
      </w: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）项目身份与定位不清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概率高、影响高。若核心产品、客户和场景不清，应核验主体、产品清单、系统演示及负责人访谈。</w:t>
      </w:r>
    </w:p>
    <w:p>
      <w:pPr>
        <w:pStyle w:val="Heading2"/>
      </w:pP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（</w:t>
      </w:r>
      <w:r>
        <w:rPr>
          <w:rFonts w:ascii="Times New Roman" w:hAnsi="Times New Roman" w:cs="Times New Roman" w:eastAsia="Heiti SC"/>
          <w:b/>
          <w:color w:val="1F2730"/>
          <w:sz w:val="22"/>
        </w:rPr>
        <w:t>2</w:t>
      </w: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）技术与数据壁垒不足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概率高、影响高。若依赖通用模型、缺少独立测试或授权不完整，应核验数据授权、测试报告和模型依赖清单。</w:t>
      </w:r>
    </w:p>
    <w:p>
      <w:pPr>
        <w:pStyle w:val="Heading2"/>
      </w:pP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（</w:t>
      </w:r>
      <w:r>
        <w:rPr>
          <w:rFonts w:ascii="Times New Roman" w:hAnsi="Times New Roman" w:cs="Times New Roman" w:eastAsia="Heiti SC"/>
          <w:b/>
          <w:color w:val="1F2730"/>
          <w:sz w:val="22"/>
        </w:rPr>
        <w:t>3</w:t>
      </w: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）临床及监管不确定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概率中高、影响高。若产品触及诊疗但无分类意见或注册路径，应核验分类界定、注册计划和质量体系。</w:t>
      </w:r>
    </w:p>
    <w:p>
      <w:pPr>
        <w:pStyle w:val="Heading2"/>
      </w:pP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（</w:t>
      </w:r>
      <w:r>
        <w:rPr>
          <w:rFonts w:ascii="Times New Roman" w:hAnsi="Times New Roman" w:cs="Times New Roman" w:eastAsia="Heiti SC"/>
          <w:b/>
          <w:color w:val="1F2730"/>
          <w:sz w:val="22"/>
        </w:rPr>
        <w:t>4</w:t>
      </w: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）商业化停留在</w:t>
      </w:r>
      <w:r>
        <w:rPr>
          <w:rFonts w:ascii="Times New Roman" w:hAnsi="Times New Roman" w:cs="Times New Roman" w:eastAsia="Heiti SC"/>
          <w:b/>
          <w:color w:val="1F2730"/>
          <w:sz w:val="22"/>
        </w:rPr>
        <w:t>POC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概率高、影响高。若合作多但合同、验收和回款少，应核验客户台账、合同、验收材料和银行流水。</w:t>
      </w:r>
    </w:p>
    <w:p>
      <w:pPr>
        <w:pStyle w:val="Heading2"/>
      </w:pP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（</w:t>
      </w:r>
      <w:r>
        <w:rPr>
          <w:rFonts w:ascii="Times New Roman" w:hAnsi="Times New Roman" w:cs="Times New Roman" w:eastAsia="Heiti SC"/>
          <w:b/>
          <w:color w:val="1F2730"/>
          <w:sz w:val="22"/>
        </w:rPr>
        <w:t>5</w:t>
      </w: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）项目制定制难以规模化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概率中高、影响高。若部署周期长、驻场人员随收入增长，应核验定制人天、复用率和部署周期。</w:t>
      </w:r>
    </w:p>
    <w:p>
      <w:pPr>
        <w:pStyle w:val="Heading2"/>
      </w:pP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（</w:t>
      </w:r>
      <w:r>
        <w:rPr>
          <w:rFonts w:ascii="Times New Roman" w:hAnsi="Times New Roman" w:cs="Times New Roman" w:eastAsia="Heiti SC"/>
          <w:b/>
          <w:color w:val="1F2730"/>
          <w:sz w:val="22"/>
        </w:rPr>
        <w:t>6</w:t>
      </w: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）数据安全与隐私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概率中高、影响高。若授权链不清、存在跨机构训练或访问控制薄弱，应实施数据最小化与全流程治理，并核验数据地图、授权文本和安全审计。</w:t>
      </w:r>
    </w:p>
    <w:p>
      <w:pPr>
        <w:pStyle w:val="Heading2"/>
      </w:pP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（</w:t>
      </w:r>
      <w:r>
        <w:rPr>
          <w:rFonts w:ascii="Times New Roman" w:hAnsi="Times New Roman" w:cs="Times New Roman" w:eastAsia="Heiti SC"/>
          <w:b/>
          <w:color w:val="1F2730"/>
          <w:sz w:val="22"/>
        </w:rPr>
        <w:t>7</w:t>
      </w: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）现金流及融资风险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概率高、影响高。长回款周期叠加持续研发和注册投入时，应采用分阶段融资并绑定里程碑，同时核验月度现金流、应收账龄和融资条款。</w:t>
      </w:r>
    </w:p>
    <w:p>
      <w:pPr>
        <w:pStyle w:val="Heading2"/>
      </w:pP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（</w:t>
      </w:r>
      <w:r>
        <w:rPr>
          <w:rFonts w:ascii="Times New Roman" w:hAnsi="Times New Roman" w:cs="Times New Roman" w:eastAsia="Heiti SC"/>
          <w:b/>
          <w:color w:val="1F2730"/>
          <w:sz w:val="22"/>
        </w:rPr>
        <w:t>8</w:t>
      </w: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）关键人和权属风险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概率中、影响高。若核心技术集中于个人或来源于高校、医院，应完善任职、竞业和权属安排，并核验股权结构、劳动协议和技术许可。</w:t>
      </w:r>
    </w:p>
    <w:p>
      <w:pPr>
        <w:pStyle w:val="Heading1"/>
        <w:pageBreakBefore/>
      </w:pPr>
      <w:r>
        <w:rPr>
          <w:rFonts w:ascii="Times New Roman" w:hAnsi="Times New Roman" w:cs="Times New Roman" w:eastAsia="Heiti SC"/>
          <w:b/>
          <w:color w:val="1F2730"/>
          <w:sz w:val="28"/>
        </w:rPr>
        <w:t>Q10</w:t>
      </w:r>
      <w:r>
        <w:rPr>
          <w:rFonts w:ascii="Heiti SC" w:hAnsi="Heiti SC" w:cs="Heiti SC" w:eastAsia="Heiti SC" w:hint="eastAsia"/>
          <w:b/>
          <w:color w:val="1F2730"/>
          <w:sz w:val="28"/>
          <w:lang w:eastAsia="zh-CN"/>
        </w:rPr>
        <w:t>：下一阶段应验证什么，如何形成决策？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当前更适合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“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暂缓投资判断、进入限时资料核验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”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，而非直接推荐或否决。支持继续核验的依据有三点：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AI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医疗存在明确的政策和效率驱动场景；医院数据与工作流形成较高进入门槛；细分产品一旦同时完成临床、监管和付费验证，可能具备较强客户黏性。限制推进的核心问题也有三项：项目身份与产品不清、商业化闭环无证据、财务和交易信息完全缺失。</w:t>
      </w:r>
    </w:p>
    <w:p>
      <w:pPr>
        <w:pStyle w:val="Heading2"/>
      </w:pP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（</w:t>
      </w:r>
      <w:r>
        <w:rPr>
          <w:rFonts w:ascii="Times New Roman" w:hAnsi="Times New Roman" w:cs="Times New Roman" w:eastAsia="Heiti SC"/>
          <w:b/>
          <w:color w:val="1F2730"/>
          <w:sz w:val="22"/>
        </w:rPr>
        <w:t>1</w:t>
      </w: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）最高优先级：确认公司、产品与商业闭环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建议在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5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个工作日内由创始人和产品负责人提交营业执照、组织架构、产品清单并完成现场演示；无法形成清晰业务定义则停止评估。建议在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10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个工作日内由销售及财务负责人提交全量客户台账和抽样合同、验收、发票、流水，并安排最大收入、最新签约及未转化客户访谈；该项决定商业化真实性。</w:t>
      </w:r>
    </w:p>
    <w:p>
      <w:pPr>
        <w:pStyle w:val="Heading2"/>
      </w:pP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（</w:t>
      </w:r>
      <w:r>
        <w:rPr>
          <w:rFonts w:ascii="Times New Roman" w:hAnsi="Times New Roman" w:cs="Times New Roman" w:eastAsia="Heiti SC"/>
          <w:b/>
          <w:color w:val="1F2730"/>
          <w:sz w:val="22"/>
        </w:rPr>
        <w:t>2</w:t>
      </w: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）最高优先级：确认技术、数据与监管可行性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建议在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10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个工作日内由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CTO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和临床负责人提交数据授权链、模型清单、测试集说明及第三方或多中心验证；由法规负责人和外部律师提交产品分类意见、注册或备案路径及数据合规审计。重大数据或监管缺陷可构成否决项。</w:t>
      </w:r>
    </w:p>
    <w:p>
      <w:pPr>
        <w:pStyle w:val="Heading2"/>
      </w:pP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（</w:t>
      </w:r>
      <w:r>
        <w:rPr>
          <w:rFonts w:ascii="Times New Roman" w:hAnsi="Times New Roman" w:cs="Times New Roman" w:eastAsia="Heiti SC"/>
          <w:b/>
          <w:color w:val="1F2730"/>
          <w:sz w:val="22"/>
        </w:rPr>
        <w:t>3</w:t>
      </w:r>
      <w:r>
        <w:rPr>
          <w:rFonts w:ascii="Heiti SC" w:hAnsi="Heiti SC" w:cs="Heiti SC" w:eastAsia="Heiti SC" w:hint="eastAsia"/>
          <w:b/>
          <w:color w:val="1F2730"/>
          <w:sz w:val="22"/>
          <w:lang w:eastAsia="zh-CN"/>
        </w:rPr>
        <w:t>）第二优先级：确认财务、团队与交易基础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建议在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10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个工作日内由财务负责人提交两年及最新一期财务、银行流水、应收账龄和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18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个月预算；由创始人和法务提交核心团队简历、劳动与竞业协议、股权穿透、知识产权及技术许可；由创始人提交融资方案、投前投后估值、资金用途与核心交易条款。上述资料分别决定资金安全边际、关键人与权属风险以及风险收益匹配度。</w:t>
      </w:r>
    </w:p>
    <w:p>
      <w:pPr/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继续推进的最低门槛应包括：确认清晰且可演示的核心产品；至少形成一组可独立核验的客户使用与付费证据；数据来源和产品合规路径不存在不可纠正缺陷；技术效果经独立或多中心证据支持；未来</w:t>
      </w:r>
      <w:r>
        <w:rPr>
          <w:rFonts w:ascii="Times New Roman" w:hAnsi="Times New Roman" w:cs="Times New Roman" w:eastAsia="Songti SC"/>
          <w:b w:val="0"/>
          <w:color w:val="1F2730"/>
          <w:sz w:val="21"/>
        </w:rPr>
        <w:t>18</w:t>
      </w:r>
      <w:r>
        <w:rPr>
          <w:rFonts w:ascii="Songti SC" w:hAnsi="Songti SC" w:cs="Songti SC" w:eastAsia="Songti SC" w:hint="eastAsia"/>
          <w:b w:val="0"/>
          <w:color w:val="1F2730"/>
          <w:sz w:val="21"/>
          <w:lang w:eastAsia="zh-CN"/>
        </w:rPr>
        <w:t>个月资金计划可覆盖关键里程碑。若仅有战略合作、内部测试或收入预测，建议继续观察；若发现数据使用无合法基础、核心知识产权不归公司、重大收入无法勾稽或关键合同虚假，应停止投资流程。关键资料齐备后，再开展正式立项、估值比较与交易条款谈判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31" w:right="1701" w:bottom="1587" w:left="1803" w:header="850" w:footer="90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240"/>
      <w:jc w:val="right"/>
    </w:pPr>
    <w:r>
      <w:rPr>
        <w:rFonts w:ascii="Songti SC" w:hAnsi="Songti SC" w:cs="Songti SC" w:eastAsia="Songti SC" w:hint="eastAsia"/>
        <w:b w:val="0"/>
        <w:color w:val="6D747C"/>
        <w:sz w:val="18"/>
        <w:lang w:eastAsia="zh-CN"/>
      </w:rPr>
      <w:t>第</w:t>
    </w:r>
    <w:r>
      <w:rPr>
        <w:rFonts w:ascii="Times New Roman" w:hAnsi="Times New Roman" w:cs="Times New Roman" w:eastAsia="Songti SC"/>
        <w:b w:val="0"/>
        <w:color w:val="6D747C"/>
        <w:sz w:val="18"/>
      </w:rPr>
      <w:t xml:space="preserve"> </w:t>
    </w:r>
    <w:r>
      <w:rPr>
        <w:rFonts w:ascii="Times New Roman" w:hAnsi="Times New Roman" w:cs="Times New Roman" w:eastAsia="Songti SC"/>
        <w:b w:val="0"/>
        <w:color w:val="6D747C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cs="Times New Roman" w:eastAsia="Songti SC"/>
        <w:b w:val="0"/>
        <w:color w:val="6D747C"/>
        <w:sz w:val="18"/>
      </w:rPr>
      <w:t xml:space="preserve"> </w:t>
    </w:r>
    <w:r>
      <w:rPr>
        <w:rFonts w:ascii="Songti SC" w:hAnsi="Songti SC" w:cs="Songti SC" w:eastAsia="Songti SC" w:hint="eastAsia"/>
        <w:b w:val="0"/>
        <w:color w:val="6D747C"/>
        <w:sz w:val="18"/>
        <w:lang w:eastAsia="zh-CN"/>
      </w:rPr>
      <w:t>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240"/>
      <w:jc w:val="right"/>
    </w:pPr>
    <w:r>
      <w:rPr>
        <w:rFonts w:ascii="Songti SC" w:hAnsi="Songti SC" w:cs="Songti SC" w:eastAsia="Songti SC" w:hint="eastAsia"/>
        <w:b w:val="0"/>
        <w:color w:val="6D747C"/>
        <w:sz w:val="18"/>
        <w:lang w:eastAsia="zh-CN"/>
      </w:rPr>
      <w:t>第</w:t>
    </w:r>
    <w:r>
      <w:rPr>
        <w:rFonts w:ascii="Times New Roman" w:hAnsi="Times New Roman" w:cs="Times New Roman" w:eastAsia="Songti SC"/>
        <w:b w:val="0"/>
        <w:color w:val="6D747C"/>
        <w:sz w:val="18"/>
      </w:rPr>
      <w:t xml:space="preserve"> </w:t>
    </w:r>
    <w:r>
      <w:rPr>
        <w:rFonts w:ascii="Times New Roman" w:hAnsi="Times New Roman" w:cs="Times New Roman" w:eastAsia="Songti SC"/>
        <w:b w:val="0"/>
        <w:color w:val="6D747C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cs="Times New Roman" w:eastAsia="Songti SC"/>
        <w:b w:val="0"/>
        <w:color w:val="6D747C"/>
        <w:sz w:val="18"/>
      </w:rPr>
      <w:t xml:space="preserve"> </w:t>
    </w:r>
    <w:r>
      <w:rPr>
        <w:rFonts w:ascii="Songti SC" w:hAnsi="Songti SC" w:cs="Songti SC" w:eastAsia="Songti SC" w:hint="eastAsia"/>
        <w:b w:val="0"/>
        <w:color w:val="6D747C"/>
        <w:sz w:val="18"/>
        <w:lang w:eastAsia="zh-CN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center"/>
      <w:pBdr>
        <w:bottom w:val="single" w:sz="4" w:space="3" w:color="D5D9DD"/>
      </w:pBdr>
    </w:pPr>
    <w:r>
      <w:rPr>
        <w:rFonts w:ascii="Songti SC" w:hAnsi="Songti SC" w:cs="Songti SC" w:eastAsia="Songti SC" w:hint="eastAsia"/>
        <w:b w:val="0"/>
        <w:color w:val="6D747C"/>
        <w:sz w:val="18"/>
        <w:lang w:eastAsia="zh-CN"/>
      </w:rPr>
      <w:t>智灵动力｜</w:t>
    </w:r>
    <w:r>
      <w:rPr>
        <w:rFonts w:ascii="Times New Roman" w:hAnsi="Times New Roman" w:cs="Times New Roman" w:eastAsia="Songti SC"/>
        <w:b w:val="0"/>
        <w:color w:val="6D747C"/>
        <w:sz w:val="18"/>
      </w:rPr>
      <w:t>Q&amp;A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Songti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400"/>
      <w:ind w:left="0" w:right="0" w:firstLine="420"/>
      <w:jc w:val="both"/>
    </w:pPr>
    <w:rPr>
      <w:rFonts w:ascii="Times New Roman" w:hAnsi="Times New Roman" w:cs="Times New Roman" w:eastAsia="Songti SC"/>
      <w:b w:val="0"/>
      <w:color w:val="1F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20"/>
      <w:ind w:left="0" w:right="0"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1F34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Rule="exact" w:line="360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2F46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Title">
    <w:name w:val="QA Title"/>
    <w:pPr>
      <w:keepNext/>
      <w:spacing w:before="0" w:after="360" w:lineRule="exact" w:line="480"/>
      <w:ind w:left="0" w:right="0" w:firstLine="0"/>
      <w:jc w:val="center"/>
    </w:pPr>
    <w:rPr>
      <w:rFonts w:ascii="Times New Roman" w:hAnsi="Times New Roman" w:cs="Times New Roman" w:eastAsia="Heiti SC"/>
      <w:b/>
      <w:color w:val="17212B"/>
      <w:sz w:val="40"/>
    </w:rPr>
  </w:style>
  <w:style w:type="paragraph" w:customStyle="1" w:styleId="QATableCaption">
    <w:name w:val="QA Table Caption"/>
    <w:pPr>
      <w:keepNext/>
      <w:spacing w:before="160" w:after="80" w:lineRule="exact" w:line="320"/>
      <w:ind w:left="0" w:right="0" w:firstLine="0"/>
      <w:jc w:val="center"/>
    </w:pPr>
    <w:rPr>
      <w:rFonts w:ascii="Times New Roman" w:hAnsi="Times New Roman" w:cs="Times New Roman" w:eastAsia="Heiti SC"/>
      <w:b/>
      <w:color w:val="283746"/>
      <w:sz w:val="21"/>
    </w:rPr>
  </w:style>
  <w:style w:type="paragraph" w:customStyle="1" w:styleId="QANote">
    <w:name w:val="QA Note"/>
    <w:pPr>
      <w:spacing w:before="80" w:after="120" w:lineRule="exact" w:line="280"/>
      <w:ind w:left="0" w:right="0" w:firstLine="0"/>
      <w:jc w:val="both"/>
    </w:pPr>
    <w:rPr>
      <w:rFonts w:ascii="Times New Roman" w:hAnsi="Times New Roman" w:cs="Times New Roman" w:eastAsia="Songti SC"/>
      <w:b w:val="0"/>
      <w:color w:val="6D747C"/>
      <w:sz w:val="18"/>
    </w:rPr>
  </w:style>
  <w:style w:type="paragraph" w:customStyle="1" w:styleId="QABullet">
    <w:name w:val="QA Bullet"/>
    <w:pPr>
      <w:spacing w:before="0" w:after="0" w:lineRule="exact" w:line="360"/>
      <w:ind w:firstLine="0" w:left="540" w:right="0"/>
      <w:jc w:val="both"/>
    </w:pPr>
    <w:rPr>
      <w:rFonts w:ascii="Times New Roman" w:hAnsi="Times New Roman" w:cs="Times New Roman" w:eastAsia="Songti SC"/>
      <w:b w:val="0"/>
      <w:color w:val="1F2730"/>
      <w:sz w:val="21"/>
    </w:rPr>
  </w:style>
  <w:style w:type="paragraph" w:customStyle="1" w:styleId="QANumber">
    <w:name w:val="QA Number"/>
    <w:pPr>
      <w:spacing w:before="0" w:after="0" w:lineRule="exact" w:line="360"/>
      <w:ind w:firstLine="0" w:left="540" w:right="0"/>
      <w:jc w:val="both"/>
    </w:pPr>
    <w:rPr>
      <w:rFonts w:ascii="Times New Roman" w:hAnsi="Times New Roman" w:cs="Times New Roman" w:eastAsia="Songti SC"/>
      <w:b w:val="0"/>
      <w:color w:val="1F273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智灵动力Q&amp;A 报告</dc:title>
  <dc:subject>项目 Q&amp;A 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