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Noto Sans CJK SC" w:cs="Noto Sans CJK SC" w:eastAsia="Noto Sans CJK SC" w:hAnsi="Noto Sans CJK SC"/>
          <w:color w:val="000000"/>
          <w:sz w:val="28"/>
          <w:szCs w:val="28"/>
        </w:rPr>
        <w:t xml:space="preserve">关于大衍科技项目投资合规性的说明</w:t>
      </w:r>
    </w:p>
    <w:p>
      <w:pPr>
        <w:pStyle w:val="13"/>
        <w:keepNext/>
        <w:keepLines/>
        <w:numPr>
          <w:ilvl w:val="0"/>
          <w:numId w:val="1"/>
        </w:numPr>
        <w:spacing w:after="0" w:before="240" w:line="360"/>
        <w:ind w:firstLine="0"/>
        <w:jc w:val="left"/>
      </w:pPr>
      <w:r>
        <w:rPr>
          <w:rFonts w:ascii="Noto Serif CJK SC" w:cs="Noto Serif CJK SC" w:eastAsia="Noto Serif CJK SC" w:hAnsi="Noto Serif CJK SC"/>
          <w:b/>
          <w:bCs/>
          <w:color w:val="000000"/>
          <w:sz w:val="24"/>
          <w:szCs w:val="24"/>
        </w:rPr>
        <w:t xml:space="preserve">公司情况介绍</w:t>
      </w:r>
    </w:p>
    <w:p>
      <w:pPr>
        <w:pStyle w:val="13"/>
        <w:keepNext/>
        <w:keepLines/>
        <w:numPr>
          <w:ilvl w:val="0"/>
          <w:numId w:val="2"/>
        </w:numPr>
        <w:spacing w:after="0" w:before="0" w:line="360"/>
        <w:ind w:left="0" w:firstLine="482"/>
        <w:jc w:val="left"/>
      </w:pPr>
      <w:r>
        <w:rPr>
          <w:rFonts w:ascii="Noto Serif CJK SC" w:cs="Noto Serif CJK SC" w:eastAsia="Noto Serif CJK SC" w:hAnsi="Noto Serif CJK SC"/>
          <w:b/>
          <w:bCs/>
          <w:color w:val="000000"/>
          <w:sz w:val="24"/>
          <w:szCs w:val="24"/>
        </w:rPr>
        <w:t xml:space="preserve">公司简介</w:t>
      </w:r>
    </w:p>
    <w:p>
      <w:pPr>
        <w:keepLines w:val="false"/>
        <w:spacing w:after="0" w:before="0" w:line="360"/>
        <w:ind w:firstLine="480"/>
        <w:jc w:val="both"/>
      </w:pPr>
      <w:r>
        <w:rPr>
          <w:rFonts w:ascii="Noto Serif CJK SC" w:cs="Noto Serif CJK SC" w:eastAsia="Noto Serif CJK SC" w:hAnsi="Noto Serif CJK SC"/>
          <w:b w:val="false"/>
          <w:bCs w:val="false"/>
          <w:color w:val="000000"/>
          <w:sz w:val="24"/>
          <w:szCs w:val="24"/>
        </w:rPr>
        <w:t xml:space="preserve">大衍科技于2025年5月成立，注册地为浙江嘉兴桐乡，研发团队主要在上海，桐乡有7名员工负责研发设备存放与外部人员招聘。公司围绕世界模型对研发数据闭环的重构机会开展业务，当前全职员工20余人，除1名财务外均为技术人员，并按算法、硬件、仿真团队分工。</w:t>
      </w:r>
    </w:p>
    <w:p>
      <w:pPr>
        <w:keepLines w:val="false"/>
        <w:spacing w:after="0" w:before="0" w:line="360"/>
        <w:ind w:firstLine="480"/>
        <w:jc w:val="both"/>
      </w:pPr>
      <w:r>
        <w:rPr>
          <w:rFonts w:ascii="Noto Serif CJK SC" w:cs="Noto Serif CJK SC" w:eastAsia="Noto Serif CJK SC" w:hAnsi="Noto Serif CJK SC"/>
          <w:b w:val="false"/>
          <w:bCs w:val="false"/>
          <w:color w:val="000000"/>
          <w:sz w:val="24"/>
          <w:szCs w:val="24"/>
        </w:rPr>
        <w:t xml:space="preserve">大衍科技的产品和服务覆盖真实数据采集、合成数据生成、仿真平台与虚拟训练场三条线，其中液态金属触觉数据手套已交付给追觅、智源、乐聚、景联文、元智科技等客户，头戴式全身动捕设备处于开模阶段，虚拟训练场业务面向工厂提供工人动作采集、虚拟训练、真机部署服务，并已有内蒙古危化品仓储虚拟训练场、一汽汽车装配线虚拟仿真环境等案例。与主营业务相关的技术资产、数据资产、客户机会、硬件设计、算法模型、代码、数据处理管线及知识产权拟注入或授权至公司，具体完成情况应结合资产权属、授权协议、知识产权登记、代码和数据交割文件核对。</w:t>
      </w:r>
    </w:p>
    <w:p>
      <w:pPr>
        <w:pStyle w:val="13"/>
        <w:keepNext/>
        <w:keepLines/>
        <w:numPr>
          <w:ilvl w:val="0"/>
          <w:numId w:val="2"/>
        </w:numPr>
        <w:spacing w:after="0" w:before="0" w:line="360"/>
        <w:ind w:left="0" w:firstLine="482"/>
        <w:jc w:val="left"/>
      </w:pPr>
      <w:r>
        <w:rPr>
          <w:rFonts w:ascii="Noto Serif CJK SC" w:cs="Noto Serif CJK SC" w:eastAsia="Noto Serif CJK SC" w:hAnsi="Noto Serif CJK SC"/>
          <w:b/>
          <w:bCs/>
          <w:color w:val="000000"/>
          <w:sz w:val="24"/>
          <w:szCs w:val="24"/>
        </w:rPr>
        <w:t xml:space="preserve">核心团队</w:t>
      </w:r>
    </w:p>
    <w:p>
      <w:pPr>
        <w:keepLines w:val="false"/>
        <w:spacing w:after="0" w:before="0" w:line="360" w:lineRule="auto"/>
        <w:ind w:left="0" w:right="0" w:firstLine="480"/>
        <w:jc w:val="both"/>
      </w:pPr>
      <w:r>
        <w:rPr>
          <w:rFonts w:ascii="Noto Serif CJK SC" w:cs="Noto Serif CJK SC" w:eastAsia="Noto Serif CJK SC" w:hAnsi="Noto Serif CJK SC"/>
          <w:b/>
          <w:bCs/>
          <w:color w:val="000000"/>
          <w:sz w:val="24"/>
          <w:szCs w:val="24"/>
        </w:rPr>
        <w:t xml:space="preserve">大衍科技（桐乡）</w:t>
      </w:r>
      <w:r>
        <w:rPr>
          <w:rFonts w:ascii="Noto Serif CJK SC" w:cs="Noto Serif CJK SC" w:eastAsia="Noto Serif CJK SC" w:hAnsi="Noto Serif CJK SC"/>
          <w:b w:val="false"/>
          <w:bCs w:val="false"/>
          <w:color w:val="000000"/>
          <w:sz w:val="24"/>
          <w:szCs w:val="24"/>
        </w:rPr>
        <w:t xml:space="preserve">有限公司投资意向书甲方（创始人/实际控制人）：杨林乙方：大衍科技（桐乡）有限公司丙方（牵头投资方）：浙江赛智伯乐股权投资管理有限公司或其指定基金/主体丁方（拟定老股转让方）：桐乡青桐睿创股权投资合伙企业（有限合伙）鉴于：大衍科技（桐乡）有限公司（下称“大衍科技”或“公司”）成立于2025年5月，定位为空间智能与具身智能数据基础设施公司，核心围绕4D世界重建、世界模型、可控扩散模型、触觉数据采集与仿真训练场等能力，为自动驾驶、具身智能机器人、数字孪生工厂等场景提供真实数据、合成数据、物理仿真与预训练场服务。</w:t>
      </w:r>
    </w:p>
    <w:p>
      <w:pPr>
        <w:pStyle w:val="13"/>
        <w:keepNext/>
        <w:keepLines/>
        <w:numPr>
          <w:ilvl w:val="0"/>
          <w:numId w:val="2"/>
        </w:numPr>
        <w:spacing w:after="0" w:before="0" w:line="360"/>
        <w:ind w:left="0" w:firstLine="482"/>
        <w:jc w:val="left"/>
      </w:pPr>
      <w:r>
        <w:rPr>
          <w:rFonts w:ascii="Noto Serif CJK SC" w:cs="Noto Serif CJK SC" w:eastAsia="Noto Serif CJK SC" w:hAnsi="Noto Serif CJK SC"/>
          <w:b/>
          <w:bCs/>
          <w:color w:val="000000"/>
          <w:sz w:val="24"/>
          <w:szCs w:val="24"/>
        </w:rPr>
        <w:t xml:space="preserve">产品及技术</w:t>
      </w:r>
    </w:p>
    <w:p>
      <w:pPr>
        <w:keepLines w:val="false"/>
        <w:spacing w:after="0" w:before="0" w:line="360" w:lineRule="auto"/>
        <w:ind w:left="0" w:right="0" w:firstLine="480"/>
        <w:jc w:val="both"/>
      </w:pPr>
      <w:r>
        <w:rPr>
          <w:rFonts w:ascii="Noto Serif CJK SC" w:cs="Noto Serif CJK SC" w:eastAsia="Noto Serif CJK SC" w:hAnsi="Noto Serif CJK SC"/>
          <w:b/>
          <w:bCs/>
          <w:color w:val="000000"/>
          <w:sz w:val="24"/>
          <w:szCs w:val="24"/>
        </w:rPr>
        <w:t xml:space="preserve">公司打造了“真实数据—仿真合成—落地应用”的R2S2R端到端数据闭环方案</w:t>
      </w:r>
      <w:r>
        <w:rPr>
          <w:rFonts w:ascii="Noto Serif CJK SC" w:cs="Noto Serif CJK SC" w:eastAsia="Noto Serif CJK SC" w:hAnsi="Noto Serif CJK SC"/>
          <w:b w:val="false"/>
          <w:bCs w:val="false"/>
          <w:color w:val="000000"/>
          <w:sz w:val="24"/>
          <w:szCs w:val="24"/>
        </w:rPr>
        <w:t xml:space="preserve">，以10%真实数据联动90%合成数据的技术路径，依托自研4D重建算法、物理保真世界模型、半约束扩散模型等核心技术，可将数据成本降低50倍、研发效率提升4倍。</w:t>
      </w:r>
    </w:p>
    <w:p>
      <w:pPr>
        <w:keepLines w:val="false"/>
        <w:spacing w:after="0" w:before="0" w:line="360" w:lineRule="auto"/>
        <w:ind w:left="0" w:right="0" w:firstLine="480"/>
        <w:jc w:val="both"/>
      </w:pPr>
      <w:r>
        <w:rPr>
          <w:rFonts w:ascii="Noto Serif CJK SC" w:cs="Noto Serif CJK SC" w:eastAsia="Noto Serif CJK SC" w:hAnsi="Noto Serif CJK SC"/>
          <w:b/>
          <w:bCs/>
          <w:color w:val="000000"/>
          <w:sz w:val="24"/>
          <w:szCs w:val="24"/>
        </w:rPr>
        <w:t xml:space="preserve">甲方及其控制或关联主体应将与公司主营业务相关的技术</w:t>
      </w:r>
      <w:r>
        <w:rPr>
          <w:rFonts w:ascii="Noto Serif CJK SC" w:cs="Noto Serif CJK SC" w:eastAsia="Noto Serif CJK SC" w:hAnsi="Noto Serif CJK SC"/>
          <w:b w:val="false"/>
          <w:bCs w:val="false"/>
          <w:color w:val="000000"/>
          <w:sz w:val="24"/>
          <w:szCs w:val="24"/>
        </w:rPr>
        <w:t xml:space="preserve">资产、数据资产、客户机会、交付能力、硬件设计、算法模型、代码、技术文档、数据处理管线、专利/软著/商标/算法备案及商业秘密完整注入或授权给公司。</w:t>
      </w:r>
    </w:p>
    <w:p>
      <w:pPr>
        <w:keepLines w:val="false"/>
        <w:spacing w:after="0" w:before="0" w:line="360" w:lineRule="auto"/>
        <w:ind w:left="0" w:right="0" w:firstLine="480"/>
        <w:jc w:val="both"/>
      </w:pPr>
      <w:r>
        <w:rPr>
          <w:rFonts w:ascii="Noto Serif CJK SC" w:cs="Noto Serif CJK SC" w:eastAsia="Noto Serif CJK SC" w:hAnsi="Noto Serif CJK SC"/>
          <w:b/>
          <w:bCs/>
          <w:color w:val="000000"/>
          <w:sz w:val="24"/>
          <w:szCs w:val="24"/>
        </w:rPr>
        <w:t xml:space="preserve">具身智能产品</w:t>
      </w:r>
      <w:r>
        <w:rPr>
          <w:rFonts w:ascii="Noto Serif CJK SC" w:cs="Noto Serif CJK SC" w:eastAsia="Noto Serif CJK SC" w:hAnsi="Noto Serif CJK SC"/>
          <w:b w:val="false"/>
          <w:bCs w:val="false"/>
          <w:color w:val="000000"/>
          <w:sz w:val="24"/>
          <w:szCs w:val="24"/>
        </w:rPr>
        <w:t xml:space="preserve">的投入产出比（ROI）取决于任务价值、替换人力的成本及部署的稳定性，例如，典型的工业客户会进行精准的ROI计算，若替代一名年成本10万元的工人，则对应机器人的设备成本加上维护费用，通常需在1.5至2年内收回，这要求具身智能产品的售价需降至10-15万元级别，同时需要满足几乎类人的工作效。</w:t>
      </w:r>
    </w:p>
    <w:p>
      <w:pPr>
        <w:pStyle w:val="13"/>
        <w:keepNext/>
        <w:keepLines/>
        <w:numPr>
          <w:ilvl w:val="0"/>
          <w:numId w:val="1"/>
        </w:numPr>
        <w:spacing w:after="0" w:before="240" w:line="360"/>
        <w:ind w:firstLine="0"/>
        <w:jc w:val="left"/>
      </w:pPr>
      <w:r>
        <w:rPr>
          <w:rFonts w:ascii="Noto Serif CJK SC" w:cs="Noto Serif CJK SC" w:eastAsia="Noto Serif CJK SC" w:hAnsi="Noto Serif CJK SC"/>
          <w:b/>
          <w:bCs/>
          <w:color w:val="000000"/>
          <w:sz w:val="24"/>
          <w:szCs w:val="24"/>
        </w:rPr>
        <w:t xml:space="preserve">投资理由</w:t>
      </w:r>
    </w:p>
    <w:p>
      <w:pPr>
        <w:keepLines w:val="false"/>
        <w:spacing w:after="0" w:before="0" w:line="360"/>
        <w:ind w:firstLine="480"/>
        <w:jc w:val="both"/>
      </w:pPr>
      <w:r>
        <w:rPr>
          <w:rFonts w:ascii="Noto Serif CJK SC" w:cs="Noto Serif CJK SC" w:eastAsia="Noto Serif CJK SC" w:hAnsi="Noto Serif CJK SC"/>
          <w:b w:val="false"/>
          <w:bCs w:val="false"/>
          <w:color w:val="000000"/>
          <w:sz w:val="24"/>
          <w:szCs w:val="24"/>
        </w:rPr>
        <w:t xml:space="preserve">项目业务与相关政策和行业发展方向较为一致。希望推动公司总部迁至杭州，对接杭州的人才、政策和产业资源借助董教授的资源，对接沙特HUMAN基金和中东市场利用澳门数据出境中心政策，开展国际数据业务。具体适用政策及细分市场情况应另行核对。</w:t>
      </w:r>
    </w:p>
    <w:p>
      <w:pPr>
        <w:keepLines w:val="false"/>
        <w:spacing w:after="0" w:before="0" w:line="360"/>
        <w:ind w:firstLine="480"/>
        <w:jc w:val="both"/>
      </w:pPr>
      <w:r>
        <w:rPr>
          <w:rFonts w:ascii="Noto Serif CJK SC" w:cs="Noto Serif CJK SC" w:eastAsia="Noto Serif CJK SC" w:hAnsi="Noto Serif CJK SC"/>
          <w:b w:val="false"/>
          <w:bCs w:val="false"/>
          <w:color w:val="000000"/>
          <w:sz w:val="24"/>
          <w:szCs w:val="24"/>
        </w:rPr>
        <w:t xml:space="preserve">核心团队的相关经历与公司现阶段业务具有一定匹配度。根据董教授需求，对接浙江大学计算机学院、人工智能学院资源借助董教授的资源，对接沙特HUMAN基金和中东市场安排董教授与黄。关键人员履历、任职关系和在岗情况应进一步确认。</w:t>
      </w:r>
    </w:p>
    <w:p>
      <w:pPr>
        <w:keepLines w:val="false"/>
        <w:spacing w:after="0" w:before="0" w:line="360"/>
        <w:ind w:firstLine="480"/>
        <w:jc w:val="both"/>
      </w:pPr>
      <w:r>
        <w:rPr>
          <w:rFonts w:ascii="Noto Serif CJK SC" w:cs="Noto Serif CJK SC" w:eastAsia="Noto Serif CJK SC" w:hAnsi="Noto Serif CJK SC"/>
          <w:b w:val="false"/>
          <w:bCs w:val="false"/>
          <w:color w:val="000000"/>
          <w:sz w:val="24"/>
          <w:szCs w:val="24"/>
        </w:rPr>
        <w:t xml:space="preserve">公司现有产品和技术路线具有一定辨识度。介绍大衍智能与宇树研发负责人王启洲交流索辰科技可提供精确的物理参数建模能力，补充大衍智能的仿真技术栈。技术指标、知识产权和同类产品比较情况应进一步确认。</w:t>
      </w:r>
    </w:p>
    <w:p>
      <w:pPr>
        <w:keepLines w:val="false"/>
        <w:spacing w:after="0" w:before="0" w:line="360"/>
        <w:ind w:firstLine="480"/>
        <w:jc w:val="both"/>
      </w:pPr>
      <w:r>
        <w:rPr>
          <w:rFonts w:ascii="Noto Serif CJK SC" w:cs="Noto Serif CJK SC" w:eastAsia="Noto Serif CJK SC" w:hAnsi="Noto Serif CJK SC"/>
          <w:b w:val="false"/>
          <w:bCs w:val="false"/>
          <w:color w:val="000000"/>
          <w:sz w:val="24"/>
          <w:szCs w:val="24"/>
        </w:rPr>
        <w:t xml:space="preserve">公司已出现客户接洽、项目验证或产业合作进展。推动与德塔智能等已投项目的合作索辰科技合作对接赛智伯乐是索辰科技天使投资人，可推动双方在物理仿真领域的合作协助落实教职和科研合作。合同、验收、回款和复购情况应作为商业化判断依据。</w:t>
      </w:r>
    </w:p>
    <w:p>
      <w:pPr>
        <w:keepLines w:val="false"/>
        <w:spacing w:after="0" w:before="0" w:line="360"/>
        <w:ind w:firstLine="480"/>
        <w:jc w:val="both"/>
      </w:pPr>
      <w:r>
        <w:rPr>
          <w:rFonts w:ascii="Noto Serif CJK SC" w:cs="Noto Serif CJK SC" w:eastAsia="Noto Serif CJK SC" w:hAnsi="Noto Serif CJK SC"/>
          <w:b w:val="false"/>
          <w:bCs w:val="false"/>
          <w:color w:val="000000"/>
          <w:sz w:val="24"/>
          <w:szCs w:val="24"/>
        </w:rPr>
        <w:t xml:space="preserve">现有收费、交付或融资安排反映了公司的经营方式。希望推动公司总部迁至杭州，对接杭州的人才、政策和产业资源。相关判断应结合商业模式、历史经营、订单管线及可核验的增长依据进一步确认。</w:t>
      </w:r>
    </w:p>
    <w:p>
      <w:pPr>
        <w:pStyle w:val="13"/>
        <w:keepNext/>
        <w:keepLines/>
        <w:numPr>
          <w:ilvl w:val="0"/>
          <w:numId w:val="1"/>
        </w:numPr>
        <w:spacing w:after="0" w:before="240" w:line="360"/>
        <w:ind w:firstLine="0"/>
        <w:jc w:val="left"/>
      </w:pPr>
      <w:r>
        <w:rPr>
          <w:rFonts w:ascii="Noto Serif CJK SC" w:cs="Noto Serif CJK SC" w:eastAsia="Noto Serif CJK SC" w:hAnsi="Noto Serif CJK SC"/>
          <w:b/>
          <w:bCs/>
          <w:color w:val="000000"/>
          <w:sz w:val="24"/>
          <w:szCs w:val="24"/>
        </w:rPr>
        <w:t xml:space="preserve">投资计划</w:t>
      </w:r>
    </w:p>
    <w:p>
      <w:pPr>
        <w:keepLines w:val="false"/>
        <w:spacing w:after="0" w:before="0" w:line="360"/>
        <w:ind w:firstLine="480"/>
        <w:jc w:val="both"/>
      </w:pPr>
      <w:r>
        <w:rPr>
          <w:rFonts w:ascii="Noto Serif CJK SC" w:cs="Noto Serif CJK SC" w:eastAsia="Noto Serif CJK SC" w:hAnsi="Noto Serif CJK SC"/>
          <w:b w:val="false"/>
          <w:bCs w:val="false"/>
          <w:color w:val="000000"/>
          <w:sz w:val="24"/>
          <w:szCs w:val="24"/>
        </w:rPr>
        <w:t xml:space="preserve">同一预算下的增强备选方案若丙方希望在人民币3,000万元总预算内尽量提高持股比例，且公司接受丙方减少新增资投入、并由其他投资者补足本轮剩余融资额度，可采用增强备选方案，丙方增资人民币2,100万元取得约4.20%股权，并以人民币900万元按2亿元估值受让约4.50%老股，合计取得约8.70%股权。</w:t>
      </w:r>
    </w:p>
    <w:p>
      <w:pPr>
        <w:keepLines w:val="false"/>
        <w:spacing w:after="0" w:before="0" w:line="360"/>
        <w:ind w:firstLine="480"/>
        <w:jc w:val="both"/>
      </w:pPr>
      <w:r>
        <w:rPr>
          <w:rFonts w:ascii="Noto Serif CJK SC" w:cs="Noto Serif CJK SC" w:eastAsia="Noto Serif CJK SC" w:hAnsi="Noto Serif CJK SC"/>
          <w:b w:val="false"/>
          <w:bCs w:val="false"/>
          <w:color w:val="000000"/>
          <w:sz w:val="24"/>
          <w:szCs w:val="24"/>
        </w:rPr>
        <w:t xml:space="preserve">本轮投资金额及股权公司本轮拟融资人民币5,000万元，按投后估值人民币5亿元测算，即本轮投前估值人民币4.5亿元，本轮新增股权比例为10.00%。</w:t>
      </w:r>
    </w:p>
    <w:p>
      <w:pPr>
        <w:keepLines w:val="false"/>
        <w:spacing w:after="0" w:before="0" w:line="360"/>
        <w:ind w:firstLine="480"/>
        <w:jc w:val="both"/>
      </w:pPr>
      <w:r>
        <w:rPr>
          <w:rFonts w:ascii="Noto Serif CJK SC" w:cs="Noto Serif CJK SC" w:eastAsia="Noto Serif CJK SC" w:hAnsi="Noto Serif CJK SC"/>
          <w:b w:val="false"/>
          <w:bCs w:val="false"/>
          <w:color w:val="000000"/>
          <w:sz w:val="24"/>
          <w:szCs w:val="24"/>
        </w:rPr>
        <w:t xml:space="preserve">公司估值口径，公司本轮融资对外和法律口径仍为“投后估值人民币5亿元”，因为只有新增资进入公司。</w:t>
      </w:r>
    </w:p>
    <w:p>
      <w:pPr>
        <w:keepLines w:val="false"/>
        <w:spacing w:after="0" w:before="0" w:line="360"/>
        <w:ind w:firstLine="480"/>
        <w:jc w:val="both"/>
      </w:pPr>
      <w:r>
        <w:rPr>
          <w:rFonts w:ascii="Noto Serif CJK SC" w:cs="Noto Serif CJK SC" w:eastAsia="Noto Serif CJK SC" w:hAnsi="Noto Serif CJK SC"/>
          <w:b w:val="false"/>
          <w:bCs w:val="false"/>
          <w:color w:val="000000"/>
          <w:sz w:val="24"/>
          <w:szCs w:val="24"/>
        </w:rPr>
        <w:t xml:space="preserve">主方案下，丙方或其指定主体拟向公司增资人民币2,500万元，对应取得公司本轮融资完成后约5.00%股权。</w:t>
      </w:r>
    </w:p>
    <w:p>
      <w:pPr>
        <w:pStyle w:val="13"/>
        <w:keepNext/>
        <w:keepLines/>
        <w:numPr>
          <w:ilvl w:val="0"/>
          <w:numId w:val="1"/>
        </w:numPr>
        <w:spacing w:after="0" w:before="240" w:line="360"/>
        <w:ind w:firstLine="0"/>
        <w:jc w:val="left"/>
      </w:pPr>
      <w:r>
        <w:rPr>
          <w:rFonts w:ascii="Noto Serif CJK SC" w:cs="Noto Serif CJK SC" w:eastAsia="Noto Serif CJK SC" w:hAnsi="Noto Serif CJK SC"/>
          <w:b/>
          <w:bCs/>
          <w:color w:val="000000"/>
          <w:sz w:val="24"/>
          <w:szCs w:val="24"/>
        </w:rPr>
        <w:t xml:space="preserve">投资情形分析</w:t>
      </w:r>
    </w:p>
    <w:p>
      <w:pPr>
        <w:keepLines w:val="false"/>
        <w:spacing w:after="0" w:before="0" w:line="360"/>
        <w:ind w:firstLine="480"/>
        <w:jc w:val="both"/>
      </w:pPr>
      <w:r>
        <w:rPr>
          <w:rFonts w:ascii="Noto Serif CJK SC" w:cs="Noto Serif CJK SC" w:eastAsia="Noto Serif CJK SC" w:hAnsi="Noto Serif CJK SC"/>
          <w:b w:val="false"/>
          <w:bCs w:val="false"/>
          <w:color w:val="000000"/>
          <w:sz w:val="24"/>
          <w:szCs w:val="24"/>
        </w:rPr>
        <w:t xml:space="preserve">本次投资采用增资、股权受让还是其他方式尚未确定。交易方案明确后，应按基金合伙协议逐项核对禁止性和限制性条款。</w:t>
      </w:r>
    </w:p>
    <w:p>
      <w:pPr>
        <w:keepLines w:val="false"/>
        <w:spacing w:after="0" w:before="0" w:line="360"/>
        <w:ind w:firstLine="480"/>
        <w:jc w:val="both"/>
      </w:pPr>
      <w:r>
        <w:rPr>
          <w:rFonts w:ascii="Noto Serif CJK SC" w:cs="Noto Serif CJK SC" w:eastAsia="Noto Serif CJK SC" w:hAnsi="Noto Serif CJK SC"/>
          <w:b w:val="false"/>
          <w:bCs w:val="false"/>
          <w:color w:val="000000"/>
          <w:sz w:val="24"/>
          <w:szCs w:val="24"/>
        </w:rPr>
        <w:t xml:space="preserve">项目是否计入返投以及投资后能否完成返投目标，需结合注册地、人员和业务落地安排判断，并以基金返投条款、认定口径和最新台账为准。</w:t>
      </w:r>
    </w:p>
    <w:p>
      <w:pPr>
        <w:keepLines w:val="false"/>
        <w:spacing w:after="0" w:before="0" w:line="360"/>
        <w:ind w:firstLine="480"/>
        <w:jc w:val="both"/>
      </w:pPr>
      <w:r>
        <w:rPr>
          <w:rFonts w:ascii="Noto Serif CJK SC" w:cs="Noto Serif CJK SC" w:eastAsia="Noto Serif CJK SC" w:hAnsi="Noto Serif CJK SC"/>
          <w:b w:val="false"/>
          <w:bCs w:val="false"/>
          <w:color w:val="000000"/>
          <w:sz w:val="24"/>
          <w:szCs w:val="24"/>
        </w:rPr>
        <w:t xml:space="preserve">标的公司、主要股东、核心人员和交易参与方与基金相关主体的关系尚未完成核对。是否构成关联交易，应以关联关系核查表和利益冲突声明为准。</w:t>
      </w:r>
    </w:p>
    <w:p>
      <w:pPr>
        <w:keepLines w:val="false"/>
        <w:spacing w:after="0" w:before="0" w:line="360"/>
        <w:ind w:firstLine="480"/>
        <w:jc w:val="both"/>
      </w:pPr>
      <w:r>
        <w:rPr>
          <w:rFonts w:ascii="Noto Serif CJK SC" w:cs="Noto Serif CJK SC" w:eastAsia="Noto Serif CJK SC" w:hAnsi="Noto Serif CJK SC"/>
          <w:b w:val="false"/>
          <w:bCs w:val="false"/>
          <w:color w:val="000000"/>
          <w:sz w:val="24"/>
          <w:szCs w:val="24"/>
        </w:rPr>
        <w:t xml:space="preserve">丙方认可公司在具身智能数据、触觉大模型、物理仿真、机器人训练场及数据出海方向的战略价值，拟在总现金出资不超过人民币3,000万元的前提下，通过增资及老股受让相结合的方式参与公司本轮融资，并协助公司对接杭州产业政策、宇树生态、索辰科技、德塔智能、中东出海及数据合规相关资源。该事项尚未完成专项核对，具体结论应以对应的一手文件为准。</w:t>
      </w:r>
    </w:p>
    <w:p>
      <w:pPr>
        <w:keepLines w:val="false"/>
        <w:spacing w:after="0" w:before="0" w:line="360"/>
        <w:ind w:firstLine="480"/>
        <w:jc w:val="both"/>
      </w:pPr>
      <w:r>
        <w:rPr>
          <w:rFonts w:ascii="Noto Serif CJK SC" w:cs="Noto Serif CJK SC" w:eastAsia="Noto Serif CJK SC" w:hAnsi="Noto Serif CJK SC"/>
          <w:b w:val="false"/>
          <w:bCs w:val="false"/>
          <w:color w:val="000000"/>
          <w:sz w:val="24"/>
          <w:szCs w:val="24"/>
        </w:rPr>
        <w:t xml:space="preserve">本次投资采用基金直接持股还是通过专项载体实施尚未确定。交易架构明确后，应按基金配置条款核对资产类型和持股路径。</w:t>
      </w:r>
    </w:p>
    <w:p>
      <w:pPr>
        <w:keepLines w:val="false"/>
        <w:spacing w:after="0" w:before="0" w:line="360"/>
        <w:ind w:firstLine="480"/>
        <w:jc w:val="both"/>
      </w:pPr>
      <w:r>
        <w:rPr>
          <w:rFonts w:ascii="Noto Serif CJK SC" w:cs="Noto Serif CJK SC" w:eastAsia="Noto Serif CJK SC" w:hAnsi="Noto Serif CJK SC"/>
          <w:b w:val="false"/>
          <w:bCs w:val="false"/>
          <w:color w:val="000000"/>
          <w:sz w:val="24"/>
          <w:szCs w:val="24"/>
        </w:rPr>
        <w:t xml:space="preserve">本次投资金额及对同一项目的累计风险敞口尚未确定。集中度应按基金协议约定的计算口径，以基金规模和本次投资金额测算。</w:t>
      </w:r>
    </w:p>
    <w:p>
      <w:pPr>
        <w:keepLines w:val="false"/>
        <w:spacing w:after="0" w:before="0" w:line="360"/>
        <w:ind w:firstLine="480"/>
        <w:jc w:val="both"/>
      </w:pPr>
      <w:r>
        <w:rPr>
          <w:rFonts w:ascii="Noto Serif CJK SC" w:cs="Noto Serif CJK SC" w:eastAsia="Noto Serif CJK SC" w:hAnsi="Noto Serif CJK SC"/>
          <w:b w:val="false"/>
          <w:bCs w:val="false"/>
          <w:color w:val="000000"/>
          <w:sz w:val="24"/>
          <w:szCs w:val="24"/>
        </w:rPr>
        <w:t xml:space="preserve">曾因与西北工业大学合作被美国制裁，坚定支持国产化（三）团队规模与分工1、全职员工，20余人，除1名财务外全部为技术人员2、团队结构，算法团队、硬件团队、仿真团队3、扩张计划，2026年底控制在30人以内，不盲目扩张三、核心产品与技术体系（一）三大产品线整体布局1、第一条：真实数据采集（硬件+数据服务）2、第二条：合成数据生成（基于世界模型的数据生产管线）3、。</w:t>
      </w:r>
    </w:p>
    <w:p>
      <w:pPr>
        <w:keepLines w:val="false"/>
        <w:spacing w:after="0" w:before="240" w:line="360"/>
        <w:ind w:firstLine="480"/>
        <w:jc w:val="both"/>
      </w:pPr>
      <w:r>
        <w:rPr>
          <w:rFonts w:ascii="Noto Serif CJK SC" w:cs="Noto Serif CJK SC" w:eastAsia="Noto Serif CJK SC" w:hAnsi="Noto Serif CJK SC"/>
          <w:b w:val="false"/>
          <w:bCs w:val="false"/>
          <w:color w:val="000000"/>
          <w:sz w:val="24"/>
          <w:szCs w:val="24"/>
        </w:rPr>
        <w:t xml:space="preserve">本项目仍有部分基金约束和交易安排需要核对。在完成必要审批并经法务或风控人员复核前，不宜作出无保留的合规结论，最终以正式法律意见、投决结果和交易文件为准。</w:t>
      </w:r>
    </w:p>
    <w:p>
      <w:pPr>
        <w:keepNext/>
        <w:spacing w:after="0" w:before="240" w:line="360"/>
        <w:jc w:val="right"/>
      </w:pPr>
      <w:r>
        <w:rPr>
          <w:rFonts w:ascii="Noto Serif CJK SC" w:cs="Noto Serif CJK SC" w:eastAsia="Noto Serif CJK SC" w:hAnsi="Noto Serif CJK SC"/>
          <w:color w:val="000000"/>
          <w:sz w:val="24"/>
          <w:szCs w:val="24"/>
        </w:rPr>
        <w:t xml:space="preserve">浙江赛智伯乐股权投资管理有限公司</w:t>
      </w:r>
    </w:p>
    <w:p>
      <w:pPr>
        <w:spacing w:after="0" w:before="240" w:line="360"/>
        <w:jc w:val="right"/>
      </w:pPr>
      <w:r>
        <w:rPr>
          <w:rFonts w:ascii="Noto Serif CJK SC" w:cs="Noto Serif CJK SC" w:eastAsia="Noto Serif CJK SC" w:hAnsi="Noto Serif CJK SC"/>
          <w:color w:val="000000"/>
          <w:sz w:val="24"/>
          <w:szCs w:val="24"/>
        </w:rPr>
        <w:t xml:space="preserve">2026年   8   月   5   日</w:t>
      </w:r>
    </w:p>
    <w:sectPr>
      <w:pgSz w:w="11906" w:h="16838" w:orient="portrait"/>
      <w:pgMar w:top="1440" w:right="1800" w:bottom="1440" w:left="1800" w:header="851" w:footer="99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ongti SC"/>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STHeiti"/>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Heiti SC Medium">
    <w:panose1 w:val="02000000000000000000"/>
    <w:charset w:val="80"/>
    <w:family w:val="auto"/>
    <w:pitch w:val="default"/>
    <w:sig w:usb0="8000002F" w:usb1="0800004A" w:usb2="00000000" w:usb3="00000000" w:csb0="203E0000" w:csb1="00000000"/>
  </w:font>
  <w:font w:name="Arial">
    <w:panose1 w:val="020B0604020202090204"/>
    <w:charset w:val="00"/>
    <w:family w:val="swiss"/>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Songti SC">
    <w:altName w:val="宋体"/>
    <w:charset w:val="86"/>
    <w:family w:val="auto"/>
    <w:pitch w:val="default"/>
  </w:font>
  <w:font w:name="STHeiti">
    <w:altName w:val="黑体"/>
    <w:charset w:val="86"/>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4E312E"/>
    <w:multiLevelType w:val="multilevel"/>
    <w:tmpl w:val="014E312E"/>
    <w:lvl w:ilvl="0" w:tentative="0">
      <w:start w:val="1"/>
      <w:numFmt w:val="chi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2164B8D"/>
    <w:multiLevelType w:val="multilevel"/>
    <w:tmpl w:val="52164B8D"/>
    <w:lvl w:ilvl="0" w:tentative="0">
      <w:start w:val="1"/>
      <w:numFmt w:val="decimal"/>
      <w:lvlText w:val="（%1）"/>
      <w:lvlJc w:val="left"/>
      <w:pPr>
        <w:ind w:left="114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7F7EE99A"/>
    <w:multiLevelType w:val="singleLevel"/>
    <w:tmpl w:val="7F7EE99A"/>
    <w:lvl w:ilvl="0" w:tentative="0">
      <w:start w:val="1"/>
      <w:numFmt w:val="decimal"/>
      <w:suff w:val="nothing"/>
      <w:lvlText w:val="%1、"/>
      <w:lvlJc w:val="left"/>
    </w:lvl>
  </w:abstractNum>
  <w:num w:numId="1">
    <w:abstractNumId w:val="0"/>
  </w:num>
  <w:num w:numId="2">
    <w:abstractNumId w:val="1"/>
  </w:num>
  <w:num w:numId="3">
    <w:abstractNumId w:val="2"/>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jc w:val="both"/>
    </w:pPr>
    <w:rPr>
      <w:rFonts w:hint="eastAsia" w:asciiTheme="minorHAnsi" w:hAnsiTheme="minorHAnsi" w:eastAsiaTheme="minorEastAsia" w:cstheme="minorBidi"/>
      <w:kern w:val="2"/>
      <w:sz w:val="32"/>
      <w:szCs w:val="22"/>
      <w:lang w:val="en-US" w:eastAsia="zh-CN" w:bidi="ar-SA"/>
    </w:rPr>
  </w:style>
  <w:style w:type="paragraph" w:styleId="2">
    <w:name w:val="heading 1"/>
    <w:basedOn w:val="1"/>
    <w:next w:val="1"/>
    <w:qFormat/>
    <w:uiPriority w:val="9"/>
    <w:pPr>
      <w:keepNext/>
      <w:keepLines/>
      <w:spacing w:before="340" w:after="330" w:line="576" w:lineRule="auto"/>
      <w:outlineLvl w:val="0"/>
    </w:pPr>
    <w:rPr>
      <w:rFonts w:hint="default" w:eastAsia="Heiti SC Medium"/>
      <w:b/>
      <w:kern w:val="44"/>
      <w:sz w:val="30"/>
    </w:rPr>
  </w:style>
  <w:style w:type="paragraph" w:styleId="3">
    <w:name w:val="heading 2"/>
    <w:basedOn w:val="1"/>
    <w:next w:val="1"/>
    <w:unhideWhenUsed/>
    <w:qFormat/>
    <w:uiPriority w:val="9"/>
    <w:pPr>
      <w:keepNext/>
      <w:keepLines/>
      <w:spacing w:before="260" w:after="260" w:line="413" w:lineRule="auto"/>
      <w:outlineLvl w:val="1"/>
    </w:pPr>
    <w:rPr>
      <w:rFonts w:ascii="Arial" w:hAnsi="Arial" w:eastAsia="Heiti SC Medium"/>
      <w:b/>
      <w:sz w:val="28"/>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annotation text"/>
    <w:basedOn w:val="1"/>
    <w:semiHidden/>
    <w:unhideWhenUsed/>
    <w:qFormat/>
    <w:uiPriority w:val="99"/>
    <w:pPr>
      <w:jc w:val="left"/>
    </w:p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0">
    <w:name w:val="Emphasis"/>
    <w:basedOn w:val="9"/>
    <w:qFormat/>
    <w:uiPriority w:val="20"/>
    <w:rPr>
      <w:i/>
    </w:rPr>
  </w:style>
  <w:style w:type="character" w:customStyle="1" w:styleId="11">
    <w:name w:val="页眉 字符"/>
    <w:basedOn w:val="9"/>
    <w:link w:val="6"/>
    <w:qFormat/>
    <w:uiPriority w:val="99"/>
    <w:rPr>
      <w:sz w:val="18"/>
      <w:szCs w:val="18"/>
    </w:rPr>
  </w:style>
  <w:style w:type="character" w:customStyle="1" w:styleId="12">
    <w:name w:val="页脚 字符"/>
    <w:basedOn w:val="9"/>
    <w:link w:val="5"/>
    <w:qFormat/>
    <w:uiPriority w:val="99"/>
    <w:rPr>
      <w:sz w:val="18"/>
      <w:szCs w:val="18"/>
    </w:rPr>
  </w:style>
  <w:style w:type="paragraph" w:styleId="13">
    <w:name w:val="List Paragraph"/>
    <w:basedOn w:val="1"/>
    <w:qFormat/>
    <w:uiPriority w:val="34"/>
    <w:pPr>
      <w:ind w:firstLine="420" w:firstLineChars="200"/>
    </w:pPr>
  </w:style>
  <w:style w:type="paragraph" w:customStyle="1" w:styleId="14">
    <w:name w:val="Revision"/>
    <w:hidden/>
    <w:unhideWhenUsed/>
    <w:uiPriority w:val="99"/>
    <w:rPr>
      <w:rFonts w:hint="eastAsia" w:asciiTheme="minorHAnsi" w:hAnsiTheme="minorHAnsi" w:eastAsiaTheme="minorEastAsia" w:cstheme="minorBidi"/>
      <w:kern w:val="2"/>
      <w:sz w:val="32"/>
      <w:szCs w:val="22"/>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关于大衍科技项目投资合规性的说明</dc:title>
  <dc:creator>浙江赛智伯乐股权投资管理有限公司投资中台</dc:creator>
  <dc:description>合规性说明 AI 初稿；使用 docs 公司参考模板的版式规范</dc:description>
  <cp:lastModifiedBy>Un-named</cp:lastModifiedBy>
  <cp:revision>1</cp:revision>
  <dcterms:created xsi:type="dcterms:W3CDTF">2026-08-05T06:13:31.503Z</dcterms:created>
  <dcterms:modified xsi:type="dcterms:W3CDTF">2026-08-05T06:13:31.503Z</dcterms:modified>
</cp:coreProperties>
</file>

<file path=docProps/custom.xml><?xml version="1.0" encoding="utf-8"?>
<Properties xmlns="http://schemas.openxmlformats.org/officeDocument/2006/custom-properties" xmlns:vt="http://schemas.openxmlformats.org/officeDocument/2006/docPropsVTypes"/>
</file>