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957B6">
      <w:pPr>
        <w:spacing w:line="480" w:lineRule="exact"/>
        <w:jc w:val="center"/>
        <w:rPr>
          <w:rFonts w:hint="default" w:ascii="Times New Roman" w:hAnsi="Times New Roman" w:eastAsia="宋体" w:cs="Times New Roman"/>
          <w:b/>
          <w:sz w:val="30"/>
          <w:szCs w:val="30"/>
        </w:rPr>
      </w:pPr>
      <w:r>
        <w:rPr>
          <w:rFonts w:hint="default" w:ascii="Times New Roman" w:hAnsi="Times New Roman" w:eastAsia="宋体" w:cs="Times New Roman"/>
          <w:b/>
          <w:sz w:val="30"/>
          <w:szCs w:val="30"/>
        </w:rPr>
        <w:t>关于杭州众创叁期创业投资合伙企业（有限合伙）</w:t>
      </w:r>
    </w:p>
    <w:p w14:paraId="511957B7">
      <w:pPr>
        <w:spacing w:line="480" w:lineRule="exact"/>
        <w:jc w:val="center"/>
        <w:rPr>
          <w:rFonts w:hint="default" w:ascii="Times New Roman" w:hAnsi="Times New Roman" w:eastAsia="宋体" w:cs="Times New Roman"/>
          <w:b/>
          <w:sz w:val="30"/>
          <w:szCs w:val="30"/>
        </w:rPr>
      </w:pPr>
      <w:r>
        <w:rPr>
          <w:rFonts w:hint="default" w:ascii="Times New Roman" w:hAnsi="Times New Roman" w:eastAsia="宋体" w:cs="Times New Roman"/>
          <w:b/>
          <w:sz w:val="30"/>
          <w:szCs w:val="30"/>
        </w:rPr>
        <w:t>对</w:t>
      </w:r>
      <w:r>
        <w:rPr>
          <w:rFonts w:hint="default" w:ascii="Times New Roman" w:hAnsi="Times New Roman" w:eastAsia="宋体" w:cs="Times New Roman"/>
          <w:b/>
          <w:sz w:val="30"/>
          <w:szCs w:val="30"/>
          <w:lang w:eastAsia="zh-CN"/>
        </w:rPr>
        <w:t>杭州飞阔科技有限公司</w:t>
      </w:r>
      <w:r>
        <w:rPr>
          <w:rFonts w:hint="default" w:ascii="Times New Roman" w:hAnsi="Times New Roman" w:eastAsia="宋体" w:cs="Times New Roman"/>
          <w:b/>
          <w:sz w:val="30"/>
          <w:szCs w:val="30"/>
        </w:rPr>
        <w:t>实施</w:t>
      </w:r>
    </w:p>
    <w:p w14:paraId="511957B8">
      <w:pPr>
        <w:spacing w:line="480" w:lineRule="exact"/>
        <w:jc w:val="center"/>
        <w:rPr>
          <w:rFonts w:hint="default" w:ascii="Times New Roman" w:hAnsi="Times New Roman" w:eastAsia="宋体" w:cs="Times New Roman"/>
          <w:b/>
          <w:sz w:val="30"/>
          <w:szCs w:val="30"/>
        </w:rPr>
      </w:pPr>
      <w:r>
        <w:rPr>
          <w:rFonts w:hint="default" w:ascii="Times New Roman" w:hAnsi="Times New Roman" w:eastAsia="宋体" w:cs="Times New Roman"/>
          <w:b/>
          <w:sz w:val="30"/>
          <w:szCs w:val="30"/>
        </w:rPr>
        <w:t>股权投资的提案</w:t>
      </w:r>
    </w:p>
    <w:p w14:paraId="64679FF0">
      <w:pPr>
        <w:spacing w:line="480" w:lineRule="exact"/>
        <w:rPr>
          <w:rFonts w:hint="default" w:ascii="Times New Roman" w:hAnsi="Times New Roman" w:eastAsia="宋体" w:cs="Times New Roman"/>
          <w:b/>
          <w:sz w:val="24"/>
          <w:szCs w:val="24"/>
        </w:rPr>
      </w:pPr>
    </w:p>
    <w:p w14:paraId="511957B9">
      <w:pPr>
        <w:spacing w:line="480" w:lineRule="exact"/>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各位投资决策委员会成员：</w:t>
      </w:r>
    </w:p>
    <w:p w14:paraId="511957BA">
      <w:pPr>
        <w:spacing w:line="480" w:lineRule="exact"/>
        <w:ind w:firstLine="520"/>
        <w:rPr>
          <w:rFonts w:hint="default" w:ascii="Times New Roman" w:hAnsi="Times New Roman" w:eastAsia="宋体" w:cs="Times New Roman"/>
        </w:rPr>
      </w:pPr>
      <w:r>
        <w:rPr>
          <w:rFonts w:hint="default" w:ascii="Times New Roman" w:hAnsi="Times New Roman" w:eastAsia="宋体" w:cs="Times New Roman"/>
        </w:rPr>
        <w:t>杭州众创叁期创业投资合伙企业（有限合伙）（以下称“众创叁期”）准备以</w:t>
      </w:r>
      <w:r>
        <w:rPr>
          <w:rFonts w:hint="default" w:ascii="Times New Roman" w:hAnsi="Times New Roman" w:eastAsia="宋体" w:cs="Times New Roman"/>
          <w:lang w:val="en-US" w:eastAsia="zh-CN"/>
        </w:rPr>
        <w:t>认购增资</w:t>
      </w:r>
      <w:r>
        <w:rPr>
          <w:rFonts w:hint="default" w:ascii="Times New Roman" w:hAnsi="Times New Roman" w:eastAsia="宋体" w:cs="Times New Roman"/>
        </w:rPr>
        <w:t>的形式对</w:t>
      </w:r>
      <w:r>
        <w:rPr>
          <w:rFonts w:hint="default" w:ascii="Times New Roman" w:hAnsi="Times New Roman" w:eastAsia="宋体" w:cs="Times New Roman"/>
          <w:lang w:eastAsia="zh-CN"/>
        </w:rPr>
        <w:t>杭州飞阔科技有限公司</w:t>
      </w:r>
      <w:r>
        <w:rPr>
          <w:rFonts w:hint="default" w:ascii="Times New Roman" w:hAnsi="Times New Roman" w:eastAsia="宋体" w:cs="Times New Roman"/>
        </w:rPr>
        <w:t>（以下称“公司”或“</w:t>
      </w:r>
      <w:r>
        <w:rPr>
          <w:rFonts w:hint="default" w:ascii="Times New Roman" w:hAnsi="Times New Roman" w:eastAsia="宋体" w:cs="Times New Roman"/>
          <w:lang w:val="en-US" w:eastAsia="zh-CN"/>
        </w:rPr>
        <w:t>飞阔科技</w:t>
      </w:r>
      <w:r>
        <w:rPr>
          <w:rFonts w:hint="default" w:ascii="Times New Roman" w:hAnsi="Times New Roman" w:eastAsia="宋体" w:cs="Times New Roman"/>
        </w:rPr>
        <w:t>”）实施股权投资。现将投资提案及相关投资建议书及尽职调查报告提交各位审议。</w:t>
      </w:r>
    </w:p>
    <w:p w14:paraId="511957BB">
      <w:pPr>
        <w:spacing w:line="480" w:lineRule="exact"/>
        <w:ind w:firstLine="480"/>
        <w:rPr>
          <w:rFonts w:hint="default" w:ascii="Times New Roman" w:hAnsi="Times New Roman" w:eastAsia="宋体" w:cs="Times New Roman"/>
        </w:rPr>
      </w:pPr>
      <w:r>
        <w:rPr>
          <w:rFonts w:hint="default" w:ascii="Times New Roman" w:hAnsi="Times New Roman" w:eastAsia="宋体" w:cs="Times New Roman"/>
        </w:rPr>
        <w:t>在决策委员会审议通过后，将按照审议确定原则，授权管理人浙江赛智伯乐股权投资管理有限公司（以下称“赛智伯乐”）实施股权投资的具体操作。</w:t>
      </w:r>
    </w:p>
    <w:p w14:paraId="511957BD">
      <w:pPr>
        <w:pStyle w:val="17"/>
        <w:numPr>
          <w:ilvl w:val="0"/>
          <w:numId w:val="1"/>
        </w:numPr>
        <w:tabs>
          <w:tab w:val="left" w:pos="0"/>
          <w:tab w:val="clear" w:pos="1146"/>
        </w:tabs>
        <w:spacing w:line="480" w:lineRule="exact"/>
        <w:ind w:left="0" w:firstLine="0" w:firstLineChars="0"/>
        <w:rPr>
          <w:rFonts w:hint="default" w:ascii="Times New Roman" w:hAnsi="Times New Roman" w:eastAsia="宋体" w:cs="Times New Roman"/>
          <w:b/>
          <w:bCs/>
          <w:sz w:val="24"/>
          <w:szCs w:val="24"/>
        </w:rPr>
      </w:pPr>
      <w:r>
        <w:rPr>
          <w:rFonts w:hint="default" w:ascii="Times New Roman" w:hAnsi="Times New Roman" w:eastAsia="宋体" w:cs="Times New Roman"/>
          <w:b/>
          <w:sz w:val="24"/>
          <w:szCs w:val="24"/>
        </w:rPr>
        <w:t>公司基本情况简介</w:t>
      </w:r>
    </w:p>
    <w:p w14:paraId="0DE11669">
      <w:pPr>
        <w:spacing w:line="480" w:lineRule="exact"/>
        <w:ind w:firstLine="480"/>
        <w:rPr>
          <w:rFonts w:hint="default" w:ascii="Times New Roman" w:hAnsi="Times New Roman" w:eastAsia="宋体" w:cs="Times New Roman"/>
        </w:rPr>
      </w:pPr>
      <w:r>
        <w:rPr>
          <w:rFonts w:hint="default" w:ascii="Times New Roman" w:hAnsi="Times New Roman" w:eastAsia="宋体" w:cs="Times New Roman"/>
        </w:rPr>
        <w:t>杭州飞阔科技有限公司是一家专注于具身智能后市场</w:t>
      </w:r>
      <w:r>
        <w:rPr>
          <w:rFonts w:hint="eastAsia" w:ascii="Times New Roman" w:hAnsi="Times New Roman" w:eastAsia="宋体" w:cs="Times New Roman"/>
          <w:lang w:val="en-US" w:eastAsia="zh-CN"/>
        </w:rPr>
        <w:t>业务</w:t>
      </w:r>
      <w:r>
        <w:rPr>
          <w:rFonts w:hint="default" w:ascii="Times New Roman" w:hAnsi="Times New Roman" w:eastAsia="宋体" w:cs="Times New Roman"/>
        </w:rPr>
        <w:t>的科技公司。核心业务包括二次开发、租赁运营、维修保养及专业人才培训等。围绕机器人本体出厂后的使用需求，公司在二次开发环节形成了机器人大脑模型集合硬件“天枢”、机器人运动控制系统“天璇”以及四足机器人融合开放平台等标准化产品；后续服务则覆盖设备租赁运营、维修保养和专业人才培训。</w:t>
      </w:r>
    </w:p>
    <w:p w14:paraId="018A3952">
      <w:pPr>
        <w:spacing w:line="480" w:lineRule="exact"/>
        <w:ind w:firstLine="480"/>
        <w:rPr>
          <w:rFonts w:hint="default" w:ascii="Times New Roman" w:hAnsi="Times New Roman" w:eastAsia="宋体" w:cs="Times New Roman"/>
        </w:rPr>
      </w:pPr>
      <w:r>
        <w:rPr>
          <w:rFonts w:hint="default" w:ascii="Times New Roman" w:hAnsi="Times New Roman" w:eastAsia="宋体" w:cs="Times New Roman"/>
        </w:rPr>
        <w:t>公司核心团队覆盖机器人技术研发、场景交付、教育培训、品牌营销及产业资源整合等领域。CEO胡凌鹏具备十余年科技产业经营及机器人项目落地经验，CTO郭云飞曾任上市公司研发总监，长期从事</w:t>
      </w:r>
      <w:r>
        <w:rPr>
          <w:rFonts w:hint="eastAsia" w:ascii="Times New Roman" w:hAnsi="Times New Roman" w:eastAsia="宋体" w:cs="Times New Roman"/>
          <w:lang w:val="en-US" w:eastAsia="zh-CN"/>
        </w:rPr>
        <w:t>具身智能相关的核心技术</w:t>
      </w:r>
      <w:r>
        <w:rPr>
          <w:rFonts w:hint="default" w:ascii="Times New Roman" w:hAnsi="Times New Roman" w:eastAsia="宋体" w:cs="Times New Roman"/>
        </w:rPr>
        <w:t>研发；其他核心成员在教育、商业活动、渠道建设和生态合作等方面具有较丰富的实践经验，为公司的产品研发与市场化落地提供支撑。</w:t>
      </w:r>
    </w:p>
    <w:p w14:paraId="6C406DA0">
      <w:pPr>
        <w:spacing w:line="480" w:lineRule="exact"/>
        <w:ind w:firstLine="480"/>
        <w:rPr>
          <w:rFonts w:hint="default" w:ascii="Times New Roman" w:hAnsi="Times New Roman" w:eastAsia="宋体" w:cs="Times New Roman"/>
        </w:rPr>
      </w:pPr>
      <w:r>
        <w:rPr>
          <w:rFonts w:hint="default" w:ascii="Times New Roman" w:hAnsi="Times New Roman" w:eastAsia="宋体" w:cs="Times New Roman"/>
        </w:rPr>
        <w:t>飞阔科技已具备多品牌机器人适配、智能交互、动作编排、群体控制及场景系统集成能力，能够针对商业文娱、机器人体验中心、高校实训等场景，提供“机器人本体+</w:t>
      </w:r>
      <w:r>
        <w:rPr>
          <w:rFonts w:hint="eastAsia" w:ascii="Times New Roman" w:hAnsi="Times New Roman" w:eastAsia="宋体" w:cs="Times New Roman"/>
          <w:lang w:val="en-US" w:eastAsia="zh-CN"/>
        </w:rPr>
        <w:t>二次开发标准</w:t>
      </w:r>
      <w:r>
        <w:rPr>
          <w:rFonts w:hint="default" w:ascii="Times New Roman" w:hAnsi="Times New Roman" w:eastAsia="宋体" w:cs="Times New Roman"/>
        </w:rPr>
        <w:t>产品+现场交付+培训运维”的一体化解决方案。公司已参与</w:t>
      </w:r>
      <w:r>
        <w:rPr>
          <w:rFonts w:hint="eastAsia" w:ascii="Times New Roman" w:hAnsi="Times New Roman" w:eastAsia="宋体" w:cs="Times New Roman"/>
          <w:lang w:val="en-US" w:eastAsia="zh-CN"/>
        </w:rPr>
        <w:t>多个</w:t>
      </w:r>
      <w:r>
        <w:rPr>
          <w:rFonts w:hint="default" w:ascii="Times New Roman" w:hAnsi="Times New Roman" w:eastAsia="宋体" w:cs="Times New Roman"/>
        </w:rPr>
        <w:t>机器人</w:t>
      </w:r>
      <w:r>
        <w:rPr>
          <w:rFonts w:hint="eastAsia" w:ascii="Times New Roman" w:hAnsi="Times New Roman" w:eastAsia="宋体" w:cs="Times New Roman"/>
          <w:lang w:val="en-US" w:eastAsia="zh-CN"/>
        </w:rPr>
        <w:t>主题大型活动</w:t>
      </w:r>
      <w:r>
        <w:rPr>
          <w:rFonts w:hint="default" w:ascii="Times New Roman" w:hAnsi="Times New Roman" w:eastAsia="宋体" w:cs="Times New Roman"/>
        </w:rPr>
        <w:t>，相关产品和服务在高校教育、展览展示及商业活动等场景得到初步验证。</w:t>
      </w:r>
    </w:p>
    <w:p w14:paraId="57D5F250">
      <w:pPr>
        <w:spacing w:line="480" w:lineRule="exact"/>
        <w:ind w:firstLine="480"/>
        <w:rPr>
          <w:rFonts w:hint="default" w:ascii="Times New Roman" w:hAnsi="Times New Roman" w:eastAsia="宋体" w:cs="Times New Roman"/>
        </w:rPr>
      </w:pPr>
      <w:r>
        <w:rPr>
          <w:rFonts w:hint="default" w:ascii="Times New Roman" w:hAnsi="Times New Roman" w:eastAsia="宋体" w:cs="Times New Roman"/>
        </w:rPr>
        <w:t>公司致力于构建覆盖二次开发、租赁运营、维修保养和人才培训的具身智能后市场</w:t>
      </w:r>
      <w:r>
        <w:rPr>
          <w:rFonts w:hint="eastAsia" w:ascii="Times New Roman" w:hAnsi="Times New Roman" w:eastAsia="宋体" w:cs="Times New Roman"/>
          <w:lang w:val="en-US" w:eastAsia="zh-CN"/>
        </w:rPr>
        <w:t>全链条</w:t>
      </w:r>
      <w:r>
        <w:rPr>
          <w:rFonts w:hint="eastAsia" w:cs="Times New Roman"/>
          <w:lang w:val="en-US" w:eastAsia="zh-CN"/>
        </w:rPr>
        <w:t>服务</w:t>
      </w:r>
      <w:r>
        <w:rPr>
          <w:rFonts w:hint="default" w:ascii="Times New Roman" w:hAnsi="Times New Roman" w:eastAsia="宋体" w:cs="Times New Roman"/>
        </w:rPr>
        <w:t>平台。依托与智元、众擎等本体厂商的股权或业务协同关系，公司持续积累真实场景数据和项目交付经验，并通过城市合伙人、区域子公司等渠道推动标准化产品和解决方案复制，现正处于由项目型交付向产品标准化、渠道规模化及后市场平台化发展的关键阶段。</w:t>
      </w:r>
    </w:p>
    <w:p w14:paraId="511957C2">
      <w:pPr>
        <w:pStyle w:val="17"/>
        <w:numPr>
          <w:ilvl w:val="0"/>
          <w:numId w:val="1"/>
        </w:numPr>
        <w:tabs>
          <w:tab w:val="left" w:pos="0"/>
          <w:tab w:val="clear" w:pos="1146"/>
        </w:tabs>
        <w:spacing w:line="480" w:lineRule="exact"/>
        <w:ind w:left="0" w:firstLine="0" w:firstLineChars="0"/>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交易条件</w:t>
      </w:r>
    </w:p>
    <w:p w14:paraId="511957C3">
      <w:pPr>
        <w:pStyle w:val="17"/>
        <w:numPr>
          <w:ilvl w:val="0"/>
          <w:numId w:val="2"/>
        </w:numPr>
        <w:spacing w:line="480" w:lineRule="exact"/>
        <w:ind w:firstLineChars="0"/>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公司估值和投资方案</w:t>
      </w:r>
    </w:p>
    <w:p w14:paraId="7DB9B90B">
      <w:pPr>
        <w:spacing w:line="480" w:lineRule="exact"/>
        <w:ind w:firstLine="420" w:firstLineChars="200"/>
        <w:rPr>
          <w:rFonts w:hint="default" w:ascii="Times New Roman" w:hAnsi="Times New Roman" w:eastAsia="宋体" w:cs="Times New Roman"/>
          <w:lang w:val="en-US" w:eastAsia="zh-CN"/>
        </w:rPr>
      </w:pPr>
      <w:r>
        <w:rPr>
          <w:rFonts w:hint="default" w:ascii="Times New Roman" w:hAnsi="Times New Roman" w:eastAsia="宋体" w:cs="Times New Roman"/>
        </w:rPr>
        <w:t>投资形式：</w:t>
      </w:r>
      <w:r>
        <w:rPr>
          <w:rFonts w:hint="default" w:ascii="Times New Roman" w:hAnsi="Times New Roman" w:eastAsia="宋体" w:cs="Times New Roman"/>
          <w:lang w:val="en-US" w:eastAsia="zh-CN"/>
        </w:rPr>
        <w:t>认购增资</w:t>
      </w:r>
    </w:p>
    <w:p w14:paraId="5A4AFC29">
      <w:pPr>
        <w:spacing w:line="480" w:lineRule="exact"/>
        <w:ind w:firstLine="420" w:firstLineChars="200"/>
        <w:rPr>
          <w:rFonts w:hint="default" w:ascii="Times New Roman" w:hAnsi="Times New Roman" w:eastAsia="宋体" w:cs="Times New Roman"/>
          <w:lang w:val="en-US" w:eastAsia="zh-CN"/>
        </w:rPr>
      </w:pPr>
      <w:r>
        <w:rPr>
          <w:rFonts w:hint="default" w:ascii="Times New Roman" w:hAnsi="Times New Roman" w:eastAsia="宋体" w:cs="Times New Roman"/>
        </w:rPr>
        <w:t>杭州众创叁期创业投资合伙企业（有限合伙）</w:t>
      </w:r>
      <w:r>
        <w:rPr>
          <w:rFonts w:hint="default" w:ascii="Times New Roman" w:hAnsi="Times New Roman" w:eastAsia="宋体" w:cs="Times New Roman"/>
          <w:lang w:val="en-US" w:eastAsia="zh-CN"/>
        </w:rPr>
        <w:t>拟按照投前估值2.7亿元，即每1元注册资本对应约248.55元人民币的价格，支付增资款</w:t>
      </w:r>
      <w:r>
        <w:rPr>
          <w:rFonts w:hint="eastAsia" w:cs="Times New Roman"/>
          <w:lang w:val="en-US" w:eastAsia="zh-CN"/>
        </w:rPr>
        <w:t>17</w:t>
      </w:r>
      <w:r>
        <w:rPr>
          <w:rFonts w:hint="default" w:ascii="Times New Roman" w:hAnsi="Times New Roman" w:eastAsia="宋体" w:cs="Times New Roman"/>
          <w:lang w:val="en-US" w:eastAsia="zh-CN"/>
        </w:rPr>
        <w:t>00万元，向飞阔科技认购新增注册资本8.</w:t>
      </w:r>
      <w:r>
        <w:rPr>
          <w:rFonts w:hint="eastAsia" w:cs="Times New Roman"/>
          <w:lang w:val="en-US" w:eastAsia="zh-CN"/>
        </w:rPr>
        <w:t>8396</w:t>
      </w:r>
      <w:r>
        <w:rPr>
          <w:rFonts w:hint="default" w:ascii="Times New Roman" w:hAnsi="Times New Roman" w:eastAsia="宋体" w:cs="Times New Roman"/>
          <w:lang w:val="en-US" w:eastAsia="zh-CN"/>
        </w:rPr>
        <w:t>万元。</w:t>
      </w:r>
    </w:p>
    <w:p w14:paraId="19E53DF7">
      <w:pPr>
        <w:spacing w:line="480" w:lineRule="exact"/>
        <w:ind w:firstLine="42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本轮投资方除众创叁期外，当虹科技（688039）、美格智能（002881）、</w:t>
      </w:r>
      <w:r>
        <w:rPr>
          <w:rFonts w:hint="eastAsia" w:cs="Times New Roman"/>
          <w:lang w:val="en-US" w:eastAsia="zh-CN"/>
        </w:rPr>
        <w:t>圣奥科技、</w:t>
      </w:r>
      <w:r>
        <w:rPr>
          <w:rFonts w:hint="default" w:ascii="Times New Roman" w:hAnsi="Times New Roman" w:eastAsia="宋体" w:cs="Times New Roman"/>
          <w:lang w:val="en-US" w:eastAsia="zh-CN"/>
        </w:rPr>
        <w:t>众擎机器人、同创伟业、明嘉资本等将向飞阔科技投资共计1</w:t>
      </w:r>
      <w:r>
        <w:rPr>
          <w:rFonts w:hint="eastAsia" w:cs="Times New Roman"/>
          <w:lang w:val="en-US" w:eastAsia="zh-CN"/>
        </w:rPr>
        <w:t>3</w:t>
      </w:r>
      <w:r>
        <w:rPr>
          <w:rFonts w:hint="default" w:ascii="Times New Roman" w:hAnsi="Times New Roman" w:eastAsia="宋体" w:cs="Times New Roman"/>
          <w:lang w:val="en-US" w:eastAsia="zh-CN"/>
        </w:rPr>
        <w:t>00万元。</w:t>
      </w:r>
    </w:p>
    <w:p w14:paraId="590B93C5">
      <w:pPr>
        <w:spacing w:line="480" w:lineRule="exact"/>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lang w:val="en-US" w:eastAsia="zh-CN"/>
        </w:rPr>
        <w:t>增资完成后，飞阔科技注册资本变更为120.7万元，众创叁</w:t>
      </w:r>
      <w:bookmarkStart w:id="0" w:name="_GoBack"/>
      <w:bookmarkEnd w:id="0"/>
      <w:r>
        <w:rPr>
          <w:rFonts w:hint="default" w:ascii="Times New Roman" w:hAnsi="Times New Roman" w:eastAsia="宋体" w:cs="Times New Roman"/>
          <w:lang w:val="en-US" w:eastAsia="zh-CN"/>
        </w:rPr>
        <w:t>期持有标的公司</w:t>
      </w:r>
      <w:r>
        <w:rPr>
          <w:rFonts w:hint="eastAsia" w:cs="Times New Roman"/>
          <w:lang w:val="en-US" w:eastAsia="zh-CN"/>
        </w:rPr>
        <w:t>5</w:t>
      </w:r>
      <w:r>
        <w:rPr>
          <w:rFonts w:hint="default" w:ascii="Times New Roman" w:hAnsi="Times New Roman" w:eastAsia="宋体" w:cs="Times New Roman"/>
          <w:lang w:val="en-US" w:eastAsia="zh-CN"/>
        </w:rPr>
        <w:t>.67%股权，投后估值为3亿元。</w:t>
      </w:r>
    </w:p>
    <w:p w14:paraId="70DC2558">
      <w:pPr>
        <w:pStyle w:val="17"/>
        <w:numPr>
          <w:ilvl w:val="0"/>
          <w:numId w:val="2"/>
        </w:numPr>
        <w:spacing w:line="480" w:lineRule="exact"/>
        <w:ind w:firstLineChars="0"/>
        <w:rPr>
          <w:rFonts w:hint="default" w:ascii="Times New Roman" w:hAnsi="Times New Roman" w:eastAsia="宋体" w:cs="Times New Roman"/>
          <w:b/>
          <w:sz w:val="24"/>
          <w:szCs w:val="24"/>
          <w:highlight w:val="none"/>
        </w:rPr>
      </w:pPr>
      <w:r>
        <w:rPr>
          <w:rFonts w:hint="default" w:ascii="Times New Roman" w:hAnsi="Times New Roman" w:eastAsia="宋体" w:cs="Times New Roman"/>
          <w:b/>
          <w:sz w:val="24"/>
          <w:szCs w:val="24"/>
          <w:highlight w:val="none"/>
        </w:rPr>
        <w:t>风险控制及保护性条款</w:t>
      </w:r>
    </w:p>
    <w:p w14:paraId="6CC9C9B8">
      <w:pPr>
        <w:pStyle w:val="17"/>
        <w:numPr>
          <w:ilvl w:val="-1"/>
          <w:numId w:val="0"/>
        </w:numPr>
        <w:spacing w:line="480" w:lineRule="exact"/>
        <w:ind w:left="420" w:firstLine="0" w:firstLineChars="0"/>
        <w:rPr>
          <w:rFonts w:hint="default" w:ascii="Times New Roman" w:hAnsi="Times New Roman" w:eastAsia="宋体" w:cs="Times New Roman"/>
          <w:b/>
          <w:bCs/>
        </w:rPr>
      </w:pPr>
      <w:r>
        <w:rPr>
          <w:rFonts w:hint="default" w:ascii="Times New Roman" w:hAnsi="Times New Roman" w:eastAsia="宋体" w:cs="Times New Roman"/>
          <w:b/>
          <w:bCs/>
        </w:rPr>
        <w:t>回购权：</w:t>
      </w:r>
    </w:p>
    <w:p w14:paraId="40015D9B">
      <w:pPr>
        <w:pStyle w:val="4"/>
        <w:numPr>
          <w:ilvl w:val="0"/>
          <w:numId w:val="3"/>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本轮交割完成后，当出现下列重大事项时，本轮投资方有权利要求公司及/或实控人（“回购义务人”）以现金方式回购本轮投资方所持有的全部或部分股权：</w:t>
      </w:r>
    </w:p>
    <w:p w14:paraId="28DA6D91">
      <w:pPr>
        <w:pStyle w:val="4"/>
        <w:numPr>
          <w:ilvl w:val="0"/>
          <w:numId w:val="4"/>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实际控制人在未得到本轮投资方同意下直接或间接转让其持有的公司股权或其控股地位发生变化；或其离开标的公司不再担任标的公司高级管理人员职务或事实上不再为公司提供服务；</w:t>
      </w:r>
    </w:p>
    <w:p w14:paraId="68A9F765">
      <w:pPr>
        <w:pStyle w:val="4"/>
        <w:numPr>
          <w:ilvl w:val="0"/>
          <w:numId w:val="4"/>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标的公司或其实际控制人涉嫌重大违法或犯罪，或标的公司或其实际控制人实施财务造假，或标的公司或其实际控制人出现重大个人诚信问题损害公司利益（包括但不限于公司出现投资方不知情的账外现金销售收入、恶意隐瞒标的公司核心知识产权侵犯任何第三方知识产权的事实等情形），且在投资方规定的期限内未采取有效措施改正或消除不良影响；</w:t>
      </w:r>
    </w:p>
    <w:p w14:paraId="45BEE982">
      <w:pPr>
        <w:pStyle w:val="4"/>
        <w:numPr>
          <w:ilvl w:val="0"/>
          <w:numId w:val="4"/>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核心团队存在竞业限制等情形未及时披露，发现后不能作出合理解释；</w:t>
      </w:r>
    </w:p>
    <w:p w14:paraId="77C98A80">
      <w:pPr>
        <w:pStyle w:val="4"/>
        <w:numPr>
          <w:ilvl w:val="0"/>
          <w:numId w:val="4"/>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未经董事会事先许可，进行了不具有合理商业目的关联交易；</w:t>
      </w:r>
    </w:p>
    <w:p w14:paraId="33F47DA7">
      <w:pPr>
        <w:pStyle w:val="4"/>
        <w:numPr>
          <w:ilvl w:val="0"/>
          <w:numId w:val="4"/>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从事涉嫌转移公司资产的行为；</w:t>
      </w:r>
    </w:p>
    <w:p w14:paraId="0935BE2A">
      <w:pPr>
        <w:pStyle w:val="4"/>
        <w:numPr>
          <w:ilvl w:val="0"/>
          <w:numId w:val="4"/>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投资方发现标的公司和实际控制人在投资时做出的陈述与保证的内容以及交割时提供的相关法律文书存在重大欺诈、重大误解的，或标的公司、实际控制人未全面履行陈述与保证的内容的；</w:t>
      </w:r>
    </w:p>
    <w:p w14:paraId="6E23CBEB">
      <w:pPr>
        <w:pStyle w:val="4"/>
        <w:numPr>
          <w:ilvl w:val="0"/>
          <w:numId w:val="4"/>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标的公司未经投资方同意对外提供担保、对外提供借款，且金额巨大；</w:t>
      </w:r>
    </w:p>
    <w:p w14:paraId="5266ED64">
      <w:pPr>
        <w:pStyle w:val="4"/>
        <w:numPr>
          <w:ilvl w:val="0"/>
          <w:numId w:val="4"/>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未经投资方事先书面同意，标的公司将其主要知识产权授权给任何第三方（公司全资或控股子公司除外）。</w:t>
      </w:r>
    </w:p>
    <w:p w14:paraId="2038F304">
      <w:pPr>
        <w:pStyle w:val="4"/>
        <w:numPr>
          <w:ilvl w:val="0"/>
          <w:numId w:val="5"/>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若发生以上情形，回购价款以下述两者孰高确定：（1）投资方要求回购的公司股权对应的已支付的投资款的100%加上该等投资款按年利率12%（单利）计算的利息（前述利息的计算期间从投资方实际支付投资款之日起计算至投资方收到全部回购价款之日止，不足一年的按比例计算），再加上要求回购的公司股权对应的已经宣布的但未向投资方支付的红利；或（2）投资方要求回购的公司股权届时对应的公司净资产值。</w:t>
      </w:r>
    </w:p>
    <w:p w14:paraId="05EDC824">
      <w:pPr>
        <w:pStyle w:val="4"/>
        <w:numPr>
          <w:ilvl w:val="0"/>
          <w:numId w:val="5"/>
        </w:numPr>
        <w:spacing w:line="460" w:lineRule="exact"/>
        <w:ind w:firstLineChars="0"/>
        <w:rPr>
          <w:rFonts w:hint="default" w:ascii="Times New Roman" w:hAnsi="Times New Roman" w:eastAsia="宋体" w:cs="Times New Roman"/>
          <w:color w:val="000000"/>
          <w:sz w:val="21"/>
          <w:szCs w:val="21"/>
          <w:lang w:val="zh-CN"/>
        </w:rPr>
      </w:pPr>
      <w:r>
        <w:rPr>
          <w:rFonts w:hint="default" w:ascii="Times New Roman" w:hAnsi="Times New Roman" w:eastAsia="宋体" w:cs="Times New Roman"/>
          <w:color w:val="000000"/>
          <w:sz w:val="21"/>
          <w:szCs w:val="21"/>
          <w:lang w:val="zh-CN"/>
        </w:rPr>
        <w:t>如发生下列情况（“回购事件”），投资人有权要求公司（即杭州飞阔科技有限公司，在本协议第6条中简称“回购义务人”）按投资人的投资金额加上按6%（年单利）计算的利息（“回购价格”）回购投资人所持有的全部或部分股权：</w:t>
      </w:r>
    </w:p>
    <w:p w14:paraId="7337630C">
      <w:pPr>
        <w:spacing w:line="480" w:lineRule="exact"/>
        <w:ind w:left="420" w:leftChars="200" w:firstLine="0" w:firstLineChars="0"/>
        <w:rPr>
          <w:rFonts w:hint="default" w:ascii="Times New Roman" w:hAnsi="Times New Roman" w:eastAsia="宋体" w:cs="Times New Roman"/>
          <w:color w:val="000000"/>
          <w:sz w:val="21"/>
          <w:szCs w:val="21"/>
          <w:lang w:val="zh-CN"/>
        </w:rPr>
      </w:pPr>
      <w:r>
        <w:rPr>
          <w:rFonts w:hint="default" w:ascii="Times New Roman" w:hAnsi="Times New Roman" w:eastAsia="宋体" w:cs="Times New Roman"/>
          <w:color w:val="000000"/>
          <w:sz w:val="21"/>
          <w:szCs w:val="21"/>
          <w:lang w:val="zh-CN"/>
        </w:rPr>
        <w:t>截至2033年6月30日或投资人书面同意的其他更晚日期，公司未完成合格上市或实现公司收、并购</w:t>
      </w:r>
      <w:r>
        <w:rPr>
          <w:rFonts w:hint="default" w:ascii="Times New Roman" w:hAnsi="Times New Roman" w:eastAsia="宋体" w:cs="Times New Roman"/>
          <w:color w:val="000000"/>
          <w:sz w:val="21"/>
          <w:szCs w:val="21"/>
        </w:rPr>
        <w:t>（收、并购交易的估值及交易方案应当经投资人书面认可）</w:t>
      </w:r>
      <w:r>
        <w:rPr>
          <w:rFonts w:hint="default" w:ascii="Times New Roman" w:hAnsi="Times New Roman" w:eastAsia="宋体" w:cs="Times New Roman"/>
          <w:color w:val="000000"/>
          <w:sz w:val="21"/>
          <w:szCs w:val="21"/>
          <w:lang w:val="zh-CN"/>
        </w:rPr>
        <w:t>，且未发生视同清算事件。</w:t>
      </w:r>
    </w:p>
    <w:p w14:paraId="5A23A302">
      <w:pPr>
        <w:spacing w:line="480" w:lineRule="exact"/>
        <w:ind w:left="0"/>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优先清算权：</w:t>
      </w:r>
    </w:p>
    <w:p w14:paraId="21D51AE6">
      <w:pPr>
        <w:pStyle w:val="4"/>
        <w:numPr>
          <w:ilvl w:val="0"/>
          <w:numId w:val="6"/>
        </w:numPr>
        <w:spacing w:line="460" w:lineRule="exact"/>
        <w:ind w:left="425" w:leftChars="0" w:hanging="425"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标的公司的“视为清算事件”应视为由以下事件引起或包括以下事件：</w:t>
      </w:r>
    </w:p>
    <w:p w14:paraId="549595B0">
      <w:pPr>
        <w:pStyle w:val="4"/>
        <w:numPr>
          <w:ilvl w:val="0"/>
          <w:numId w:val="7"/>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各方书面一致同意清算时；</w:t>
      </w:r>
    </w:p>
    <w:p w14:paraId="05BCFC07">
      <w:pPr>
        <w:pStyle w:val="4"/>
        <w:numPr>
          <w:ilvl w:val="0"/>
          <w:numId w:val="7"/>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标的公司因合并或分立需要解散的；</w:t>
      </w:r>
    </w:p>
    <w:p w14:paraId="7997A18F">
      <w:pPr>
        <w:pStyle w:val="4"/>
        <w:numPr>
          <w:ilvl w:val="0"/>
          <w:numId w:val="7"/>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标的公司停止开展现在进行的主营业务；</w:t>
      </w:r>
    </w:p>
    <w:p w14:paraId="5AE7E922">
      <w:pPr>
        <w:pStyle w:val="4"/>
        <w:numPr>
          <w:ilvl w:val="0"/>
          <w:numId w:val="7"/>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标的公司因破产、解散、歇业、被吊销营业执照等情况而进行清算；</w:t>
      </w:r>
    </w:p>
    <w:p w14:paraId="0DEBCE28">
      <w:pPr>
        <w:pStyle w:val="4"/>
        <w:numPr>
          <w:ilvl w:val="0"/>
          <w:numId w:val="7"/>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对标的公司有管辖权的任何政府机构，其所要求的对本合同、《章程》或营业执照的任何规定的修改可能对标的公司或甲方造成重大不利影响；任何影响标的公司全面开展其经营范围所述活动的能力的批准、许可、执照、证书或权利被撤销、以对标的公司产生重大不利影响的方式被修改，或者到期时未被更新而导致标的公司无法正常经营；及法律法规或者本合同、《章程》规定的其他情形；</w:t>
      </w:r>
    </w:p>
    <w:p w14:paraId="79F56EB5">
      <w:pPr>
        <w:pStyle w:val="4"/>
        <w:numPr>
          <w:ilvl w:val="0"/>
          <w:numId w:val="7"/>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标的公司股东会或董事会无法召开且持续十二（12）个月以上；</w:t>
      </w:r>
    </w:p>
    <w:p w14:paraId="270B3ABE">
      <w:pPr>
        <w:pStyle w:val="4"/>
        <w:numPr>
          <w:ilvl w:val="0"/>
          <w:numId w:val="7"/>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出售或者转让标的公司百分之五十（50%）以上的股权、标的公司被并购、标的公司重组以及标的公司实际控制权改变；以及经过任何收购、合并或类似交易，标的公司不再存续；</w:t>
      </w:r>
    </w:p>
    <w:p w14:paraId="53EE58F5">
      <w:pPr>
        <w:pStyle w:val="4"/>
        <w:numPr>
          <w:ilvl w:val="0"/>
          <w:numId w:val="7"/>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任何使标的公司百分之五十（50%）以上的资产或业务被转让、出售或者不再为标的公司所控制。</w:t>
      </w:r>
    </w:p>
    <w:p w14:paraId="34A1A8C2">
      <w:pPr>
        <w:pStyle w:val="4"/>
        <w:numPr>
          <w:ilvl w:val="0"/>
          <w:numId w:val="8"/>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公司承诺，若公司在IPO前发生解散、清算或关闭等任何清算事由或售出事件时，清算财产应依法按如下顺序支付相应费用：清算费用、职工工资、社会保险费用和法定补偿金、所欠税款、公司债务。</w:t>
      </w:r>
    </w:p>
    <w:p w14:paraId="0702EF50">
      <w:pPr>
        <w:pStyle w:val="4"/>
        <w:numPr>
          <w:ilvl w:val="0"/>
          <w:numId w:val="8"/>
        </w:numPr>
        <w:spacing w:line="460" w:lineRule="exact"/>
        <w:ind w:firstLineChars="0"/>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支付上述费用后的剩余财产，本轮投资方有权根据如下约定的计算方式、金额和顺位优先于公司其他股东从公司剩余财产中优先获得分配：</w:t>
      </w:r>
    </w:p>
    <w:p w14:paraId="0A41BD6F">
      <w:pPr>
        <w:pStyle w:val="17"/>
        <w:numPr>
          <w:ilvl w:val="4"/>
          <w:numId w:val="0"/>
        </w:numPr>
        <w:tabs>
          <w:tab w:val="left" w:pos="525"/>
        </w:tabs>
        <w:spacing w:line="360" w:lineRule="auto"/>
        <w:ind w:left="420" w:leftChars="200" w:firstLine="0" w:firstLineChars="0"/>
        <w:rPr>
          <w:rFonts w:hint="default" w:ascii="Times New Roman" w:hAnsi="Times New Roman" w:eastAsia="宋体" w:cs="Times New Roman"/>
          <w:color w:val="000000"/>
          <w:kern w:val="2"/>
          <w:sz w:val="21"/>
          <w:szCs w:val="21"/>
          <w:lang w:val="zh-CN" w:eastAsia="zh-CN" w:bidi="ar-SA"/>
        </w:rPr>
      </w:pPr>
      <w:r>
        <w:rPr>
          <w:rFonts w:hint="default" w:ascii="Times New Roman" w:hAnsi="Times New Roman" w:eastAsia="宋体" w:cs="Times New Roman"/>
          <w:color w:val="000000"/>
          <w:kern w:val="2"/>
          <w:sz w:val="21"/>
          <w:szCs w:val="21"/>
          <w:lang w:val="zh-CN" w:eastAsia="zh-CN" w:bidi="ar-SA"/>
        </w:rPr>
        <w:t>分配金额以下述两者孰高确定：（1）本轮投资方投资款 * [1 + 6% * N/365]（其中N为自交割日至本轮投资方全额收讫款项之日）；（2）本轮投资方在公司清算时所持有的注册资本对应的公司剩余财产。</w:t>
      </w:r>
    </w:p>
    <w:p w14:paraId="7BD48F8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0" w:right="0" w:rightChars="0"/>
        <w:jc w:val="left"/>
        <w:textAlignment w:val="auto"/>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zh-CN" w:eastAsia="zh-CN" w:bidi="ar-SA"/>
        </w:rPr>
        <w:t>如剩余财产不足以支付投资方上述约定的金额，则以清算财产为限。</w:t>
      </w:r>
    </w:p>
    <w:p w14:paraId="6B75CC49">
      <w:pPr>
        <w:keepNext w:val="0"/>
        <w:keepLines w:val="0"/>
        <w:pageBreakBefore w:val="0"/>
        <w:widowControl w:val="0"/>
        <w:numPr>
          <w:ilvl w:val="0"/>
          <w:numId w:val="0"/>
        </w:numPr>
        <w:tabs>
          <w:tab w:val="left" w:pos="1276"/>
        </w:tabs>
        <w:kinsoku/>
        <w:wordWrap/>
        <w:overflowPunct/>
        <w:topLinePunct w:val="0"/>
        <w:autoSpaceDE/>
        <w:autoSpaceDN/>
        <w:bidi w:val="0"/>
        <w:adjustRightInd/>
        <w:snapToGrid/>
        <w:spacing w:line="400" w:lineRule="exact"/>
        <w:ind w:leftChars="0"/>
        <w:textAlignment w:val="auto"/>
        <w:rPr>
          <w:rFonts w:hint="default" w:ascii="Times New Roman" w:hAnsi="Times New Roman" w:eastAsia="宋体" w:cs="Times New Roman"/>
          <w:lang w:val="en-US"/>
        </w:rPr>
      </w:pPr>
      <w:r>
        <w:rPr>
          <w:rFonts w:hint="default" w:ascii="Times New Roman" w:hAnsi="Times New Roman" w:eastAsia="宋体" w:cs="Times New Roman"/>
          <w:b/>
          <w:bCs/>
          <w:lang w:val="en-US" w:eastAsia="zh-CN"/>
        </w:rPr>
        <w:t>其他条款</w:t>
      </w:r>
    </w:p>
    <w:p w14:paraId="2A9F7717">
      <w:pPr>
        <w:keepNext w:val="0"/>
        <w:keepLines w:val="0"/>
        <w:pageBreakBefore w:val="0"/>
        <w:widowControl w:val="0"/>
        <w:numPr>
          <w:ilvl w:val="0"/>
          <w:numId w:val="0"/>
        </w:numPr>
        <w:tabs>
          <w:tab w:val="left" w:pos="1276"/>
        </w:tabs>
        <w:kinsoku/>
        <w:wordWrap/>
        <w:overflowPunct/>
        <w:topLinePunct w:val="0"/>
        <w:autoSpaceDE/>
        <w:autoSpaceDN/>
        <w:bidi w:val="0"/>
        <w:adjustRightInd/>
        <w:snapToGrid/>
        <w:spacing w:line="400" w:lineRule="exact"/>
        <w:ind w:leftChars="20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董事会席位：公司董事会由【5】人构成，其中投资人董事有2人，本轮投资方委派董事【1】人。</w:t>
      </w:r>
    </w:p>
    <w:p w14:paraId="280201C8">
      <w:pPr>
        <w:keepNext w:val="0"/>
        <w:keepLines w:val="0"/>
        <w:pageBreakBefore w:val="0"/>
        <w:widowControl w:val="0"/>
        <w:numPr>
          <w:ilvl w:val="0"/>
          <w:numId w:val="0"/>
        </w:numPr>
        <w:tabs>
          <w:tab w:val="left" w:pos="1276"/>
        </w:tabs>
        <w:kinsoku/>
        <w:wordWrap/>
        <w:overflowPunct/>
        <w:topLinePunct w:val="0"/>
        <w:autoSpaceDE/>
        <w:autoSpaceDN/>
        <w:bidi w:val="0"/>
        <w:adjustRightInd/>
        <w:snapToGrid/>
        <w:spacing w:line="400" w:lineRule="exact"/>
        <w:ind w:leftChars="200"/>
        <w:textAlignment w:val="auto"/>
        <w:rPr>
          <w:rFonts w:hint="default" w:ascii="Times New Roman" w:hAnsi="Times New Roman" w:eastAsia="宋体" w:cs="Times New Roman"/>
        </w:rPr>
      </w:pPr>
      <w:r>
        <w:rPr>
          <w:rFonts w:hint="default" w:ascii="Times New Roman" w:hAnsi="Times New Roman" w:eastAsia="宋体" w:cs="Times New Roman"/>
        </w:rPr>
        <w:t>其他常规条款如优先购买权、优先认购权、共同出售权、反稀释等正常享有。</w:t>
      </w:r>
    </w:p>
    <w:p w14:paraId="681A05B9">
      <w:pPr>
        <w:pStyle w:val="17"/>
        <w:numPr>
          <w:ilvl w:val="0"/>
          <w:numId w:val="1"/>
        </w:numPr>
        <w:tabs>
          <w:tab w:val="left" w:pos="0"/>
          <w:tab w:val="clear" w:pos="1146"/>
        </w:tabs>
        <w:spacing w:line="480" w:lineRule="exact"/>
        <w:ind w:left="0" w:firstLine="0" w:firstLineChars="0"/>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公司业务计划</w:t>
      </w:r>
    </w:p>
    <w:p w14:paraId="13A8FBAE">
      <w:pPr>
        <w:pStyle w:val="17"/>
        <w:numPr>
          <w:ilvl w:val="0"/>
          <w:numId w:val="9"/>
        </w:numPr>
        <w:spacing w:line="480" w:lineRule="exact"/>
        <w:ind w:left="1140" w:leftChars="0" w:firstLineChars="0"/>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公司定位</w:t>
      </w:r>
    </w:p>
    <w:p w14:paraId="0F1E6CAC">
      <w:pPr>
        <w:spacing w:line="480" w:lineRule="exact"/>
        <w:ind w:firstLine="420" w:firstLineChars="200"/>
        <w:rPr>
          <w:rFonts w:hint="default" w:ascii="Times New Roman" w:hAnsi="Times New Roman" w:eastAsia="宋体" w:cs="Times New Roman"/>
        </w:rPr>
      </w:pPr>
      <w:r>
        <w:rPr>
          <w:rFonts w:hint="default" w:ascii="Times New Roman" w:hAnsi="Times New Roman" w:eastAsia="宋体" w:cs="Times New Roman"/>
          <w:lang w:val="en-US" w:eastAsia="zh-CN"/>
        </w:rPr>
        <w:t>公司定位于具身智能机器人后市场</w:t>
      </w:r>
      <w:r>
        <w:rPr>
          <w:rFonts w:hint="eastAsia" w:ascii="Times New Roman" w:hAnsi="Times New Roman" w:eastAsia="宋体" w:cs="Times New Roman"/>
          <w:lang w:val="en-US" w:eastAsia="zh-CN"/>
        </w:rPr>
        <w:t>综合业务平台</w:t>
      </w:r>
      <w:r>
        <w:rPr>
          <w:rFonts w:hint="default" w:ascii="Times New Roman" w:hAnsi="Times New Roman" w:eastAsia="宋体" w:cs="Times New Roman"/>
          <w:lang w:val="en-US" w:eastAsia="zh-CN"/>
        </w:rPr>
        <w:t>，围绕机器人交付后的全生命周期需求，为客户提供</w:t>
      </w:r>
      <w:r>
        <w:rPr>
          <w:rFonts w:hint="eastAsia" w:ascii="Times New Roman" w:hAnsi="Times New Roman" w:eastAsia="宋体" w:cs="Times New Roman"/>
          <w:lang w:val="en-US" w:eastAsia="zh-CN"/>
        </w:rPr>
        <w:t>具身智能</w:t>
      </w:r>
      <w:r>
        <w:rPr>
          <w:rFonts w:hint="default" w:ascii="Times New Roman" w:hAnsi="Times New Roman" w:eastAsia="宋体" w:cs="Times New Roman"/>
          <w:lang w:val="en-US" w:eastAsia="zh-CN"/>
        </w:rPr>
        <w:t>二次开发、租赁运营、维修保养及专业人才培训等服务，致力于成为国内具身智能后市场</w:t>
      </w:r>
      <w:r>
        <w:rPr>
          <w:rFonts w:hint="eastAsia" w:cs="Times New Roman"/>
          <w:lang w:val="en-US" w:eastAsia="zh-CN"/>
        </w:rPr>
        <w:t>业务</w:t>
      </w:r>
      <w:r>
        <w:rPr>
          <w:rFonts w:hint="default" w:ascii="Times New Roman" w:hAnsi="Times New Roman" w:eastAsia="宋体" w:cs="Times New Roman"/>
          <w:lang w:val="en-US" w:eastAsia="zh-CN"/>
        </w:rPr>
        <w:t>龙头。</w:t>
      </w:r>
    </w:p>
    <w:p w14:paraId="750FC4EB">
      <w:pPr>
        <w:pStyle w:val="17"/>
        <w:numPr>
          <w:ilvl w:val="0"/>
          <w:numId w:val="9"/>
        </w:numPr>
        <w:spacing w:line="480" w:lineRule="exact"/>
        <w:ind w:left="1140" w:leftChars="0" w:firstLineChars="0"/>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公司发展规划</w:t>
      </w:r>
    </w:p>
    <w:p w14:paraId="0DCF33EF">
      <w:pPr>
        <w:spacing w:line="480" w:lineRule="exact"/>
        <w:ind w:firstLine="42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未来几年，公司将实施产品标准化、渠道规模化和场景</w:t>
      </w:r>
      <w:r>
        <w:rPr>
          <w:rFonts w:hint="eastAsia" w:ascii="Times New Roman" w:hAnsi="Times New Roman" w:eastAsia="宋体" w:cs="Times New Roman"/>
          <w:lang w:val="en-US" w:eastAsia="zh-CN"/>
        </w:rPr>
        <w:t>及技术升级</w:t>
      </w:r>
      <w:r>
        <w:rPr>
          <w:rFonts w:hint="default" w:ascii="Times New Roman" w:hAnsi="Times New Roman" w:eastAsia="宋体" w:cs="Times New Roman"/>
          <w:lang w:val="en-US" w:eastAsia="zh-CN"/>
        </w:rPr>
        <w:t>的发展战略。在产品与技术端，公司将持续迭代“天枢”“天璇”及四足机器人融合开放平台，推进多品牌本体适配和场景模型沉淀，并联合产业股东及合作伙伴筹建具身大脑研究院，强化模型算法和真实场景数据能力。在市场端，公司将加快城市合伙人和区域子公司渠道建设，巩固商业文娱、机器人体验中心及高校教育等优势场景，同时推动中广核等工业场景POC验证，逐步实现后市场</w:t>
      </w:r>
      <w:r>
        <w:rPr>
          <w:rFonts w:hint="eastAsia" w:ascii="Times New Roman" w:hAnsi="Times New Roman" w:eastAsia="宋体" w:cs="Times New Roman"/>
          <w:lang w:val="en-US" w:eastAsia="zh-CN"/>
        </w:rPr>
        <w:t>业务平台化，成为国内具身智能后市场服务龙头公司</w:t>
      </w:r>
      <w:r>
        <w:rPr>
          <w:rFonts w:hint="default" w:ascii="Times New Roman" w:hAnsi="Times New Roman" w:eastAsia="宋体" w:cs="Times New Roman"/>
          <w:lang w:eastAsia="zh-CN"/>
        </w:rPr>
        <w:t>。</w:t>
      </w:r>
    </w:p>
    <w:p w14:paraId="32438F34">
      <w:pPr>
        <w:pStyle w:val="17"/>
        <w:numPr>
          <w:ilvl w:val="0"/>
          <w:numId w:val="9"/>
        </w:numPr>
        <w:spacing w:after="312" w:afterLines="100" w:line="480" w:lineRule="exact"/>
        <w:ind w:left="1140" w:leftChars="0" w:firstLineChars="0"/>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业绩预测</w:t>
      </w:r>
    </w:p>
    <w:tbl>
      <w:tblPr>
        <w:tblStyle w:val="11"/>
        <w:tblW w:w="7615" w:type="dxa"/>
        <w:jc w:val="center"/>
        <w:tblBorders>
          <w:top w:val="thinThickMediumGap" w:color="auto" w:sz="24" w:space="0"/>
          <w:left w:val="none" w:color="auto" w:sz="0" w:space="0"/>
          <w:bottom w:val="thickThinMediumGap" w:color="auto" w:sz="24" w:space="0"/>
          <w:right w:val="none" w:color="auto" w:sz="0" w:space="0"/>
          <w:insideH w:val="dashed" w:color="auto" w:sz="4" w:space="0"/>
          <w:insideV w:val="dashed" w:color="auto" w:sz="4" w:space="0"/>
        </w:tblBorders>
        <w:tblLayout w:type="autofit"/>
        <w:tblCellMar>
          <w:top w:w="0" w:type="dxa"/>
          <w:left w:w="108" w:type="dxa"/>
          <w:bottom w:w="0" w:type="dxa"/>
          <w:right w:w="108" w:type="dxa"/>
        </w:tblCellMar>
      </w:tblPr>
      <w:tblGrid>
        <w:gridCol w:w="1412"/>
        <w:gridCol w:w="2042"/>
        <w:gridCol w:w="2106"/>
        <w:gridCol w:w="2055"/>
      </w:tblGrid>
      <w:tr w14:paraId="6019F8C2">
        <w:tblPrEx>
          <w:tblBorders>
            <w:top w:val="thinThickMediumGap" w:color="auto" w:sz="24" w:space="0"/>
            <w:left w:val="none" w:color="auto" w:sz="0" w:space="0"/>
            <w:bottom w:val="thickThinMediumGap" w:color="auto" w:sz="24" w:space="0"/>
            <w:right w:val="none" w:color="auto" w:sz="0" w:space="0"/>
            <w:insideH w:val="dashed" w:color="auto" w:sz="4" w:space="0"/>
            <w:insideV w:val="dashed" w:color="auto" w:sz="4" w:space="0"/>
          </w:tblBorders>
          <w:tblCellMar>
            <w:top w:w="0" w:type="dxa"/>
            <w:left w:w="108" w:type="dxa"/>
            <w:bottom w:w="0" w:type="dxa"/>
            <w:right w:w="108" w:type="dxa"/>
          </w:tblCellMar>
        </w:tblPrEx>
        <w:trPr>
          <w:trHeight w:val="395" w:hRule="atLeast"/>
          <w:jc w:val="center"/>
        </w:trPr>
        <w:tc>
          <w:tcPr>
            <w:tcW w:w="1412" w:type="dxa"/>
            <w:tcBorders>
              <w:top w:val="single" w:color="000000" w:sz="12" w:space="0"/>
              <w:bottom w:val="single" w:color="000000" w:sz="4" w:space="0"/>
              <w:right w:val="nil"/>
              <w:tl2br w:val="nil"/>
            </w:tcBorders>
            <w:shd w:val="clear" w:color="auto" w:fill="FFFFFF"/>
            <w:noWrap/>
            <w:vAlign w:val="center"/>
          </w:tcPr>
          <w:p w14:paraId="603BF71B">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b/>
                <w:bCs w:val="0"/>
                <w:color w:val="000000"/>
                <w:sz w:val="21"/>
                <w:szCs w:val="21"/>
              </w:rPr>
            </w:pPr>
            <w:r>
              <w:rPr>
                <w:rFonts w:hint="default" w:ascii="Times New Roman" w:hAnsi="Times New Roman" w:eastAsia="宋体" w:cs="Times New Roman"/>
                <w:b/>
                <w:bCs w:val="0"/>
                <w:color w:val="000000"/>
                <w:sz w:val="21"/>
                <w:szCs w:val="21"/>
                <w:lang w:val="en-US" w:eastAsia="zh-CN"/>
              </w:rPr>
              <w:t>单位：</w:t>
            </w:r>
            <w:r>
              <w:rPr>
                <w:rFonts w:hint="default" w:ascii="Times New Roman" w:hAnsi="Times New Roman" w:eastAsia="宋体" w:cs="Times New Roman"/>
                <w:b/>
                <w:bCs w:val="0"/>
                <w:color w:val="000000"/>
                <w:sz w:val="21"/>
                <w:szCs w:val="21"/>
              </w:rPr>
              <w:t>万元</w:t>
            </w:r>
          </w:p>
        </w:tc>
        <w:tc>
          <w:tcPr>
            <w:tcW w:w="2042" w:type="dxa"/>
            <w:tcBorders>
              <w:top w:val="single" w:color="000000" w:sz="12" w:space="0"/>
              <w:left w:val="nil"/>
              <w:bottom w:val="single" w:color="000000" w:sz="4" w:space="0"/>
              <w:right w:val="nil"/>
            </w:tcBorders>
            <w:shd w:val="clear" w:color="auto" w:fill="FFFFFF"/>
            <w:noWrap/>
            <w:vAlign w:val="center"/>
          </w:tcPr>
          <w:p w14:paraId="7783B03B">
            <w:pPr>
              <w:keepNext w:val="0"/>
              <w:keepLines w:val="0"/>
              <w:suppressLineNumbers w:val="0"/>
              <w:spacing w:before="0" w:beforeAutospacing="0" w:after="0" w:afterAutospacing="0" w:line="240" w:lineRule="exact"/>
              <w:ind w:left="0" w:leftChars="0" w:right="0" w:rightChars="0"/>
              <w:jc w:val="center"/>
              <w:rPr>
                <w:rFonts w:hint="default" w:ascii="Times New Roman" w:hAnsi="Times New Roman" w:eastAsia="宋体" w:cs="Times New Roman"/>
                <w:b/>
                <w:bCs w:val="0"/>
                <w:color w:val="000000"/>
                <w:sz w:val="21"/>
                <w:szCs w:val="21"/>
                <w:lang w:val="en-US" w:eastAsia="zh-CN"/>
              </w:rPr>
            </w:pPr>
            <w:r>
              <w:rPr>
                <w:rFonts w:hint="default" w:ascii="Times New Roman" w:hAnsi="Times New Roman" w:eastAsia="宋体" w:cs="Times New Roman"/>
                <w:b/>
                <w:bCs w:val="0"/>
                <w:color w:val="000000"/>
                <w:sz w:val="21"/>
                <w:szCs w:val="21"/>
                <w:lang w:val="en-US" w:eastAsia="zh-CN"/>
              </w:rPr>
              <w:t>2026</w:t>
            </w:r>
          </w:p>
        </w:tc>
        <w:tc>
          <w:tcPr>
            <w:tcW w:w="2106" w:type="dxa"/>
            <w:tcBorders>
              <w:top w:val="single" w:color="000000" w:sz="12" w:space="0"/>
              <w:left w:val="nil"/>
              <w:bottom w:val="single" w:color="000000" w:sz="4" w:space="0"/>
              <w:right w:val="nil"/>
            </w:tcBorders>
            <w:shd w:val="clear" w:color="auto" w:fill="FFFFFF"/>
            <w:vAlign w:val="center"/>
          </w:tcPr>
          <w:p w14:paraId="120CB714">
            <w:pPr>
              <w:keepNext w:val="0"/>
              <w:keepLines w:val="0"/>
              <w:suppressLineNumbers w:val="0"/>
              <w:spacing w:before="0" w:beforeAutospacing="0" w:after="0" w:afterAutospacing="0" w:line="240" w:lineRule="exact"/>
              <w:ind w:left="0" w:leftChars="0" w:right="0" w:rightChars="0"/>
              <w:jc w:val="center"/>
              <w:rPr>
                <w:rFonts w:hint="default" w:ascii="Times New Roman" w:hAnsi="Times New Roman" w:eastAsia="宋体" w:cs="Times New Roman"/>
                <w:b/>
                <w:bCs w:val="0"/>
                <w:color w:val="000000"/>
                <w:sz w:val="21"/>
                <w:szCs w:val="21"/>
                <w:lang w:val="en-US" w:eastAsia="zh-CN"/>
              </w:rPr>
            </w:pPr>
            <w:r>
              <w:rPr>
                <w:rFonts w:hint="default" w:ascii="Times New Roman" w:hAnsi="Times New Roman" w:eastAsia="宋体" w:cs="Times New Roman"/>
                <w:b/>
                <w:bCs w:val="0"/>
                <w:color w:val="000000"/>
                <w:sz w:val="21"/>
                <w:szCs w:val="21"/>
                <w:lang w:val="en-US" w:eastAsia="zh-CN"/>
              </w:rPr>
              <w:t>2027</w:t>
            </w:r>
          </w:p>
        </w:tc>
        <w:tc>
          <w:tcPr>
            <w:tcW w:w="2055" w:type="dxa"/>
            <w:tcBorders>
              <w:top w:val="single" w:color="000000" w:sz="12" w:space="0"/>
              <w:left w:val="nil"/>
              <w:bottom w:val="single" w:color="000000" w:sz="4" w:space="0"/>
            </w:tcBorders>
            <w:shd w:val="clear" w:color="auto" w:fill="FFFFFF"/>
            <w:vAlign w:val="center"/>
          </w:tcPr>
          <w:p w14:paraId="0CD8469F">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b/>
                <w:bCs w:val="0"/>
                <w:color w:val="000000"/>
                <w:sz w:val="21"/>
                <w:szCs w:val="21"/>
                <w:lang w:val="en-US" w:eastAsia="zh-CN"/>
              </w:rPr>
            </w:pPr>
            <w:r>
              <w:rPr>
                <w:rFonts w:hint="default" w:ascii="Times New Roman" w:hAnsi="Times New Roman" w:eastAsia="宋体" w:cs="Times New Roman"/>
                <w:b/>
                <w:bCs w:val="0"/>
                <w:color w:val="000000"/>
                <w:sz w:val="21"/>
                <w:szCs w:val="21"/>
                <w:lang w:val="en-US" w:eastAsia="zh-CN"/>
              </w:rPr>
              <w:t>2028</w:t>
            </w:r>
          </w:p>
        </w:tc>
      </w:tr>
      <w:tr w14:paraId="54B71F25">
        <w:tblPrEx>
          <w:tblBorders>
            <w:top w:val="thinThickMediumGap" w:color="auto" w:sz="24" w:space="0"/>
            <w:left w:val="none" w:color="auto" w:sz="0" w:space="0"/>
            <w:bottom w:val="thickThinMediumGap" w:color="auto" w:sz="24" w:space="0"/>
            <w:right w:val="none" w:color="auto" w:sz="0" w:space="0"/>
            <w:insideH w:val="dashed" w:color="auto" w:sz="4" w:space="0"/>
            <w:insideV w:val="dashed" w:color="auto" w:sz="4" w:space="0"/>
          </w:tblBorders>
          <w:tblCellMar>
            <w:top w:w="0" w:type="dxa"/>
            <w:left w:w="108" w:type="dxa"/>
            <w:bottom w:w="0" w:type="dxa"/>
            <w:right w:w="108" w:type="dxa"/>
          </w:tblCellMar>
        </w:tblPrEx>
        <w:trPr>
          <w:trHeight w:val="349" w:hRule="atLeast"/>
          <w:jc w:val="center"/>
        </w:trPr>
        <w:tc>
          <w:tcPr>
            <w:tcW w:w="1412" w:type="dxa"/>
            <w:tcBorders>
              <w:top w:val="single" w:color="000000" w:sz="4" w:space="0"/>
              <w:bottom w:val="nil"/>
              <w:right w:val="nil"/>
            </w:tcBorders>
            <w:shd w:val="clear" w:color="auto" w:fill="FFFFFF"/>
            <w:noWrap/>
            <w:vAlign w:val="center"/>
          </w:tcPr>
          <w:p w14:paraId="431DD27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b/>
                <w:bCs/>
                <w:color w:val="000000"/>
                <w:sz w:val="21"/>
                <w:szCs w:val="21"/>
              </w:rPr>
              <w:t>收入</w:t>
            </w:r>
          </w:p>
        </w:tc>
        <w:tc>
          <w:tcPr>
            <w:tcW w:w="2042" w:type="dxa"/>
            <w:tcBorders>
              <w:top w:val="single" w:color="000000" w:sz="4" w:space="0"/>
              <w:left w:val="nil"/>
              <w:bottom w:val="nil"/>
              <w:right w:val="nil"/>
            </w:tcBorders>
            <w:shd w:val="clear" w:color="auto" w:fill="FFFFFF"/>
            <w:noWrap/>
            <w:vAlign w:val="center"/>
          </w:tcPr>
          <w:p w14:paraId="6A1FDD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right"/>
              <w:textAlignment w:val="auto"/>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7000</w:t>
            </w:r>
          </w:p>
        </w:tc>
        <w:tc>
          <w:tcPr>
            <w:tcW w:w="2106" w:type="dxa"/>
            <w:tcBorders>
              <w:top w:val="single" w:color="000000" w:sz="4" w:space="0"/>
              <w:left w:val="nil"/>
              <w:bottom w:val="nil"/>
              <w:right w:val="nil"/>
            </w:tcBorders>
            <w:shd w:val="clear" w:color="auto" w:fill="FFFFFF"/>
            <w:vAlign w:val="center"/>
          </w:tcPr>
          <w:p w14:paraId="638CA8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right"/>
              <w:textAlignment w:val="auto"/>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12000</w:t>
            </w:r>
          </w:p>
        </w:tc>
        <w:tc>
          <w:tcPr>
            <w:tcW w:w="2055" w:type="dxa"/>
            <w:tcBorders>
              <w:top w:val="single" w:color="000000" w:sz="4" w:space="0"/>
              <w:left w:val="nil"/>
              <w:bottom w:val="nil"/>
            </w:tcBorders>
            <w:shd w:val="clear" w:color="auto" w:fill="FFFFFF"/>
            <w:vAlign w:val="center"/>
          </w:tcPr>
          <w:p w14:paraId="2620D5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right"/>
              <w:textAlignment w:val="auto"/>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24000</w:t>
            </w:r>
          </w:p>
        </w:tc>
      </w:tr>
      <w:tr w14:paraId="4778F156">
        <w:tblPrEx>
          <w:tblBorders>
            <w:top w:val="thinThickMediumGap" w:color="auto" w:sz="24" w:space="0"/>
            <w:left w:val="none" w:color="auto" w:sz="0" w:space="0"/>
            <w:bottom w:val="thickThinMediumGap" w:color="auto" w:sz="24" w:space="0"/>
            <w:right w:val="none" w:color="auto" w:sz="0" w:space="0"/>
            <w:insideH w:val="dashed" w:color="auto" w:sz="4" w:space="0"/>
            <w:insideV w:val="dashed" w:color="auto" w:sz="4" w:space="0"/>
          </w:tblBorders>
          <w:tblCellMar>
            <w:top w:w="0" w:type="dxa"/>
            <w:left w:w="108" w:type="dxa"/>
            <w:bottom w:w="0" w:type="dxa"/>
            <w:right w:w="108" w:type="dxa"/>
          </w:tblCellMar>
        </w:tblPrEx>
        <w:trPr>
          <w:trHeight w:val="436" w:hRule="atLeast"/>
          <w:jc w:val="center"/>
        </w:trPr>
        <w:tc>
          <w:tcPr>
            <w:tcW w:w="1412" w:type="dxa"/>
            <w:tcBorders>
              <w:top w:val="nil"/>
              <w:bottom w:val="single" w:color="000000" w:sz="12" w:space="0"/>
              <w:right w:val="nil"/>
            </w:tcBorders>
            <w:shd w:val="clear" w:color="auto" w:fill="FFFFFF"/>
            <w:noWrap/>
            <w:vAlign w:val="center"/>
          </w:tcPr>
          <w:p w14:paraId="1032AA15">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b/>
                <w:bCs/>
                <w:color w:val="000000"/>
                <w:sz w:val="21"/>
                <w:szCs w:val="21"/>
              </w:rPr>
              <w:t>净利润</w:t>
            </w:r>
          </w:p>
        </w:tc>
        <w:tc>
          <w:tcPr>
            <w:tcW w:w="2042" w:type="dxa"/>
            <w:tcBorders>
              <w:top w:val="nil"/>
              <w:left w:val="nil"/>
              <w:bottom w:val="single" w:color="000000" w:sz="12" w:space="0"/>
              <w:right w:val="nil"/>
            </w:tcBorders>
            <w:shd w:val="clear" w:color="auto" w:fill="FFFFFF"/>
            <w:noWrap/>
            <w:vAlign w:val="center"/>
          </w:tcPr>
          <w:p w14:paraId="02B3A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right"/>
              <w:textAlignment w:val="auto"/>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300</w:t>
            </w:r>
          </w:p>
        </w:tc>
        <w:tc>
          <w:tcPr>
            <w:tcW w:w="2106" w:type="dxa"/>
            <w:tcBorders>
              <w:top w:val="nil"/>
              <w:left w:val="nil"/>
              <w:bottom w:val="single" w:color="000000" w:sz="12" w:space="0"/>
              <w:right w:val="nil"/>
            </w:tcBorders>
            <w:shd w:val="clear" w:color="auto" w:fill="FFFFFF"/>
            <w:vAlign w:val="center"/>
          </w:tcPr>
          <w:p w14:paraId="4029C2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right"/>
              <w:textAlignment w:val="auto"/>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1000</w:t>
            </w:r>
          </w:p>
        </w:tc>
        <w:tc>
          <w:tcPr>
            <w:tcW w:w="2055" w:type="dxa"/>
            <w:tcBorders>
              <w:top w:val="nil"/>
              <w:left w:val="nil"/>
              <w:bottom w:val="single" w:color="000000" w:sz="12" w:space="0"/>
            </w:tcBorders>
            <w:shd w:val="clear" w:color="auto" w:fill="FFFFFF"/>
            <w:vAlign w:val="center"/>
          </w:tcPr>
          <w:p w14:paraId="1D2249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right"/>
              <w:textAlignment w:val="auto"/>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3000</w:t>
            </w:r>
          </w:p>
        </w:tc>
      </w:tr>
    </w:tbl>
    <w:p w14:paraId="511958F9">
      <w:pPr>
        <w:spacing w:line="480" w:lineRule="exact"/>
        <w:ind w:firstLine="420" w:firstLineChars="200"/>
        <w:rPr>
          <w:rFonts w:hint="default" w:ascii="Times New Roman" w:hAnsi="Times New Roman" w:eastAsia="宋体" w:cs="Times New Roman"/>
        </w:rPr>
      </w:pPr>
      <w:r>
        <w:rPr>
          <w:rFonts w:hint="default" w:ascii="Times New Roman" w:hAnsi="Times New Roman" w:eastAsia="宋体" w:cs="Times New Roman"/>
        </w:rPr>
        <w:t>综合考虑</w:t>
      </w:r>
      <w:r>
        <w:rPr>
          <w:rFonts w:hint="eastAsia" w:ascii="Times New Roman" w:hAnsi="Times New Roman" w:eastAsia="宋体" w:cs="Times New Roman"/>
          <w:lang w:val="en-US" w:eastAsia="zh-CN"/>
        </w:rPr>
        <w:t>飞阔科技</w:t>
      </w:r>
      <w:r>
        <w:rPr>
          <w:rFonts w:hint="default" w:ascii="Times New Roman" w:hAnsi="Times New Roman" w:eastAsia="宋体" w:cs="Times New Roman"/>
        </w:rPr>
        <w:t>所处行业的发展前景、公司团队实力、产品业务、经营情况、估值等因素，</w:t>
      </w:r>
      <w:r>
        <w:rPr>
          <w:rFonts w:hint="default" w:ascii="Times New Roman" w:hAnsi="Times New Roman" w:eastAsia="宋体" w:cs="Times New Roman"/>
          <w:lang w:val="en-US" w:eastAsia="zh-CN"/>
        </w:rPr>
        <w:t>该</w:t>
      </w:r>
      <w:r>
        <w:rPr>
          <w:rFonts w:hint="default" w:ascii="Times New Roman" w:hAnsi="Times New Roman" w:eastAsia="宋体" w:cs="Times New Roman"/>
        </w:rPr>
        <w:t>项目具备一定的投资价值。</w:t>
      </w:r>
    </w:p>
    <w:sectPr>
      <w:headerReference r:id="rId3" w:type="default"/>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G Times">
    <w:altName w:val="Times New Roman"/>
    <w:panose1 w:val="00000000000000000000"/>
    <w:charset w:val="00"/>
    <w:family w:val="roman"/>
    <w:pitch w:val="default"/>
    <w:sig w:usb0="00000000" w:usb1="00000000" w:usb2="00000000" w:usb3="00000000" w:csb0="00000093" w:csb1="00000000"/>
  </w:font>
  <w:font w:name="华文楷体">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95901">
    <w:pPr>
      <w:pStyle w:val="8"/>
      <w:jc w:val="center"/>
      <w:rPr>
        <w:sz w:val="21"/>
        <w:szCs w:val="21"/>
      </w:rPr>
    </w:pPr>
    <w:r>
      <w:rPr>
        <w:rStyle w:val="14"/>
        <w:sz w:val="21"/>
        <w:szCs w:val="21"/>
      </w:rPr>
      <w:fldChar w:fldCharType="begin"/>
    </w:r>
    <w:r>
      <w:rPr>
        <w:rStyle w:val="14"/>
        <w:sz w:val="21"/>
        <w:szCs w:val="21"/>
      </w:rPr>
      <w:instrText xml:space="preserve"> PAGE </w:instrText>
    </w:r>
    <w:r>
      <w:rPr>
        <w:rStyle w:val="14"/>
        <w:sz w:val="21"/>
        <w:szCs w:val="21"/>
      </w:rPr>
      <w:fldChar w:fldCharType="separate"/>
    </w:r>
    <w:r>
      <w:rPr>
        <w:rStyle w:val="14"/>
        <w:sz w:val="21"/>
        <w:szCs w:val="21"/>
      </w:rPr>
      <w:t>3</w:t>
    </w:r>
    <w:r>
      <w:rPr>
        <w:rStyle w:val="14"/>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958FF">
    <w:pPr>
      <w:pStyle w:val="9"/>
    </w:pPr>
    <w:r>
      <w:rPr>
        <w:rFonts w:hint="eastAsia"/>
      </w:rPr>
      <w:t>杭州众创叁期创业投资合伙企业（有限合伙）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EEDD98"/>
    <w:multiLevelType w:val="multilevel"/>
    <w:tmpl w:val="B9EEDD98"/>
    <w:lvl w:ilvl="0" w:tentative="0">
      <w:start w:val="2"/>
      <w:numFmt w:val="decimal"/>
      <w:lvlText w:val="%1."/>
      <w:lvlJc w:val="left"/>
      <w:pPr>
        <w:tabs>
          <w:tab w:val="left" w:pos="420"/>
        </w:tabs>
        <w:ind w:left="425" w:hanging="425"/>
      </w:pPr>
      <w:rPr>
        <w:rFonts w:hint="default"/>
        <w:u w:val="none" w:color="auto"/>
      </w:rPr>
    </w:lvl>
    <w:lvl w:ilvl="1" w:tentative="0">
      <w:start w:val="1"/>
      <w:numFmt w:val="decimal"/>
      <w:lvlText w:val=""/>
      <w:lvlJc w:val="left"/>
      <w:pPr>
        <w:ind w:left="0"/>
      </w:pPr>
      <w:rPr>
        <w:rFonts w:hint="default"/>
        <w:u w:val="none" w:color="auto"/>
      </w:rPr>
    </w:lvl>
    <w:lvl w:ilvl="2" w:tentative="0">
      <w:start w:val="1"/>
      <w:numFmt w:val="decimal"/>
      <w:lvlText w:val=""/>
      <w:lvlJc w:val="left"/>
      <w:pPr>
        <w:ind w:left="0"/>
      </w:pPr>
      <w:rPr>
        <w:rFonts w:hint="default"/>
        <w:u w:val="none" w:color="auto"/>
      </w:rPr>
    </w:lvl>
    <w:lvl w:ilvl="3" w:tentative="0">
      <w:start w:val="1"/>
      <w:numFmt w:val="decimal"/>
      <w:lvlText w:val=""/>
      <w:lvlJc w:val="left"/>
      <w:pPr>
        <w:ind w:left="0"/>
      </w:pPr>
      <w:rPr>
        <w:rFonts w:hint="default"/>
        <w:u w:val="none" w:color="auto"/>
      </w:rPr>
    </w:lvl>
    <w:lvl w:ilvl="4" w:tentative="0">
      <w:start w:val="1"/>
      <w:numFmt w:val="decimal"/>
      <w:lvlText w:val=""/>
      <w:lvlJc w:val="left"/>
      <w:pPr>
        <w:ind w:left="0"/>
      </w:pPr>
      <w:rPr>
        <w:rFonts w:hint="default"/>
        <w:u w:val="none" w:color="auto"/>
      </w:rPr>
    </w:lvl>
    <w:lvl w:ilvl="5" w:tentative="0">
      <w:start w:val="1"/>
      <w:numFmt w:val="decimal"/>
      <w:lvlText w:val=""/>
      <w:lvlJc w:val="left"/>
      <w:pPr>
        <w:ind w:left="0"/>
      </w:pPr>
      <w:rPr>
        <w:rFonts w:hint="default"/>
        <w:u w:val="none" w:color="auto"/>
      </w:rPr>
    </w:lvl>
    <w:lvl w:ilvl="6" w:tentative="0">
      <w:start w:val="1"/>
      <w:numFmt w:val="decimal"/>
      <w:lvlText w:val=""/>
      <w:lvlJc w:val="left"/>
      <w:pPr>
        <w:ind w:left="0"/>
      </w:pPr>
      <w:rPr>
        <w:rFonts w:hint="default"/>
        <w:u w:val="none" w:color="auto"/>
      </w:rPr>
    </w:lvl>
    <w:lvl w:ilvl="7" w:tentative="0">
      <w:start w:val="1"/>
      <w:numFmt w:val="decimal"/>
      <w:lvlText w:val=""/>
      <w:lvlJc w:val="left"/>
      <w:pPr>
        <w:ind w:left="0"/>
      </w:pPr>
      <w:rPr>
        <w:rFonts w:hint="default"/>
        <w:u w:val="none" w:color="auto"/>
      </w:rPr>
    </w:lvl>
    <w:lvl w:ilvl="8" w:tentative="0">
      <w:start w:val="1"/>
      <w:numFmt w:val="decimal"/>
      <w:lvlText w:val=""/>
      <w:lvlJc w:val="left"/>
      <w:pPr>
        <w:ind w:left="0"/>
      </w:pPr>
      <w:rPr>
        <w:rFonts w:hint="default"/>
        <w:u w:val="none" w:color="auto"/>
      </w:rPr>
    </w:lvl>
  </w:abstractNum>
  <w:abstractNum w:abstractNumId="1">
    <w:nsid w:val="BC58D413"/>
    <w:multiLevelType w:val="singleLevel"/>
    <w:tmpl w:val="BC58D413"/>
    <w:lvl w:ilvl="0" w:tentative="0">
      <w:start w:val="1"/>
      <w:numFmt w:val="decimal"/>
      <w:suff w:val="nothing"/>
      <w:lvlText w:val="%1．"/>
      <w:lvlJc w:val="left"/>
      <w:pPr>
        <w:ind w:left="0" w:firstLine="400"/>
      </w:pPr>
      <w:rPr>
        <w:rFonts w:hint="default"/>
      </w:rPr>
    </w:lvl>
  </w:abstractNum>
  <w:abstractNum w:abstractNumId="2">
    <w:nsid w:val="0C1C3405"/>
    <w:multiLevelType w:val="multilevel"/>
    <w:tmpl w:val="0C1C3405"/>
    <w:lvl w:ilvl="0" w:tentative="0">
      <w:start w:val="1"/>
      <w:numFmt w:val="decimal"/>
      <w:lvlText w:val="%1)"/>
      <w:lvlJc w:val="left"/>
      <w:pPr>
        <w:ind w:left="920" w:hanging="440"/>
      </w:pPr>
      <w:rPr>
        <w:rFonts w:hint="default"/>
        <w:u w:val="none" w:color="auto"/>
      </w:rPr>
    </w:lvl>
    <w:lvl w:ilvl="1" w:tentative="0">
      <w:start w:val="1"/>
      <w:numFmt w:val="lowerLetter"/>
      <w:lvlText w:val="%2)"/>
      <w:lvlJc w:val="left"/>
      <w:pPr>
        <w:ind w:left="935" w:hanging="440"/>
      </w:pPr>
      <w:rPr>
        <w:rFonts w:hint="default"/>
        <w:u w:val="none" w:color="auto"/>
      </w:rPr>
    </w:lvl>
    <w:lvl w:ilvl="2" w:tentative="0">
      <w:start w:val="1"/>
      <w:numFmt w:val="lowerRoman"/>
      <w:lvlText w:val="%3."/>
      <w:lvlJc w:val="right"/>
      <w:pPr>
        <w:ind w:left="1375" w:hanging="440"/>
      </w:pPr>
      <w:rPr>
        <w:rFonts w:hint="default"/>
        <w:u w:val="none" w:color="auto"/>
      </w:rPr>
    </w:lvl>
    <w:lvl w:ilvl="3" w:tentative="0">
      <w:start w:val="1"/>
      <w:numFmt w:val="decimal"/>
      <w:lvlText w:val="%4."/>
      <w:lvlJc w:val="left"/>
      <w:pPr>
        <w:ind w:left="1815" w:hanging="440"/>
      </w:pPr>
      <w:rPr>
        <w:rFonts w:hint="default"/>
        <w:u w:val="none" w:color="auto"/>
      </w:rPr>
    </w:lvl>
    <w:lvl w:ilvl="4" w:tentative="0">
      <w:start w:val="1"/>
      <w:numFmt w:val="lowerLetter"/>
      <w:lvlText w:val="%5)"/>
      <w:lvlJc w:val="left"/>
      <w:pPr>
        <w:ind w:left="2255" w:hanging="440"/>
      </w:pPr>
      <w:rPr>
        <w:rFonts w:hint="default"/>
        <w:u w:val="none" w:color="auto"/>
      </w:rPr>
    </w:lvl>
    <w:lvl w:ilvl="5" w:tentative="0">
      <w:start w:val="1"/>
      <w:numFmt w:val="lowerRoman"/>
      <w:lvlText w:val="%6."/>
      <w:lvlJc w:val="right"/>
      <w:pPr>
        <w:ind w:left="2695" w:hanging="440"/>
      </w:pPr>
      <w:rPr>
        <w:rFonts w:hint="default"/>
        <w:u w:val="none" w:color="auto"/>
      </w:rPr>
    </w:lvl>
    <w:lvl w:ilvl="6" w:tentative="0">
      <w:start w:val="1"/>
      <w:numFmt w:val="decimal"/>
      <w:lvlText w:val="%7."/>
      <w:lvlJc w:val="left"/>
      <w:pPr>
        <w:ind w:left="3135" w:hanging="440"/>
      </w:pPr>
      <w:rPr>
        <w:rFonts w:hint="default"/>
        <w:u w:val="none" w:color="auto"/>
      </w:rPr>
    </w:lvl>
    <w:lvl w:ilvl="7" w:tentative="0">
      <w:start w:val="1"/>
      <w:numFmt w:val="lowerLetter"/>
      <w:lvlText w:val="%8)"/>
      <w:lvlJc w:val="left"/>
      <w:pPr>
        <w:ind w:left="3575" w:hanging="440"/>
      </w:pPr>
      <w:rPr>
        <w:rFonts w:hint="default"/>
        <w:u w:val="none" w:color="auto"/>
      </w:rPr>
    </w:lvl>
    <w:lvl w:ilvl="8" w:tentative="0">
      <w:start w:val="1"/>
      <w:numFmt w:val="lowerRoman"/>
      <w:lvlText w:val="%9."/>
      <w:lvlJc w:val="right"/>
      <w:pPr>
        <w:ind w:left="4015" w:hanging="440"/>
      </w:pPr>
      <w:rPr>
        <w:rFonts w:hint="default"/>
        <w:u w:val="none" w:color="auto"/>
      </w:rPr>
    </w:lvl>
  </w:abstractNum>
  <w:abstractNum w:abstractNumId="3">
    <w:nsid w:val="11405649"/>
    <w:multiLevelType w:val="multilevel"/>
    <w:tmpl w:val="11405649"/>
    <w:lvl w:ilvl="0" w:tentative="0">
      <w:start w:val="1"/>
      <w:numFmt w:val="decimal"/>
      <w:lvlText w:val="%1)"/>
      <w:lvlJc w:val="left"/>
      <w:pPr>
        <w:ind w:left="920" w:hanging="440"/>
      </w:pPr>
      <w:rPr>
        <w:rFonts w:hint="default"/>
        <w:u w:val="none" w:color="auto"/>
      </w:rPr>
    </w:lvl>
    <w:lvl w:ilvl="1" w:tentative="0">
      <w:start w:val="1"/>
      <w:numFmt w:val="lowerLetter"/>
      <w:lvlText w:val="%2)"/>
      <w:lvlJc w:val="left"/>
      <w:pPr>
        <w:ind w:left="935" w:hanging="440"/>
      </w:pPr>
      <w:rPr>
        <w:rFonts w:hint="default"/>
        <w:u w:val="none" w:color="auto"/>
      </w:rPr>
    </w:lvl>
    <w:lvl w:ilvl="2" w:tentative="0">
      <w:start w:val="1"/>
      <w:numFmt w:val="lowerRoman"/>
      <w:lvlText w:val="%3."/>
      <w:lvlJc w:val="right"/>
      <w:pPr>
        <w:ind w:left="1375" w:hanging="440"/>
      </w:pPr>
      <w:rPr>
        <w:rFonts w:hint="default"/>
        <w:u w:val="none" w:color="auto"/>
      </w:rPr>
    </w:lvl>
    <w:lvl w:ilvl="3" w:tentative="0">
      <w:start w:val="1"/>
      <w:numFmt w:val="decimal"/>
      <w:lvlText w:val="%4."/>
      <w:lvlJc w:val="left"/>
      <w:pPr>
        <w:ind w:left="1815" w:hanging="440"/>
      </w:pPr>
      <w:rPr>
        <w:rFonts w:hint="default"/>
        <w:u w:val="none" w:color="auto"/>
      </w:rPr>
    </w:lvl>
    <w:lvl w:ilvl="4" w:tentative="0">
      <w:start w:val="1"/>
      <w:numFmt w:val="lowerLetter"/>
      <w:lvlText w:val="%5)"/>
      <w:lvlJc w:val="left"/>
      <w:pPr>
        <w:ind w:left="2255" w:hanging="440"/>
      </w:pPr>
      <w:rPr>
        <w:rFonts w:hint="default"/>
        <w:u w:val="none" w:color="auto"/>
      </w:rPr>
    </w:lvl>
    <w:lvl w:ilvl="5" w:tentative="0">
      <w:start w:val="1"/>
      <w:numFmt w:val="lowerRoman"/>
      <w:lvlText w:val="%6."/>
      <w:lvlJc w:val="right"/>
      <w:pPr>
        <w:ind w:left="2695" w:hanging="440"/>
      </w:pPr>
      <w:rPr>
        <w:rFonts w:hint="default"/>
        <w:u w:val="none" w:color="auto"/>
      </w:rPr>
    </w:lvl>
    <w:lvl w:ilvl="6" w:tentative="0">
      <w:start w:val="1"/>
      <w:numFmt w:val="decimal"/>
      <w:lvlText w:val="%7."/>
      <w:lvlJc w:val="left"/>
      <w:pPr>
        <w:ind w:left="3135" w:hanging="440"/>
      </w:pPr>
      <w:rPr>
        <w:rFonts w:hint="default"/>
        <w:u w:val="none" w:color="auto"/>
      </w:rPr>
    </w:lvl>
    <w:lvl w:ilvl="7" w:tentative="0">
      <w:start w:val="1"/>
      <w:numFmt w:val="lowerLetter"/>
      <w:lvlText w:val="%8)"/>
      <w:lvlJc w:val="left"/>
      <w:pPr>
        <w:ind w:left="3575" w:hanging="440"/>
      </w:pPr>
      <w:rPr>
        <w:rFonts w:hint="default"/>
        <w:u w:val="none" w:color="auto"/>
      </w:rPr>
    </w:lvl>
    <w:lvl w:ilvl="8" w:tentative="0">
      <w:start w:val="1"/>
      <w:numFmt w:val="lowerRoman"/>
      <w:lvlText w:val="%9."/>
      <w:lvlJc w:val="right"/>
      <w:pPr>
        <w:ind w:left="4015" w:hanging="440"/>
      </w:pPr>
      <w:rPr>
        <w:rFonts w:hint="default"/>
        <w:u w:val="none" w:color="auto"/>
      </w:rPr>
    </w:lvl>
  </w:abstractNum>
  <w:abstractNum w:abstractNumId="4">
    <w:nsid w:val="17EB57A2"/>
    <w:multiLevelType w:val="multilevel"/>
    <w:tmpl w:val="17EB57A2"/>
    <w:lvl w:ilvl="0" w:tentative="0">
      <w:start w:val="1"/>
      <w:numFmt w:val="japaneseCounting"/>
      <w:lvlText w:val="%1、"/>
      <w:lvlJc w:val="left"/>
      <w:pPr>
        <w:tabs>
          <w:tab w:val="left" w:pos="1146"/>
        </w:tabs>
        <w:ind w:left="1146" w:hanging="720"/>
      </w:pPr>
      <w:rPr>
        <w:rFonts w:hint="default" w:ascii="宋体" w:hAnsi="宋体" w:eastAsia="宋体" w:cs="Times New Roman"/>
      </w:rPr>
    </w:lvl>
    <w:lvl w:ilvl="1" w:tentative="0">
      <w:start w:val="1"/>
      <w:numFmt w:val="lowerLetter"/>
      <w:lvlText w:val="%2)"/>
      <w:lvlJc w:val="left"/>
      <w:pPr>
        <w:tabs>
          <w:tab w:val="left" w:pos="1200"/>
        </w:tabs>
        <w:ind w:left="1200" w:hanging="420"/>
      </w:pPr>
      <w:rPr>
        <w:rFonts w:cs="Times New Roman"/>
      </w:rPr>
    </w:lvl>
    <w:lvl w:ilvl="2" w:tentative="0">
      <w:start w:val="1"/>
      <w:numFmt w:val="lowerRoman"/>
      <w:lvlText w:val="%3."/>
      <w:lvlJc w:val="right"/>
      <w:pPr>
        <w:tabs>
          <w:tab w:val="left" w:pos="1620"/>
        </w:tabs>
        <w:ind w:left="1620" w:hanging="420"/>
      </w:pPr>
      <w:rPr>
        <w:rFonts w:cs="Times New Roman"/>
      </w:rPr>
    </w:lvl>
    <w:lvl w:ilvl="3" w:tentative="0">
      <w:start w:val="1"/>
      <w:numFmt w:val="decimal"/>
      <w:lvlText w:val="%4."/>
      <w:lvlJc w:val="left"/>
      <w:pPr>
        <w:tabs>
          <w:tab w:val="left" w:pos="2040"/>
        </w:tabs>
        <w:ind w:left="2040" w:hanging="420"/>
      </w:pPr>
      <w:rPr>
        <w:rFonts w:cs="Times New Roman"/>
      </w:rPr>
    </w:lvl>
    <w:lvl w:ilvl="4" w:tentative="0">
      <w:start w:val="1"/>
      <w:numFmt w:val="lowerLetter"/>
      <w:lvlText w:val="%5)"/>
      <w:lvlJc w:val="left"/>
      <w:pPr>
        <w:tabs>
          <w:tab w:val="left" w:pos="2460"/>
        </w:tabs>
        <w:ind w:left="2460" w:hanging="420"/>
      </w:pPr>
      <w:rPr>
        <w:rFonts w:cs="Times New Roman"/>
      </w:rPr>
    </w:lvl>
    <w:lvl w:ilvl="5" w:tentative="0">
      <w:start w:val="1"/>
      <w:numFmt w:val="lowerRoman"/>
      <w:lvlText w:val="%6."/>
      <w:lvlJc w:val="right"/>
      <w:pPr>
        <w:tabs>
          <w:tab w:val="left" w:pos="2880"/>
        </w:tabs>
        <w:ind w:left="2880" w:hanging="420"/>
      </w:pPr>
      <w:rPr>
        <w:rFonts w:cs="Times New Roman"/>
      </w:rPr>
    </w:lvl>
    <w:lvl w:ilvl="6" w:tentative="0">
      <w:start w:val="1"/>
      <w:numFmt w:val="decimal"/>
      <w:lvlText w:val="%7."/>
      <w:lvlJc w:val="left"/>
      <w:pPr>
        <w:tabs>
          <w:tab w:val="left" w:pos="3300"/>
        </w:tabs>
        <w:ind w:left="3300" w:hanging="420"/>
      </w:pPr>
      <w:rPr>
        <w:rFonts w:cs="Times New Roman"/>
      </w:rPr>
    </w:lvl>
    <w:lvl w:ilvl="7" w:tentative="0">
      <w:start w:val="1"/>
      <w:numFmt w:val="lowerLetter"/>
      <w:lvlText w:val="%8)"/>
      <w:lvlJc w:val="left"/>
      <w:pPr>
        <w:tabs>
          <w:tab w:val="left" w:pos="3720"/>
        </w:tabs>
        <w:ind w:left="3720" w:hanging="420"/>
      </w:pPr>
      <w:rPr>
        <w:rFonts w:cs="Times New Roman"/>
      </w:rPr>
    </w:lvl>
    <w:lvl w:ilvl="8" w:tentative="0">
      <w:start w:val="1"/>
      <w:numFmt w:val="lowerRoman"/>
      <w:lvlText w:val="%9."/>
      <w:lvlJc w:val="right"/>
      <w:pPr>
        <w:tabs>
          <w:tab w:val="left" w:pos="4140"/>
        </w:tabs>
        <w:ind w:left="4140" w:hanging="420"/>
      </w:pPr>
      <w:rPr>
        <w:rFonts w:cs="Times New Roman"/>
      </w:rPr>
    </w:lvl>
  </w:abstractNum>
  <w:abstractNum w:abstractNumId="5">
    <w:nsid w:val="3049152C"/>
    <w:multiLevelType w:val="multilevel"/>
    <w:tmpl w:val="3049152C"/>
    <w:lvl w:ilvl="0" w:tentative="0">
      <w:start w:val="1"/>
      <w:numFmt w:val="japaneseCounting"/>
      <w:lvlText w:val="（%1）"/>
      <w:lvlJc w:val="left"/>
      <w:pPr>
        <w:ind w:left="114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69E25ED4"/>
    <w:multiLevelType w:val="multilevel"/>
    <w:tmpl w:val="69E25ED4"/>
    <w:lvl w:ilvl="0" w:tentative="0">
      <w:start w:val="2"/>
      <w:numFmt w:val="decimal"/>
      <w:lvlText w:val="%1."/>
      <w:lvlJc w:val="left"/>
      <w:pPr>
        <w:tabs>
          <w:tab w:val="left" w:pos="420"/>
        </w:tabs>
        <w:ind w:left="425" w:hanging="425"/>
      </w:pPr>
      <w:rPr>
        <w:rFonts w:hint="default"/>
        <w:u w:val="none" w:color="auto"/>
      </w:rPr>
    </w:lvl>
    <w:lvl w:ilvl="1" w:tentative="0">
      <w:start w:val="1"/>
      <w:numFmt w:val="decimal"/>
      <w:lvlText w:val=""/>
      <w:lvlJc w:val="left"/>
      <w:pPr>
        <w:ind w:left="0"/>
      </w:pPr>
      <w:rPr>
        <w:rFonts w:hint="default"/>
        <w:u w:val="none" w:color="auto"/>
      </w:rPr>
    </w:lvl>
    <w:lvl w:ilvl="2" w:tentative="0">
      <w:start w:val="1"/>
      <w:numFmt w:val="decimal"/>
      <w:lvlText w:val=""/>
      <w:lvlJc w:val="left"/>
      <w:pPr>
        <w:ind w:left="0"/>
      </w:pPr>
      <w:rPr>
        <w:rFonts w:hint="default"/>
        <w:u w:val="none" w:color="auto"/>
      </w:rPr>
    </w:lvl>
    <w:lvl w:ilvl="3" w:tentative="0">
      <w:start w:val="1"/>
      <w:numFmt w:val="decimal"/>
      <w:lvlText w:val=""/>
      <w:lvlJc w:val="left"/>
      <w:pPr>
        <w:ind w:left="0"/>
      </w:pPr>
      <w:rPr>
        <w:rFonts w:hint="default"/>
        <w:u w:val="none" w:color="auto"/>
      </w:rPr>
    </w:lvl>
    <w:lvl w:ilvl="4" w:tentative="0">
      <w:start w:val="1"/>
      <w:numFmt w:val="decimal"/>
      <w:lvlText w:val=""/>
      <w:lvlJc w:val="left"/>
      <w:pPr>
        <w:ind w:left="0"/>
      </w:pPr>
      <w:rPr>
        <w:rFonts w:hint="default"/>
        <w:u w:val="none" w:color="auto"/>
      </w:rPr>
    </w:lvl>
    <w:lvl w:ilvl="5" w:tentative="0">
      <w:start w:val="1"/>
      <w:numFmt w:val="decimal"/>
      <w:lvlText w:val=""/>
      <w:lvlJc w:val="left"/>
      <w:pPr>
        <w:ind w:left="0"/>
      </w:pPr>
      <w:rPr>
        <w:rFonts w:hint="default"/>
        <w:u w:val="none" w:color="auto"/>
      </w:rPr>
    </w:lvl>
    <w:lvl w:ilvl="6" w:tentative="0">
      <w:start w:val="1"/>
      <w:numFmt w:val="decimal"/>
      <w:lvlText w:val=""/>
      <w:lvlJc w:val="left"/>
      <w:pPr>
        <w:ind w:left="0"/>
      </w:pPr>
      <w:rPr>
        <w:rFonts w:hint="default"/>
        <w:u w:val="none" w:color="auto"/>
      </w:rPr>
    </w:lvl>
    <w:lvl w:ilvl="7" w:tentative="0">
      <w:start w:val="1"/>
      <w:numFmt w:val="decimal"/>
      <w:lvlText w:val=""/>
      <w:lvlJc w:val="left"/>
      <w:pPr>
        <w:ind w:left="0"/>
      </w:pPr>
      <w:rPr>
        <w:rFonts w:hint="default"/>
        <w:u w:val="none" w:color="auto"/>
      </w:rPr>
    </w:lvl>
    <w:lvl w:ilvl="8" w:tentative="0">
      <w:start w:val="1"/>
      <w:numFmt w:val="decimal"/>
      <w:lvlText w:val=""/>
      <w:lvlJc w:val="left"/>
      <w:pPr>
        <w:ind w:left="0"/>
      </w:pPr>
      <w:rPr>
        <w:rFonts w:hint="default"/>
        <w:u w:val="none" w:color="auto"/>
      </w:rPr>
    </w:lvl>
  </w:abstractNum>
  <w:abstractNum w:abstractNumId="7">
    <w:nsid w:val="79CFB07F"/>
    <w:multiLevelType w:val="multilevel"/>
    <w:tmpl w:val="79CFB07F"/>
    <w:lvl w:ilvl="0" w:tentative="0">
      <w:start w:val="1"/>
      <w:numFmt w:val="decimal"/>
      <w:lvlText w:val="%1."/>
      <w:lvlJc w:val="left"/>
      <w:pPr>
        <w:ind w:left="425" w:hanging="425"/>
      </w:pPr>
      <w:rPr>
        <w:rFonts w:hint="default"/>
        <w:u w:val="none" w:color="auto"/>
      </w:rPr>
    </w:lvl>
    <w:lvl w:ilvl="1" w:tentative="0">
      <w:start w:val="1"/>
      <w:numFmt w:val="decimal"/>
      <w:lvlText w:val=""/>
      <w:lvlJc w:val="left"/>
      <w:pPr>
        <w:ind w:left="0"/>
      </w:pPr>
      <w:rPr>
        <w:rFonts w:hint="default"/>
        <w:u w:val="none" w:color="auto"/>
      </w:rPr>
    </w:lvl>
    <w:lvl w:ilvl="2" w:tentative="0">
      <w:start w:val="1"/>
      <w:numFmt w:val="decimal"/>
      <w:lvlText w:val=""/>
      <w:lvlJc w:val="left"/>
      <w:pPr>
        <w:ind w:left="0"/>
      </w:pPr>
      <w:rPr>
        <w:rFonts w:hint="default"/>
        <w:u w:val="none" w:color="auto"/>
      </w:rPr>
    </w:lvl>
    <w:lvl w:ilvl="3" w:tentative="0">
      <w:start w:val="1"/>
      <w:numFmt w:val="decimal"/>
      <w:lvlText w:val=""/>
      <w:lvlJc w:val="left"/>
      <w:pPr>
        <w:ind w:left="0"/>
      </w:pPr>
      <w:rPr>
        <w:rFonts w:hint="default"/>
        <w:u w:val="none" w:color="auto"/>
      </w:rPr>
    </w:lvl>
    <w:lvl w:ilvl="4" w:tentative="0">
      <w:start w:val="1"/>
      <w:numFmt w:val="decimal"/>
      <w:lvlText w:val=""/>
      <w:lvlJc w:val="left"/>
      <w:pPr>
        <w:ind w:left="0"/>
      </w:pPr>
      <w:rPr>
        <w:rFonts w:hint="default"/>
        <w:u w:val="none" w:color="auto"/>
      </w:rPr>
    </w:lvl>
    <w:lvl w:ilvl="5" w:tentative="0">
      <w:start w:val="1"/>
      <w:numFmt w:val="decimal"/>
      <w:lvlText w:val=""/>
      <w:lvlJc w:val="left"/>
      <w:pPr>
        <w:ind w:left="0"/>
      </w:pPr>
      <w:rPr>
        <w:rFonts w:hint="default"/>
        <w:u w:val="none" w:color="auto"/>
      </w:rPr>
    </w:lvl>
    <w:lvl w:ilvl="6" w:tentative="0">
      <w:start w:val="1"/>
      <w:numFmt w:val="decimal"/>
      <w:lvlText w:val=""/>
      <w:lvlJc w:val="left"/>
      <w:pPr>
        <w:ind w:left="0"/>
      </w:pPr>
      <w:rPr>
        <w:rFonts w:hint="default"/>
        <w:u w:val="none" w:color="auto"/>
      </w:rPr>
    </w:lvl>
    <w:lvl w:ilvl="7" w:tentative="0">
      <w:start w:val="1"/>
      <w:numFmt w:val="decimal"/>
      <w:lvlText w:val=""/>
      <w:lvlJc w:val="left"/>
      <w:pPr>
        <w:ind w:left="0"/>
      </w:pPr>
      <w:rPr>
        <w:rFonts w:hint="default"/>
        <w:u w:val="none" w:color="auto"/>
      </w:rPr>
    </w:lvl>
    <w:lvl w:ilvl="8" w:tentative="0">
      <w:start w:val="1"/>
      <w:numFmt w:val="decimal"/>
      <w:lvlText w:val=""/>
      <w:lvlJc w:val="left"/>
      <w:pPr>
        <w:ind w:left="0"/>
      </w:pPr>
      <w:rPr>
        <w:rFonts w:hint="default"/>
        <w:u w:val="none" w:color="auto"/>
      </w:rPr>
    </w:lvl>
  </w:abstractNum>
  <w:abstractNum w:abstractNumId="8">
    <w:nsid w:val="7FAD6DC7"/>
    <w:multiLevelType w:val="multilevel"/>
    <w:tmpl w:val="7FAD6DC7"/>
    <w:lvl w:ilvl="0" w:tentative="0">
      <w:start w:val="1"/>
      <w:numFmt w:val="japaneseCounting"/>
      <w:lvlText w:val="（%1）"/>
      <w:lvlJc w:val="left"/>
      <w:pPr>
        <w:ind w:left="862" w:hanging="720"/>
      </w:pPr>
      <w:rPr>
        <w:rFonts w:hint="default"/>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8"/>
  </w:num>
  <w:num w:numId="3">
    <w:abstractNumId w:val="7"/>
  </w:num>
  <w:num w:numId="4">
    <w:abstractNumId w:val="2"/>
  </w:num>
  <w:num w:numId="5">
    <w:abstractNumId w:val="6"/>
  </w:num>
  <w:num w:numId="6">
    <w:abstractNumId w:val="1"/>
  </w:num>
  <w:num w:numId="7">
    <w:abstractNumId w:val="3"/>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hideGrammaticalErrors/>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41B"/>
    <w:rsid w:val="00014C6C"/>
    <w:rsid w:val="000160AB"/>
    <w:rsid w:val="00021818"/>
    <w:rsid w:val="00022285"/>
    <w:rsid w:val="000348D1"/>
    <w:rsid w:val="0003599E"/>
    <w:rsid w:val="000367CD"/>
    <w:rsid w:val="00037BC8"/>
    <w:rsid w:val="00041360"/>
    <w:rsid w:val="00060441"/>
    <w:rsid w:val="00060841"/>
    <w:rsid w:val="00060FA5"/>
    <w:rsid w:val="000626EB"/>
    <w:rsid w:val="00071CFF"/>
    <w:rsid w:val="00076810"/>
    <w:rsid w:val="00077BCD"/>
    <w:rsid w:val="000867F1"/>
    <w:rsid w:val="000A1A4D"/>
    <w:rsid w:val="000A1F9A"/>
    <w:rsid w:val="000A41A2"/>
    <w:rsid w:val="000A7CCF"/>
    <w:rsid w:val="000B14C7"/>
    <w:rsid w:val="000B39E4"/>
    <w:rsid w:val="000B469E"/>
    <w:rsid w:val="000C14EE"/>
    <w:rsid w:val="000C2F6B"/>
    <w:rsid w:val="000C43E3"/>
    <w:rsid w:val="000C7AD4"/>
    <w:rsid w:val="000D4DC0"/>
    <w:rsid w:val="000D7F6C"/>
    <w:rsid w:val="000E1B34"/>
    <w:rsid w:val="000E64F8"/>
    <w:rsid w:val="000F1578"/>
    <w:rsid w:val="001016E0"/>
    <w:rsid w:val="001039C7"/>
    <w:rsid w:val="00103D46"/>
    <w:rsid w:val="0010578C"/>
    <w:rsid w:val="00113270"/>
    <w:rsid w:val="00113738"/>
    <w:rsid w:val="00117A9D"/>
    <w:rsid w:val="0012211E"/>
    <w:rsid w:val="00125A5D"/>
    <w:rsid w:val="00133725"/>
    <w:rsid w:val="00136188"/>
    <w:rsid w:val="0014165B"/>
    <w:rsid w:val="00143CEB"/>
    <w:rsid w:val="00144819"/>
    <w:rsid w:val="00151DBF"/>
    <w:rsid w:val="00151F81"/>
    <w:rsid w:val="00155C53"/>
    <w:rsid w:val="00162409"/>
    <w:rsid w:val="00163119"/>
    <w:rsid w:val="00165FAC"/>
    <w:rsid w:val="00174231"/>
    <w:rsid w:val="00177161"/>
    <w:rsid w:val="00183001"/>
    <w:rsid w:val="00185F1A"/>
    <w:rsid w:val="00192E4F"/>
    <w:rsid w:val="00197C6C"/>
    <w:rsid w:val="001A2DF3"/>
    <w:rsid w:val="001B0401"/>
    <w:rsid w:val="001B0608"/>
    <w:rsid w:val="001B1E63"/>
    <w:rsid w:val="001B3690"/>
    <w:rsid w:val="001B37FB"/>
    <w:rsid w:val="001B3C1E"/>
    <w:rsid w:val="001B51EC"/>
    <w:rsid w:val="001B6920"/>
    <w:rsid w:val="001C6664"/>
    <w:rsid w:val="001C7EBD"/>
    <w:rsid w:val="001D231E"/>
    <w:rsid w:val="001D23EF"/>
    <w:rsid w:val="001D2749"/>
    <w:rsid w:val="001D47B0"/>
    <w:rsid w:val="001D6F42"/>
    <w:rsid w:val="001E04DE"/>
    <w:rsid w:val="001E19A8"/>
    <w:rsid w:val="001E2247"/>
    <w:rsid w:val="001E5CFA"/>
    <w:rsid w:val="001F501C"/>
    <w:rsid w:val="00200B80"/>
    <w:rsid w:val="002101CF"/>
    <w:rsid w:val="00213EBE"/>
    <w:rsid w:val="00217FF6"/>
    <w:rsid w:val="00222CB1"/>
    <w:rsid w:val="00226B6F"/>
    <w:rsid w:val="00232FD5"/>
    <w:rsid w:val="00234890"/>
    <w:rsid w:val="00237C58"/>
    <w:rsid w:val="0024036A"/>
    <w:rsid w:val="00241971"/>
    <w:rsid w:val="002434C6"/>
    <w:rsid w:val="0024460C"/>
    <w:rsid w:val="00244CC9"/>
    <w:rsid w:val="00247656"/>
    <w:rsid w:val="00247CD7"/>
    <w:rsid w:val="00250C65"/>
    <w:rsid w:val="00251F33"/>
    <w:rsid w:val="002531CD"/>
    <w:rsid w:val="002562E6"/>
    <w:rsid w:val="002618C0"/>
    <w:rsid w:val="00264B70"/>
    <w:rsid w:val="00270DB1"/>
    <w:rsid w:val="00271B90"/>
    <w:rsid w:val="00272221"/>
    <w:rsid w:val="00272B69"/>
    <w:rsid w:val="0027337C"/>
    <w:rsid w:val="00273E69"/>
    <w:rsid w:val="002763F6"/>
    <w:rsid w:val="00285AD3"/>
    <w:rsid w:val="00291E12"/>
    <w:rsid w:val="002929E6"/>
    <w:rsid w:val="00296AE0"/>
    <w:rsid w:val="002A7E9C"/>
    <w:rsid w:val="002B6F5A"/>
    <w:rsid w:val="002C0301"/>
    <w:rsid w:val="002C0625"/>
    <w:rsid w:val="002C3F7A"/>
    <w:rsid w:val="002C44BC"/>
    <w:rsid w:val="002C49EC"/>
    <w:rsid w:val="002D0313"/>
    <w:rsid w:val="002D086B"/>
    <w:rsid w:val="002D4790"/>
    <w:rsid w:val="002D5211"/>
    <w:rsid w:val="002E018B"/>
    <w:rsid w:val="002E37F6"/>
    <w:rsid w:val="002F1201"/>
    <w:rsid w:val="002F24AB"/>
    <w:rsid w:val="002F24E8"/>
    <w:rsid w:val="00301717"/>
    <w:rsid w:val="00301B1F"/>
    <w:rsid w:val="00305D80"/>
    <w:rsid w:val="0031021F"/>
    <w:rsid w:val="003110A2"/>
    <w:rsid w:val="003134BC"/>
    <w:rsid w:val="003153C9"/>
    <w:rsid w:val="00316229"/>
    <w:rsid w:val="0031769C"/>
    <w:rsid w:val="00317CA0"/>
    <w:rsid w:val="00326531"/>
    <w:rsid w:val="003277E5"/>
    <w:rsid w:val="00337E3E"/>
    <w:rsid w:val="0034051C"/>
    <w:rsid w:val="00340798"/>
    <w:rsid w:val="00342EF8"/>
    <w:rsid w:val="003451C8"/>
    <w:rsid w:val="00345715"/>
    <w:rsid w:val="0035193B"/>
    <w:rsid w:val="0035719F"/>
    <w:rsid w:val="003811AA"/>
    <w:rsid w:val="00384120"/>
    <w:rsid w:val="00392C20"/>
    <w:rsid w:val="00393E97"/>
    <w:rsid w:val="003946BF"/>
    <w:rsid w:val="003A0EDC"/>
    <w:rsid w:val="003B62D3"/>
    <w:rsid w:val="003D03C5"/>
    <w:rsid w:val="003D2FB8"/>
    <w:rsid w:val="003D4318"/>
    <w:rsid w:val="003E0CAF"/>
    <w:rsid w:val="003E0F89"/>
    <w:rsid w:val="003E1EFF"/>
    <w:rsid w:val="003F004B"/>
    <w:rsid w:val="003F303C"/>
    <w:rsid w:val="00402524"/>
    <w:rsid w:val="00403C5D"/>
    <w:rsid w:val="00411804"/>
    <w:rsid w:val="004133FF"/>
    <w:rsid w:val="00420509"/>
    <w:rsid w:val="00422770"/>
    <w:rsid w:val="004261EB"/>
    <w:rsid w:val="004313D9"/>
    <w:rsid w:val="00433134"/>
    <w:rsid w:val="0043328B"/>
    <w:rsid w:val="00441030"/>
    <w:rsid w:val="004430D0"/>
    <w:rsid w:val="00443FBB"/>
    <w:rsid w:val="004446F4"/>
    <w:rsid w:val="00444ED2"/>
    <w:rsid w:val="00446732"/>
    <w:rsid w:val="00447F83"/>
    <w:rsid w:val="004503C6"/>
    <w:rsid w:val="0045446B"/>
    <w:rsid w:val="00461541"/>
    <w:rsid w:val="004675CD"/>
    <w:rsid w:val="00473BA6"/>
    <w:rsid w:val="004805F0"/>
    <w:rsid w:val="0048121A"/>
    <w:rsid w:val="00483ADA"/>
    <w:rsid w:val="00484A33"/>
    <w:rsid w:val="00487EE2"/>
    <w:rsid w:val="00490BAA"/>
    <w:rsid w:val="00496C23"/>
    <w:rsid w:val="00497D15"/>
    <w:rsid w:val="004A5C4A"/>
    <w:rsid w:val="004A6632"/>
    <w:rsid w:val="004A71DB"/>
    <w:rsid w:val="004A7C23"/>
    <w:rsid w:val="004B0227"/>
    <w:rsid w:val="004B4884"/>
    <w:rsid w:val="004C1CA5"/>
    <w:rsid w:val="004C2659"/>
    <w:rsid w:val="004C3BF7"/>
    <w:rsid w:val="004C538E"/>
    <w:rsid w:val="004C6789"/>
    <w:rsid w:val="004C7930"/>
    <w:rsid w:val="004D6E9C"/>
    <w:rsid w:val="004E0FEE"/>
    <w:rsid w:val="004E1406"/>
    <w:rsid w:val="004E3737"/>
    <w:rsid w:val="004E6C7C"/>
    <w:rsid w:val="004F4564"/>
    <w:rsid w:val="004F612A"/>
    <w:rsid w:val="004F792C"/>
    <w:rsid w:val="00501984"/>
    <w:rsid w:val="0050225A"/>
    <w:rsid w:val="005160A5"/>
    <w:rsid w:val="005223BB"/>
    <w:rsid w:val="00525349"/>
    <w:rsid w:val="005268D5"/>
    <w:rsid w:val="005269A1"/>
    <w:rsid w:val="00527F0E"/>
    <w:rsid w:val="00531D6C"/>
    <w:rsid w:val="005337BB"/>
    <w:rsid w:val="0054450B"/>
    <w:rsid w:val="00545496"/>
    <w:rsid w:val="005458E4"/>
    <w:rsid w:val="0054634B"/>
    <w:rsid w:val="00547409"/>
    <w:rsid w:val="00552D45"/>
    <w:rsid w:val="00553344"/>
    <w:rsid w:val="005558EC"/>
    <w:rsid w:val="00566996"/>
    <w:rsid w:val="00571D07"/>
    <w:rsid w:val="00572476"/>
    <w:rsid w:val="0057265E"/>
    <w:rsid w:val="00575B21"/>
    <w:rsid w:val="00581A9F"/>
    <w:rsid w:val="00584C91"/>
    <w:rsid w:val="00585BE2"/>
    <w:rsid w:val="00587E48"/>
    <w:rsid w:val="00596574"/>
    <w:rsid w:val="005A058C"/>
    <w:rsid w:val="005A5D65"/>
    <w:rsid w:val="005A7011"/>
    <w:rsid w:val="005B0445"/>
    <w:rsid w:val="005B1BF6"/>
    <w:rsid w:val="005B23EA"/>
    <w:rsid w:val="005B5E1C"/>
    <w:rsid w:val="005C289F"/>
    <w:rsid w:val="005C582A"/>
    <w:rsid w:val="005D3DC5"/>
    <w:rsid w:val="005D57E6"/>
    <w:rsid w:val="005E0B06"/>
    <w:rsid w:val="005E0C32"/>
    <w:rsid w:val="005E3A4A"/>
    <w:rsid w:val="005F014B"/>
    <w:rsid w:val="00603B2E"/>
    <w:rsid w:val="00610378"/>
    <w:rsid w:val="0061309C"/>
    <w:rsid w:val="00613973"/>
    <w:rsid w:val="00615599"/>
    <w:rsid w:val="00617957"/>
    <w:rsid w:val="0061795C"/>
    <w:rsid w:val="00620AD7"/>
    <w:rsid w:val="00621C45"/>
    <w:rsid w:val="00624ACB"/>
    <w:rsid w:val="00627042"/>
    <w:rsid w:val="00630EEA"/>
    <w:rsid w:val="00631318"/>
    <w:rsid w:val="00633F51"/>
    <w:rsid w:val="00640A5E"/>
    <w:rsid w:val="00640B97"/>
    <w:rsid w:val="00640DEC"/>
    <w:rsid w:val="006429BA"/>
    <w:rsid w:val="006479E1"/>
    <w:rsid w:val="00651B37"/>
    <w:rsid w:val="00651E12"/>
    <w:rsid w:val="00655C70"/>
    <w:rsid w:val="00660C19"/>
    <w:rsid w:val="00673690"/>
    <w:rsid w:val="006803A9"/>
    <w:rsid w:val="006813EC"/>
    <w:rsid w:val="00685452"/>
    <w:rsid w:val="00687C05"/>
    <w:rsid w:val="006969FB"/>
    <w:rsid w:val="006A1CD5"/>
    <w:rsid w:val="006B2459"/>
    <w:rsid w:val="006B3A31"/>
    <w:rsid w:val="006B3CF4"/>
    <w:rsid w:val="006C04CA"/>
    <w:rsid w:val="006C355A"/>
    <w:rsid w:val="006C3B1F"/>
    <w:rsid w:val="006C69C5"/>
    <w:rsid w:val="006C6EAC"/>
    <w:rsid w:val="006D52FA"/>
    <w:rsid w:val="006D6E7B"/>
    <w:rsid w:val="006D7DA3"/>
    <w:rsid w:val="006E0862"/>
    <w:rsid w:val="006E6181"/>
    <w:rsid w:val="006E6C48"/>
    <w:rsid w:val="006F65B7"/>
    <w:rsid w:val="007000A0"/>
    <w:rsid w:val="007075C3"/>
    <w:rsid w:val="00713BE5"/>
    <w:rsid w:val="00720345"/>
    <w:rsid w:val="007250EB"/>
    <w:rsid w:val="00745C43"/>
    <w:rsid w:val="00760BD6"/>
    <w:rsid w:val="0076192E"/>
    <w:rsid w:val="007649A7"/>
    <w:rsid w:val="0077359B"/>
    <w:rsid w:val="0078309F"/>
    <w:rsid w:val="0078368F"/>
    <w:rsid w:val="0078437B"/>
    <w:rsid w:val="00785BA4"/>
    <w:rsid w:val="00792E2F"/>
    <w:rsid w:val="0079330B"/>
    <w:rsid w:val="00795B08"/>
    <w:rsid w:val="007A229F"/>
    <w:rsid w:val="007A7745"/>
    <w:rsid w:val="007B342C"/>
    <w:rsid w:val="007B6EB1"/>
    <w:rsid w:val="007C7935"/>
    <w:rsid w:val="007D199B"/>
    <w:rsid w:val="007D40F7"/>
    <w:rsid w:val="007D67ED"/>
    <w:rsid w:val="007D7938"/>
    <w:rsid w:val="007E12AC"/>
    <w:rsid w:val="007E197A"/>
    <w:rsid w:val="007E2B95"/>
    <w:rsid w:val="007F0C36"/>
    <w:rsid w:val="007F19DC"/>
    <w:rsid w:val="007F4FD8"/>
    <w:rsid w:val="008006E4"/>
    <w:rsid w:val="0080117F"/>
    <w:rsid w:val="00801755"/>
    <w:rsid w:val="00804316"/>
    <w:rsid w:val="0080784A"/>
    <w:rsid w:val="00807895"/>
    <w:rsid w:val="00812203"/>
    <w:rsid w:val="008319A9"/>
    <w:rsid w:val="00831F0A"/>
    <w:rsid w:val="00832B95"/>
    <w:rsid w:val="0083323E"/>
    <w:rsid w:val="008343F3"/>
    <w:rsid w:val="008402B1"/>
    <w:rsid w:val="00852BDC"/>
    <w:rsid w:val="00854213"/>
    <w:rsid w:val="00856C37"/>
    <w:rsid w:val="008624AB"/>
    <w:rsid w:val="0086452A"/>
    <w:rsid w:val="00865547"/>
    <w:rsid w:val="00875B4E"/>
    <w:rsid w:val="00876BD7"/>
    <w:rsid w:val="00882D74"/>
    <w:rsid w:val="00891F20"/>
    <w:rsid w:val="008960CD"/>
    <w:rsid w:val="008B6CC3"/>
    <w:rsid w:val="008C0015"/>
    <w:rsid w:val="008C4341"/>
    <w:rsid w:val="008C566E"/>
    <w:rsid w:val="008D06D6"/>
    <w:rsid w:val="008D5065"/>
    <w:rsid w:val="008D74BE"/>
    <w:rsid w:val="008D7FFB"/>
    <w:rsid w:val="008E0824"/>
    <w:rsid w:val="008E12D1"/>
    <w:rsid w:val="008F050D"/>
    <w:rsid w:val="008F0B09"/>
    <w:rsid w:val="00903E48"/>
    <w:rsid w:val="00921DBF"/>
    <w:rsid w:val="00924340"/>
    <w:rsid w:val="00926312"/>
    <w:rsid w:val="009329B5"/>
    <w:rsid w:val="00936318"/>
    <w:rsid w:val="009364E9"/>
    <w:rsid w:val="0094030C"/>
    <w:rsid w:val="00947A97"/>
    <w:rsid w:val="00955C70"/>
    <w:rsid w:val="00960B75"/>
    <w:rsid w:val="00976BEE"/>
    <w:rsid w:val="009778E0"/>
    <w:rsid w:val="0098405E"/>
    <w:rsid w:val="00985D82"/>
    <w:rsid w:val="0099034E"/>
    <w:rsid w:val="00992976"/>
    <w:rsid w:val="0099552D"/>
    <w:rsid w:val="009B1743"/>
    <w:rsid w:val="009B667E"/>
    <w:rsid w:val="009D5568"/>
    <w:rsid w:val="009D5DED"/>
    <w:rsid w:val="009E61BD"/>
    <w:rsid w:val="009F33DD"/>
    <w:rsid w:val="009F33ED"/>
    <w:rsid w:val="00A053F8"/>
    <w:rsid w:val="00A07C17"/>
    <w:rsid w:val="00A250A8"/>
    <w:rsid w:val="00A304B5"/>
    <w:rsid w:val="00A33557"/>
    <w:rsid w:val="00A36E47"/>
    <w:rsid w:val="00A40946"/>
    <w:rsid w:val="00A469AE"/>
    <w:rsid w:val="00A472E8"/>
    <w:rsid w:val="00A60171"/>
    <w:rsid w:val="00A60E8D"/>
    <w:rsid w:val="00A7227E"/>
    <w:rsid w:val="00A8673C"/>
    <w:rsid w:val="00A90261"/>
    <w:rsid w:val="00A9041C"/>
    <w:rsid w:val="00A9177B"/>
    <w:rsid w:val="00A929F0"/>
    <w:rsid w:val="00A93C23"/>
    <w:rsid w:val="00AA2E24"/>
    <w:rsid w:val="00AA6A31"/>
    <w:rsid w:val="00AC060A"/>
    <w:rsid w:val="00AC2069"/>
    <w:rsid w:val="00AD2B5D"/>
    <w:rsid w:val="00AD5791"/>
    <w:rsid w:val="00AD5B6B"/>
    <w:rsid w:val="00AD62FB"/>
    <w:rsid w:val="00AE7289"/>
    <w:rsid w:val="00AF0230"/>
    <w:rsid w:val="00AF0396"/>
    <w:rsid w:val="00AF0941"/>
    <w:rsid w:val="00B1513D"/>
    <w:rsid w:val="00B17E18"/>
    <w:rsid w:val="00B22D50"/>
    <w:rsid w:val="00B300A3"/>
    <w:rsid w:val="00B30844"/>
    <w:rsid w:val="00B3087C"/>
    <w:rsid w:val="00B31FBA"/>
    <w:rsid w:val="00B35DE1"/>
    <w:rsid w:val="00B36B9B"/>
    <w:rsid w:val="00B36D46"/>
    <w:rsid w:val="00B416DB"/>
    <w:rsid w:val="00B41F77"/>
    <w:rsid w:val="00B45EA7"/>
    <w:rsid w:val="00B46782"/>
    <w:rsid w:val="00B509D3"/>
    <w:rsid w:val="00B51F48"/>
    <w:rsid w:val="00B53605"/>
    <w:rsid w:val="00B56BA6"/>
    <w:rsid w:val="00B614FD"/>
    <w:rsid w:val="00B658A6"/>
    <w:rsid w:val="00B6680D"/>
    <w:rsid w:val="00B67DDA"/>
    <w:rsid w:val="00B67FB7"/>
    <w:rsid w:val="00B72B61"/>
    <w:rsid w:val="00B75499"/>
    <w:rsid w:val="00B772D9"/>
    <w:rsid w:val="00B8273B"/>
    <w:rsid w:val="00B874DB"/>
    <w:rsid w:val="00B904B8"/>
    <w:rsid w:val="00B90BBC"/>
    <w:rsid w:val="00B9147D"/>
    <w:rsid w:val="00BA2F76"/>
    <w:rsid w:val="00BB1FED"/>
    <w:rsid w:val="00BB77C2"/>
    <w:rsid w:val="00BD0C98"/>
    <w:rsid w:val="00BD7E02"/>
    <w:rsid w:val="00BE6F75"/>
    <w:rsid w:val="00BF229D"/>
    <w:rsid w:val="00BF3422"/>
    <w:rsid w:val="00BF4266"/>
    <w:rsid w:val="00C034C5"/>
    <w:rsid w:val="00C05D91"/>
    <w:rsid w:val="00C06F53"/>
    <w:rsid w:val="00C12819"/>
    <w:rsid w:val="00C14D91"/>
    <w:rsid w:val="00C3411F"/>
    <w:rsid w:val="00C40E67"/>
    <w:rsid w:val="00C451A8"/>
    <w:rsid w:val="00C464EE"/>
    <w:rsid w:val="00C52EBB"/>
    <w:rsid w:val="00C63E4D"/>
    <w:rsid w:val="00C6642B"/>
    <w:rsid w:val="00C70BCB"/>
    <w:rsid w:val="00C70E5E"/>
    <w:rsid w:val="00C747A7"/>
    <w:rsid w:val="00C805F0"/>
    <w:rsid w:val="00C9495E"/>
    <w:rsid w:val="00CA30CB"/>
    <w:rsid w:val="00CA36FE"/>
    <w:rsid w:val="00CA38F3"/>
    <w:rsid w:val="00CA68CD"/>
    <w:rsid w:val="00CB6C45"/>
    <w:rsid w:val="00CC15B8"/>
    <w:rsid w:val="00CC2851"/>
    <w:rsid w:val="00CD2FD8"/>
    <w:rsid w:val="00CD78AA"/>
    <w:rsid w:val="00CD7DDA"/>
    <w:rsid w:val="00CE1461"/>
    <w:rsid w:val="00CF0ED4"/>
    <w:rsid w:val="00CF1270"/>
    <w:rsid w:val="00CF132F"/>
    <w:rsid w:val="00CF26E2"/>
    <w:rsid w:val="00CF6B25"/>
    <w:rsid w:val="00D00D4D"/>
    <w:rsid w:val="00D01F83"/>
    <w:rsid w:val="00D129B0"/>
    <w:rsid w:val="00D13E6D"/>
    <w:rsid w:val="00D143F8"/>
    <w:rsid w:val="00D17F2A"/>
    <w:rsid w:val="00D30F31"/>
    <w:rsid w:val="00D31668"/>
    <w:rsid w:val="00D31A0D"/>
    <w:rsid w:val="00D32E26"/>
    <w:rsid w:val="00D34668"/>
    <w:rsid w:val="00D36EEE"/>
    <w:rsid w:val="00D379A0"/>
    <w:rsid w:val="00D4446E"/>
    <w:rsid w:val="00D44DA8"/>
    <w:rsid w:val="00D47DE2"/>
    <w:rsid w:val="00D50EF3"/>
    <w:rsid w:val="00D541AA"/>
    <w:rsid w:val="00D6069E"/>
    <w:rsid w:val="00D642B7"/>
    <w:rsid w:val="00D672E7"/>
    <w:rsid w:val="00D734C9"/>
    <w:rsid w:val="00D771B9"/>
    <w:rsid w:val="00D80685"/>
    <w:rsid w:val="00D8333A"/>
    <w:rsid w:val="00D85DAB"/>
    <w:rsid w:val="00D93069"/>
    <w:rsid w:val="00D93266"/>
    <w:rsid w:val="00D962F7"/>
    <w:rsid w:val="00D97812"/>
    <w:rsid w:val="00DA5B0A"/>
    <w:rsid w:val="00DA79C9"/>
    <w:rsid w:val="00DB3F1B"/>
    <w:rsid w:val="00DC07E0"/>
    <w:rsid w:val="00DC3BD7"/>
    <w:rsid w:val="00DC4EE6"/>
    <w:rsid w:val="00DC7B23"/>
    <w:rsid w:val="00DD3F13"/>
    <w:rsid w:val="00DE15C1"/>
    <w:rsid w:val="00DE21AA"/>
    <w:rsid w:val="00DE3EF8"/>
    <w:rsid w:val="00DE6A84"/>
    <w:rsid w:val="00DF6921"/>
    <w:rsid w:val="00DF72EC"/>
    <w:rsid w:val="00E01542"/>
    <w:rsid w:val="00E016B2"/>
    <w:rsid w:val="00E16DF6"/>
    <w:rsid w:val="00E202D0"/>
    <w:rsid w:val="00E2295A"/>
    <w:rsid w:val="00E2496C"/>
    <w:rsid w:val="00E33D5D"/>
    <w:rsid w:val="00E3429E"/>
    <w:rsid w:val="00E40590"/>
    <w:rsid w:val="00E41F0F"/>
    <w:rsid w:val="00E54F91"/>
    <w:rsid w:val="00E55BEB"/>
    <w:rsid w:val="00E5626C"/>
    <w:rsid w:val="00E56CFE"/>
    <w:rsid w:val="00E56E33"/>
    <w:rsid w:val="00E666A4"/>
    <w:rsid w:val="00E67837"/>
    <w:rsid w:val="00E7048B"/>
    <w:rsid w:val="00E731B3"/>
    <w:rsid w:val="00E76CB9"/>
    <w:rsid w:val="00E811D0"/>
    <w:rsid w:val="00E82818"/>
    <w:rsid w:val="00E83FE5"/>
    <w:rsid w:val="00EA2879"/>
    <w:rsid w:val="00EB2E38"/>
    <w:rsid w:val="00EC1264"/>
    <w:rsid w:val="00EC7271"/>
    <w:rsid w:val="00ED236E"/>
    <w:rsid w:val="00ED27C6"/>
    <w:rsid w:val="00ED38B1"/>
    <w:rsid w:val="00ED5233"/>
    <w:rsid w:val="00ED5FC4"/>
    <w:rsid w:val="00ED6540"/>
    <w:rsid w:val="00EE18F1"/>
    <w:rsid w:val="00EF3267"/>
    <w:rsid w:val="00EF5297"/>
    <w:rsid w:val="00EF54F7"/>
    <w:rsid w:val="00F013F8"/>
    <w:rsid w:val="00F018E2"/>
    <w:rsid w:val="00F01EB9"/>
    <w:rsid w:val="00F047D0"/>
    <w:rsid w:val="00F04857"/>
    <w:rsid w:val="00F077A1"/>
    <w:rsid w:val="00F07FAA"/>
    <w:rsid w:val="00F1252E"/>
    <w:rsid w:val="00F14039"/>
    <w:rsid w:val="00F16CE9"/>
    <w:rsid w:val="00F23850"/>
    <w:rsid w:val="00F2423B"/>
    <w:rsid w:val="00F249C9"/>
    <w:rsid w:val="00F2551D"/>
    <w:rsid w:val="00F354D1"/>
    <w:rsid w:val="00F41275"/>
    <w:rsid w:val="00F42105"/>
    <w:rsid w:val="00F425BE"/>
    <w:rsid w:val="00F44DE2"/>
    <w:rsid w:val="00F664E0"/>
    <w:rsid w:val="00F73844"/>
    <w:rsid w:val="00F809FF"/>
    <w:rsid w:val="00F81408"/>
    <w:rsid w:val="00F85830"/>
    <w:rsid w:val="00F93F56"/>
    <w:rsid w:val="00F94E72"/>
    <w:rsid w:val="00F96FD3"/>
    <w:rsid w:val="00FA0F85"/>
    <w:rsid w:val="00FA13E1"/>
    <w:rsid w:val="00FB02DC"/>
    <w:rsid w:val="00FB17D3"/>
    <w:rsid w:val="00FC2818"/>
    <w:rsid w:val="00FC5A9A"/>
    <w:rsid w:val="00FD19E2"/>
    <w:rsid w:val="00FD4AC2"/>
    <w:rsid w:val="00FE0522"/>
    <w:rsid w:val="00FE2804"/>
    <w:rsid w:val="00FE2E31"/>
    <w:rsid w:val="00FE682F"/>
    <w:rsid w:val="00FF0960"/>
    <w:rsid w:val="00FF5429"/>
    <w:rsid w:val="00FF6317"/>
    <w:rsid w:val="0EA578A0"/>
    <w:rsid w:val="10876A75"/>
    <w:rsid w:val="183B3024"/>
    <w:rsid w:val="19E2510C"/>
    <w:rsid w:val="1B651466"/>
    <w:rsid w:val="1EF67CA4"/>
    <w:rsid w:val="319C292D"/>
    <w:rsid w:val="34CB0F1D"/>
    <w:rsid w:val="3550686C"/>
    <w:rsid w:val="3783041B"/>
    <w:rsid w:val="37E8067A"/>
    <w:rsid w:val="3BE430D6"/>
    <w:rsid w:val="3F097EF0"/>
    <w:rsid w:val="4461014E"/>
    <w:rsid w:val="493C0182"/>
    <w:rsid w:val="4D546A73"/>
    <w:rsid w:val="4E7A03FC"/>
    <w:rsid w:val="51EE1928"/>
    <w:rsid w:val="54444A33"/>
    <w:rsid w:val="54A97C5E"/>
    <w:rsid w:val="56EA6A46"/>
    <w:rsid w:val="5A7F688E"/>
    <w:rsid w:val="5D3335CA"/>
    <w:rsid w:val="61A36431"/>
    <w:rsid w:val="691737EF"/>
    <w:rsid w:val="72617C3A"/>
    <w:rsid w:val="77E447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28"/>
    <w:qFormat/>
    <w:uiPriority w:val="9"/>
    <w:pPr>
      <w:keepNext/>
      <w:keepLines/>
      <w:autoSpaceDE w:val="0"/>
      <w:autoSpaceDN w:val="0"/>
      <w:spacing w:before="340" w:after="330" w:line="578" w:lineRule="auto"/>
      <w:jc w:val="left"/>
      <w:outlineLvl w:val="0"/>
    </w:pPr>
    <w:rPr>
      <w:rFonts w:ascii="宋体" w:hAnsi="宋体" w:cs="宋体"/>
      <w:b/>
      <w:bCs/>
      <w:kern w:val="44"/>
      <w:sz w:val="44"/>
      <w:szCs w:val="44"/>
    </w:rPr>
  </w:style>
  <w:style w:type="paragraph" w:styleId="3">
    <w:name w:val="heading 3"/>
    <w:basedOn w:val="1"/>
    <w:next w:val="1"/>
    <w:link w:val="27"/>
    <w:unhideWhenUsed/>
    <w:qFormat/>
    <w:uiPriority w:val="9"/>
    <w:pPr>
      <w:keepNext/>
      <w:keepLines/>
      <w:autoSpaceDE w:val="0"/>
      <w:autoSpaceDN w:val="0"/>
      <w:spacing w:before="260" w:after="260" w:line="415" w:lineRule="auto"/>
      <w:jc w:val="left"/>
      <w:outlineLvl w:val="2"/>
    </w:pPr>
    <w:rPr>
      <w:rFonts w:ascii="宋体" w:hAnsi="宋体" w:cs="宋体"/>
      <w:b/>
      <w:bCs/>
      <w:kern w:val="0"/>
      <w:sz w:val="28"/>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Body Text 3"/>
    <w:basedOn w:val="1"/>
    <w:link w:val="20"/>
    <w:semiHidden/>
    <w:unhideWhenUsed/>
    <w:qFormat/>
    <w:uiPriority w:val="99"/>
    <w:pPr>
      <w:spacing w:after="120"/>
    </w:pPr>
    <w:rPr>
      <w:sz w:val="16"/>
      <w:szCs w:val="16"/>
    </w:rPr>
  </w:style>
  <w:style w:type="paragraph" w:styleId="5">
    <w:name w:val="Body Text"/>
    <w:basedOn w:val="1"/>
    <w:link w:val="18"/>
    <w:qFormat/>
    <w:uiPriority w:val="0"/>
    <w:pPr>
      <w:widowControl/>
      <w:spacing w:after="240"/>
      <w:ind w:left="624"/>
    </w:pPr>
    <w:rPr>
      <w:rFonts w:ascii="CG Times" w:hAnsi="CG Times"/>
      <w:kern w:val="0"/>
      <w:sz w:val="24"/>
      <w:szCs w:val="20"/>
      <w:lang w:val="en-GB" w:eastAsia="en-US"/>
    </w:rPr>
  </w:style>
  <w:style w:type="paragraph" w:styleId="6">
    <w:name w:val="Body Text Indent"/>
    <w:basedOn w:val="1"/>
    <w:link w:val="19"/>
    <w:semiHidden/>
    <w:unhideWhenUsed/>
    <w:qFormat/>
    <w:uiPriority w:val="99"/>
    <w:pPr>
      <w:spacing w:after="120"/>
      <w:ind w:left="420" w:leftChars="200"/>
    </w:pPr>
  </w:style>
  <w:style w:type="paragraph" w:styleId="7">
    <w:name w:val="Balloon Text"/>
    <w:basedOn w:val="1"/>
    <w:link w:val="26"/>
    <w:semiHidden/>
    <w:unhideWhenUsed/>
    <w:qFormat/>
    <w:uiPriority w:val="99"/>
    <w:rPr>
      <w:sz w:val="18"/>
      <w:szCs w:val="18"/>
    </w:rPr>
  </w:style>
  <w:style w:type="paragraph" w:styleId="8">
    <w:name w:val="footer"/>
    <w:basedOn w:val="1"/>
    <w:link w:val="16"/>
    <w:qFormat/>
    <w:uiPriority w:val="99"/>
    <w:pPr>
      <w:tabs>
        <w:tab w:val="center" w:pos="4153"/>
        <w:tab w:val="right" w:pos="8306"/>
      </w:tabs>
      <w:snapToGrid w:val="0"/>
      <w:jc w:val="left"/>
    </w:pPr>
    <w:rPr>
      <w:sz w:val="18"/>
      <w:szCs w:val="18"/>
    </w:rPr>
  </w:style>
  <w:style w:type="paragraph" w:styleId="9">
    <w:name w:val="header"/>
    <w:basedOn w:val="1"/>
    <w:link w:val="15"/>
    <w:semiHidden/>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12">
    <w:name w:val="Table Grid"/>
    <w:basedOn w:val="11"/>
    <w:qFormat/>
    <w:uiPriority w:val="39"/>
    <w:rPr>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4">
    <w:name w:val="page number"/>
    <w:basedOn w:val="13"/>
    <w:qFormat/>
    <w:uiPriority w:val="99"/>
    <w:rPr>
      <w:rFonts w:cs="Times New Roman"/>
    </w:rPr>
  </w:style>
  <w:style w:type="character" w:customStyle="1" w:styleId="15">
    <w:name w:val="页眉 字符"/>
    <w:basedOn w:val="13"/>
    <w:link w:val="9"/>
    <w:semiHidden/>
    <w:qFormat/>
    <w:uiPriority w:val="99"/>
    <w:rPr>
      <w:rFonts w:ascii="Times New Roman" w:hAnsi="Times New Roman" w:eastAsia="宋体" w:cs="Times New Roman"/>
      <w:sz w:val="18"/>
      <w:szCs w:val="18"/>
    </w:rPr>
  </w:style>
  <w:style w:type="character" w:customStyle="1" w:styleId="16">
    <w:name w:val="页脚 字符"/>
    <w:basedOn w:val="13"/>
    <w:link w:val="8"/>
    <w:qFormat/>
    <w:uiPriority w:val="99"/>
    <w:rPr>
      <w:rFonts w:ascii="Times New Roman" w:hAnsi="Times New Roman" w:eastAsia="宋体" w:cs="Times New Roman"/>
      <w:sz w:val="18"/>
      <w:szCs w:val="18"/>
    </w:rPr>
  </w:style>
  <w:style w:type="paragraph" w:styleId="17">
    <w:name w:val="List Paragraph"/>
    <w:basedOn w:val="1"/>
    <w:qFormat/>
    <w:uiPriority w:val="34"/>
    <w:pPr>
      <w:ind w:firstLine="420" w:firstLineChars="200"/>
    </w:pPr>
  </w:style>
  <w:style w:type="character" w:customStyle="1" w:styleId="18">
    <w:name w:val="正文文本 字符"/>
    <w:basedOn w:val="13"/>
    <w:link w:val="5"/>
    <w:qFormat/>
    <w:uiPriority w:val="0"/>
    <w:rPr>
      <w:rFonts w:ascii="CG Times" w:hAnsi="CG Times" w:eastAsia="宋体" w:cs="Times New Roman"/>
      <w:kern w:val="0"/>
      <w:szCs w:val="20"/>
      <w:lang w:val="en-GB" w:eastAsia="en-US"/>
    </w:rPr>
  </w:style>
  <w:style w:type="character" w:customStyle="1" w:styleId="19">
    <w:name w:val="正文文本缩进 字符"/>
    <w:basedOn w:val="13"/>
    <w:link w:val="6"/>
    <w:semiHidden/>
    <w:qFormat/>
    <w:uiPriority w:val="99"/>
    <w:rPr>
      <w:rFonts w:ascii="Times New Roman" w:hAnsi="Times New Roman" w:eastAsia="宋体" w:cs="Times New Roman"/>
      <w:sz w:val="21"/>
      <w:szCs w:val="21"/>
    </w:rPr>
  </w:style>
  <w:style w:type="character" w:customStyle="1" w:styleId="20">
    <w:name w:val="正文文本 3 字符"/>
    <w:basedOn w:val="13"/>
    <w:link w:val="4"/>
    <w:semiHidden/>
    <w:qFormat/>
    <w:uiPriority w:val="99"/>
    <w:rPr>
      <w:rFonts w:ascii="Times New Roman" w:hAnsi="Times New Roman" w:eastAsia="宋体" w:cs="Times New Roman"/>
      <w:sz w:val="16"/>
      <w:szCs w:val="16"/>
    </w:rPr>
  </w:style>
  <w:style w:type="character" w:customStyle="1" w:styleId="21">
    <w:name w:val="Body Text 1 Char"/>
    <w:link w:val="22"/>
    <w:qFormat/>
    <w:uiPriority w:val="0"/>
    <w:rPr>
      <w:rFonts w:eastAsia="华文楷体"/>
      <w:sz w:val="28"/>
      <w:lang w:eastAsia="zh-TW"/>
    </w:rPr>
  </w:style>
  <w:style w:type="paragraph" w:customStyle="1" w:styleId="22">
    <w:name w:val="Body Text 1"/>
    <w:basedOn w:val="1"/>
    <w:link w:val="21"/>
    <w:qFormat/>
    <w:uiPriority w:val="0"/>
    <w:pPr>
      <w:spacing w:after="240" w:line="380" w:lineRule="exact"/>
      <w:ind w:firstLine="1008"/>
      <w:jc w:val="left"/>
    </w:pPr>
    <w:rPr>
      <w:rFonts w:eastAsia="华文楷体" w:asciiTheme="minorHAnsi" w:hAnsiTheme="minorHAnsi" w:cstheme="minorBidi"/>
      <w:sz w:val="28"/>
      <w:szCs w:val="24"/>
      <w:lang w:eastAsia="zh-TW"/>
    </w:rPr>
  </w:style>
  <w:style w:type="paragraph" w:customStyle="1" w:styleId="23">
    <w:name w:val="列出段落1"/>
    <w:basedOn w:val="1"/>
    <w:qFormat/>
    <w:uiPriority w:val="34"/>
    <w:pPr>
      <w:ind w:firstLine="420" w:firstLineChars="200"/>
    </w:pPr>
    <w:rPr>
      <w:szCs w:val="24"/>
    </w:rPr>
  </w:style>
  <w:style w:type="table" w:customStyle="1" w:styleId="24">
    <w:name w:val="Grid Table 6 Colorful"/>
    <w:basedOn w:val="11"/>
    <w:qFormat/>
    <w:uiPriority w:val="51"/>
    <w:rPr>
      <w:color w:val="000000" w:themeColor="text1"/>
      <w:sz w:val="21"/>
      <w:szCs w:val="22"/>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5">
    <w:name w:val="网格型浅色1"/>
    <w:basedOn w:val="11"/>
    <w:qFormat/>
    <w:uiPriority w:val="40"/>
    <w:rPr>
      <w:kern w:val="0"/>
      <w:sz w:val="20"/>
      <w:szCs w:val="20"/>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6">
    <w:name w:val="批注框文本 字符"/>
    <w:basedOn w:val="13"/>
    <w:link w:val="7"/>
    <w:semiHidden/>
    <w:qFormat/>
    <w:uiPriority w:val="99"/>
    <w:rPr>
      <w:rFonts w:ascii="Times New Roman" w:hAnsi="Times New Roman" w:eastAsia="宋体" w:cs="Times New Roman"/>
      <w:sz w:val="18"/>
      <w:szCs w:val="18"/>
    </w:rPr>
  </w:style>
  <w:style w:type="character" w:customStyle="1" w:styleId="27">
    <w:name w:val="标题 3 字符"/>
    <w:basedOn w:val="13"/>
    <w:link w:val="3"/>
    <w:qFormat/>
    <w:uiPriority w:val="9"/>
    <w:rPr>
      <w:rFonts w:ascii="宋体" w:hAnsi="宋体" w:eastAsia="宋体" w:cs="宋体"/>
      <w:b/>
      <w:bCs/>
      <w:kern w:val="0"/>
      <w:sz w:val="28"/>
      <w:szCs w:val="32"/>
    </w:rPr>
  </w:style>
  <w:style w:type="character" w:customStyle="1" w:styleId="28">
    <w:name w:val="标题 1 字符"/>
    <w:basedOn w:val="13"/>
    <w:link w:val="2"/>
    <w:qFormat/>
    <w:uiPriority w:val="9"/>
    <w:rPr>
      <w:rFonts w:ascii="宋体" w:hAnsi="宋体" w:eastAsia="宋体" w:cs="宋体"/>
      <w:b/>
      <w:bCs/>
      <w:kern w:val="44"/>
      <w:sz w:val="44"/>
      <w:szCs w:val="44"/>
    </w:rPr>
  </w:style>
  <w:style w:type="paragraph" w:customStyle="1" w:styleId="29">
    <w:name w:val="Revision"/>
    <w:hidden/>
    <w:semiHidden/>
    <w:qFormat/>
    <w:uiPriority w:val="99"/>
    <w:rPr>
      <w:rFonts w:ascii="Times New Roman" w:hAnsi="Times New Roman" w:eastAsia="宋体" w:cs="Times New Roman"/>
      <w:kern w:val="2"/>
      <w:sz w:val="21"/>
      <w:szCs w:val="21"/>
      <w:lang w:val="en-US" w:eastAsia="zh-CN" w:bidi="ar-SA"/>
    </w:rPr>
  </w:style>
  <w:style w:type="character" w:customStyle="1" w:styleId="30">
    <w:name w:val="15"/>
    <w:basedOn w:val="13"/>
    <w:qFormat/>
    <w:uiPriority w:val="0"/>
    <w:rPr>
      <w:rFonts w:hint="default" w:ascii="Times New Roman" w:hAnsi="Times New Roman" w:cs="Times New Roman"/>
      <w:sz w:val="21"/>
      <w:szCs w:val="21"/>
    </w:rPr>
  </w:style>
  <w:style w:type="character" w:customStyle="1" w:styleId="31">
    <w:name w:val="10"/>
    <w:basedOn w:val="13"/>
    <w:qFormat/>
    <w:uiPriority w:val="0"/>
    <w:rPr>
      <w:rFonts w:hint="default" w:ascii="Times New Roman" w:hAnsi="Times New Roman" w:cs="Times New Roman"/>
    </w:rPr>
  </w:style>
  <w:style w:type="character" w:customStyle="1" w:styleId="32">
    <w:name w:val="16"/>
    <w:basedOn w:val="13"/>
    <w:qFormat/>
    <w:uiPriority w:val="0"/>
    <w:rPr>
      <w:rFonts w:hint="default" w:ascii="Times New Roman" w:hAnsi="Times New Roman" w:cs="Times New Roman"/>
      <w:b/>
    </w:rPr>
  </w:style>
  <w:style w:type="paragraph" w:customStyle="1" w:styleId="33">
    <w:name w:val="二级标题"/>
    <w:qFormat/>
    <w:uiPriority w:val="0"/>
    <w:pPr>
      <w:keepNext w:val="0"/>
      <w:keepLines w:val="0"/>
      <w:widowControl w:val="0"/>
      <w:suppressLineNumbers w:val="0"/>
      <w:spacing w:before="156" w:beforeLines="50" w:beforeAutospacing="0" w:after="156" w:afterLines="50" w:afterAutospacing="0" w:line="360" w:lineRule="exact"/>
      <w:ind w:left="992" w:firstLine="0" w:firstLineChars="0"/>
      <w:jc w:val="left"/>
    </w:pPr>
    <w:rPr>
      <w:rFonts w:hint="eastAsia" w:ascii="宋体" w:hAnsi="宋体" w:eastAsia="宋体" w:cs="Times New Roman"/>
      <w:kern w:val="2"/>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Cybernaut</Company>
  <Pages>5</Pages>
  <Words>3172</Words>
  <Characters>3267</Characters>
  <Lines>1</Lines>
  <Paragraphs>1</Paragraphs>
  <TotalTime>6</TotalTime>
  <ScaleCrop>false</ScaleCrop>
  <LinksUpToDate>false</LinksUpToDate>
  <CharactersWithSpaces>3273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2025-05-21T07:49:00Z</dcterms:created>
  <dc:creator>Jobit Liu</dc:creator>
  <cp:lastModifiedBy>小明明</cp:lastModifiedBy>
  <cp:lastPrinted>2019-09-23T07:08:00Z</cp:lastPrinted>
  <dcterms:modified xsi:type="dcterms:W3CDTF">2026-06-17T06:50:21Z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eyJoZGlkIjoiYzZkNzQ4ZWFiZmQ4NTRhOWRkZTk3YTMwMjlmMmZhYmUiLCJ1c2VySWQiOiIzOTgzMDE1NjEifQ==</vt:lpwstr>
  </property>
  <property fmtid="{D5CDD505-2E9C-101B-9397-08002B2CF9AE}" pid="3" name="KSOProductBuildVer">
    <vt:lpwstr>2052-12.1.0.26375</vt:lpwstr>
  </property>
  <property fmtid="{D5CDD505-2E9C-101B-9397-08002B2CF9AE}" pid="4" name="ICV">
    <vt:lpwstr>C74380CC932F45918E13FA6CBEF48839_13</vt:lpwstr>
  </property>
</Properties>
</file>