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A5367">
      <w:pPr>
        <w:rPr>
          <w:rFonts w:ascii="Arial" w:hAnsi="Arial" w:cs="Arial" w:eastAsiaTheme="minorEastAsia"/>
          <w:b/>
          <w:bCs/>
          <w:color w:val="0000FF"/>
          <w:sz w:val="44"/>
          <w:szCs w:val="44"/>
        </w:rPr>
      </w:pPr>
    </w:p>
    <w:p w14:paraId="24CE84A4">
      <w:pPr>
        <w:shd w:val="clear" w:color="000000" w:fill="FFFFFF"/>
        <w:jc w:val="center"/>
        <w:rPr>
          <w:rFonts w:ascii="Arial" w:hAnsi="Arial" w:cs="Arial" w:eastAsiaTheme="minorEastAsia"/>
          <w:b/>
          <w:bCs/>
          <w:color w:val="0000FF"/>
          <w:sz w:val="44"/>
          <w:szCs w:val="44"/>
        </w:rPr>
      </w:pPr>
    </w:p>
    <w:p w14:paraId="21C34279">
      <w:pPr>
        <w:shd w:val="clear" w:color="000000" w:fill="FFFFFF"/>
        <w:jc w:val="center"/>
        <w:rPr>
          <w:rFonts w:ascii="Arial" w:hAnsi="Arial" w:cs="Arial" w:eastAsiaTheme="minorEastAsia"/>
          <w:b/>
          <w:bCs/>
          <w:color w:val="0000FF"/>
          <w:sz w:val="44"/>
          <w:szCs w:val="44"/>
        </w:rPr>
      </w:pPr>
    </w:p>
    <w:p w14:paraId="5AD9ECF4">
      <w:pPr>
        <w:shd w:val="clear" w:color="000000" w:fill="FFFFFF"/>
        <w:jc w:val="center"/>
        <w:rPr>
          <w:rFonts w:hint="eastAsia" w:eastAsia="宋体"/>
          <w:b/>
          <w:bCs/>
          <w:color w:val="auto"/>
          <w:sz w:val="44"/>
          <w:szCs w:val="44"/>
          <w:lang w:val="en-US" w:eastAsia="zh-CN"/>
        </w:rPr>
      </w:pPr>
      <w:r>
        <w:rPr>
          <w:rFonts w:hint="eastAsia"/>
          <w:b/>
          <w:bCs/>
          <w:color w:val="auto"/>
          <w:sz w:val="44"/>
          <w:szCs w:val="44"/>
          <w:lang w:val="en-US" w:eastAsia="zh-CN"/>
        </w:rPr>
        <w:t>杭州佳量脑科学股份有限公司</w:t>
      </w:r>
    </w:p>
    <w:p w14:paraId="7564340A">
      <w:pPr>
        <w:shd w:val="clear" w:color="000000" w:fill="FFFFFF"/>
        <w:jc w:val="center"/>
        <w:rPr>
          <w:b/>
          <w:color w:val="auto"/>
          <w:sz w:val="44"/>
          <w:szCs w:val="44"/>
        </w:rPr>
      </w:pPr>
    </w:p>
    <w:p w14:paraId="202D56F3">
      <w:pPr>
        <w:shd w:val="clear" w:color="000000" w:fill="FFFFFF"/>
        <w:jc w:val="center"/>
        <w:rPr>
          <w:b/>
          <w:color w:val="auto"/>
          <w:sz w:val="44"/>
          <w:szCs w:val="44"/>
        </w:rPr>
      </w:pPr>
      <w:r>
        <w:rPr>
          <w:rFonts w:hint="eastAsia"/>
          <w:b/>
          <w:color w:val="auto"/>
          <w:sz w:val="44"/>
          <w:szCs w:val="44"/>
        </w:rPr>
        <w:t>尽</w:t>
      </w:r>
    </w:p>
    <w:p w14:paraId="066D70BD">
      <w:pPr>
        <w:shd w:val="clear" w:color="000000" w:fill="FFFFFF"/>
        <w:jc w:val="center"/>
        <w:rPr>
          <w:b/>
          <w:color w:val="auto"/>
          <w:sz w:val="44"/>
          <w:szCs w:val="44"/>
        </w:rPr>
      </w:pPr>
      <w:r>
        <w:rPr>
          <w:rFonts w:hint="eastAsia"/>
          <w:b/>
          <w:color w:val="auto"/>
          <w:sz w:val="44"/>
          <w:szCs w:val="44"/>
        </w:rPr>
        <w:t>职</w:t>
      </w:r>
    </w:p>
    <w:p w14:paraId="2F8AA893">
      <w:pPr>
        <w:shd w:val="clear" w:color="000000" w:fill="FFFFFF"/>
        <w:jc w:val="center"/>
        <w:rPr>
          <w:b/>
          <w:color w:val="auto"/>
          <w:sz w:val="44"/>
          <w:szCs w:val="44"/>
        </w:rPr>
      </w:pPr>
      <w:r>
        <w:rPr>
          <w:rFonts w:hint="eastAsia"/>
          <w:b/>
          <w:color w:val="auto"/>
          <w:sz w:val="44"/>
          <w:szCs w:val="44"/>
        </w:rPr>
        <w:t>调</w:t>
      </w:r>
    </w:p>
    <w:p w14:paraId="7571E5CB">
      <w:pPr>
        <w:shd w:val="clear" w:color="000000" w:fill="FFFFFF"/>
        <w:jc w:val="center"/>
        <w:rPr>
          <w:b/>
          <w:color w:val="auto"/>
          <w:sz w:val="44"/>
          <w:szCs w:val="44"/>
        </w:rPr>
      </w:pPr>
      <w:r>
        <w:rPr>
          <w:rFonts w:hint="eastAsia"/>
          <w:b/>
          <w:color w:val="auto"/>
          <w:sz w:val="44"/>
          <w:szCs w:val="44"/>
        </w:rPr>
        <w:t>查</w:t>
      </w:r>
    </w:p>
    <w:p w14:paraId="2D898725">
      <w:pPr>
        <w:shd w:val="clear" w:color="000000" w:fill="FFFFFF"/>
        <w:jc w:val="center"/>
        <w:rPr>
          <w:b/>
          <w:color w:val="auto"/>
          <w:sz w:val="44"/>
          <w:szCs w:val="44"/>
        </w:rPr>
      </w:pPr>
      <w:r>
        <w:rPr>
          <w:rFonts w:hint="eastAsia"/>
          <w:b/>
          <w:color w:val="auto"/>
          <w:sz w:val="44"/>
          <w:szCs w:val="44"/>
        </w:rPr>
        <w:t>报</w:t>
      </w:r>
    </w:p>
    <w:p w14:paraId="10126D96">
      <w:pPr>
        <w:shd w:val="clear" w:color="000000" w:fill="FFFFFF"/>
        <w:jc w:val="center"/>
        <w:rPr>
          <w:b/>
          <w:color w:val="auto"/>
          <w:sz w:val="44"/>
          <w:szCs w:val="44"/>
        </w:rPr>
      </w:pPr>
      <w:r>
        <w:rPr>
          <w:rFonts w:hint="eastAsia"/>
          <w:b/>
          <w:color w:val="auto"/>
          <w:sz w:val="44"/>
          <w:szCs w:val="44"/>
        </w:rPr>
        <w:t>告</w:t>
      </w:r>
    </w:p>
    <w:p w14:paraId="2E02D07C">
      <w:pPr>
        <w:shd w:val="clear" w:color="000000" w:fill="FFFFFF"/>
        <w:jc w:val="center"/>
        <w:rPr>
          <w:b/>
          <w:color w:val="auto"/>
          <w:sz w:val="44"/>
          <w:szCs w:val="44"/>
        </w:rPr>
      </w:pPr>
    </w:p>
    <w:p w14:paraId="3D04F957">
      <w:pPr>
        <w:shd w:val="clear" w:color="000000" w:fill="FFFFFF"/>
        <w:jc w:val="center"/>
        <w:rPr>
          <w:b/>
          <w:color w:val="auto"/>
          <w:sz w:val="44"/>
          <w:szCs w:val="44"/>
        </w:rPr>
      </w:pPr>
    </w:p>
    <w:p w14:paraId="02DE65B6">
      <w:pPr>
        <w:shd w:val="clear" w:color="000000" w:fill="FFFFFF"/>
        <w:jc w:val="center"/>
        <w:rPr>
          <w:b/>
          <w:color w:val="auto"/>
          <w:sz w:val="44"/>
          <w:szCs w:val="44"/>
        </w:rPr>
      </w:pPr>
    </w:p>
    <w:p w14:paraId="28F0A832">
      <w:pPr>
        <w:shd w:val="clear" w:color="000000" w:fill="FFFFFF"/>
        <w:jc w:val="center"/>
        <w:rPr>
          <w:b/>
          <w:color w:val="auto"/>
          <w:sz w:val="32"/>
          <w:szCs w:val="32"/>
        </w:rPr>
      </w:pPr>
      <w:r>
        <w:rPr>
          <w:rFonts w:hint="eastAsia"/>
          <w:b/>
          <w:color w:val="auto"/>
          <w:sz w:val="32"/>
          <w:szCs w:val="32"/>
        </w:rPr>
        <w:t>2026年</w:t>
      </w:r>
      <w:r>
        <w:rPr>
          <w:rFonts w:hint="eastAsia"/>
          <w:b/>
          <w:color w:val="auto"/>
          <w:sz w:val="32"/>
          <w:szCs w:val="32"/>
          <w:lang w:val="en-US" w:eastAsia="zh-CN"/>
        </w:rPr>
        <w:t>6</w:t>
      </w:r>
      <w:r>
        <w:rPr>
          <w:rFonts w:hint="eastAsia"/>
          <w:b/>
          <w:color w:val="auto"/>
          <w:sz w:val="32"/>
          <w:szCs w:val="32"/>
        </w:rPr>
        <w:t>月</w:t>
      </w:r>
    </w:p>
    <w:p w14:paraId="33715F08">
      <w:pPr>
        <w:shd w:val="clear" w:color="000000" w:fill="FFFFFF"/>
        <w:jc w:val="center"/>
        <w:rPr>
          <w:b/>
          <w:color w:val="auto"/>
          <w:sz w:val="32"/>
          <w:szCs w:val="32"/>
        </w:rPr>
      </w:pPr>
    </w:p>
    <w:p w14:paraId="1F5790B9">
      <w:pPr>
        <w:shd w:val="clear" w:color="000000" w:fill="FFFFFF"/>
        <w:jc w:val="center"/>
        <w:rPr>
          <w:b/>
          <w:color w:val="auto"/>
          <w:sz w:val="32"/>
          <w:szCs w:val="32"/>
        </w:rPr>
      </w:pPr>
      <w:r>
        <w:rPr>
          <w:rFonts w:hint="eastAsia"/>
          <w:b/>
          <w:color w:val="auto"/>
          <w:sz w:val="32"/>
          <w:szCs w:val="32"/>
        </w:rPr>
        <w:t>浙江赛智伯乐股权投资有限公司</w:t>
      </w:r>
    </w:p>
    <w:p w14:paraId="7D57C260">
      <w:pPr>
        <w:shd w:val="clear" w:color="000000" w:fill="FFFFFF"/>
        <w:jc w:val="center"/>
        <w:rPr>
          <w:b/>
          <w:color w:val="auto"/>
          <w:sz w:val="32"/>
          <w:szCs w:val="32"/>
        </w:rPr>
        <w:sectPr>
          <w:headerReference r:id="rId3" w:type="default"/>
          <w:footerReference r:id="rId4" w:type="default"/>
          <w:pgSz w:w="11906" w:h="16838"/>
          <w:pgMar w:top="1440" w:right="1797" w:bottom="1497" w:left="1797"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2AC8CD6B">
      <w:pPr>
        <w:shd w:val="clear" w:color="000000" w:fill="FFFFFF"/>
        <w:jc w:val="both"/>
        <w:rPr>
          <w:b/>
          <w:color w:val="0000FF"/>
          <w:sz w:val="32"/>
          <w:szCs w:val="32"/>
        </w:rPr>
      </w:pPr>
    </w:p>
    <w:p w14:paraId="747D54F7">
      <w:pPr>
        <w:shd w:val="clear" w:color="000000" w:fill="FFFFFF"/>
        <w:jc w:val="center"/>
        <w:rPr>
          <w:b/>
          <w:color w:val="0000FF"/>
          <w:sz w:val="32"/>
          <w:szCs w:val="32"/>
        </w:rPr>
        <w:sectPr>
          <w:pgSz w:w="11906" w:h="16838"/>
          <w:pgMar w:top="1440" w:right="1797" w:bottom="1497" w:left="1797" w:header="851" w:footer="992" w:gutter="0"/>
          <w:pgBorders>
            <w:top w:val="none" w:sz="0" w:space="0"/>
            <w:left w:val="none" w:sz="0" w:space="0"/>
            <w:bottom w:val="none" w:sz="0" w:space="0"/>
            <w:right w:val="none" w:sz="0" w:space="0"/>
          </w:pgBorders>
          <w:pgNumType w:start="1"/>
          <w:cols w:space="425" w:num="1"/>
          <w:docGrid w:type="lines" w:linePitch="312" w:charSpace="0"/>
        </w:sectPr>
      </w:pPr>
    </w:p>
    <w:sdt>
      <w:sdtPr>
        <w:rPr>
          <w:rFonts w:ascii="黑体" w:hAnsi="黑体" w:eastAsia="黑体" w:cs="Arial"/>
          <w:b/>
          <w:bCs/>
          <w:color w:val="0000FF"/>
          <w:sz w:val="28"/>
          <w:szCs w:val="28"/>
        </w:rPr>
        <w:id w:val="147455416"/>
        <w15:color w:val="DBDBDB"/>
        <w:docPartObj>
          <w:docPartGallery w:val="Table of Contents"/>
          <w:docPartUnique/>
        </w:docPartObj>
      </w:sdtPr>
      <w:sdtEndPr>
        <w:rPr>
          <w:rFonts w:ascii="仿宋" w:hAnsi="仿宋" w:eastAsia="仿宋" w:cs="Arial"/>
          <w:b w:val="0"/>
          <w:bCs w:val="0"/>
          <w:color w:val="0000FF"/>
          <w:sz w:val="24"/>
          <w:szCs w:val="24"/>
        </w:rPr>
      </w:sdtEndPr>
      <w:sdtContent>
        <w:p w14:paraId="0731726F">
          <w:pPr>
            <w:pStyle w:val="51"/>
            <w:shd w:val="clear" w:color="000000" w:fill="FFFFFF"/>
            <w:jc w:val="center"/>
            <w:rPr>
              <w:rFonts w:ascii="黑体" w:hAnsi="黑体" w:eastAsia="黑体" w:cs="Arial"/>
              <w:b/>
              <w:bCs/>
              <w:color w:val="auto"/>
              <w:sz w:val="28"/>
              <w:szCs w:val="28"/>
            </w:rPr>
          </w:pPr>
          <w:r>
            <w:rPr>
              <w:rFonts w:ascii="黑体" w:hAnsi="黑体" w:eastAsia="黑体" w:cs="Arial"/>
              <w:b/>
              <w:bCs/>
              <w:color w:val="auto"/>
              <w:sz w:val="28"/>
              <w:szCs w:val="28"/>
            </w:rPr>
            <w:t>目录</w:t>
          </w:r>
        </w:p>
        <w:p w14:paraId="3356D5B8">
          <w:pPr>
            <w:pStyle w:val="19"/>
            <w:tabs>
              <w:tab w:val="right" w:leader="dot" w:pos="8312"/>
            </w:tabs>
          </w:pPr>
          <w:r>
            <w:rPr>
              <w:rFonts w:ascii="仿宋" w:hAnsi="仿宋" w:eastAsia="仿宋" w:cs="Arial"/>
              <w:color w:val="0000FF"/>
            </w:rPr>
            <w:fldChar w:fldCharType="begin"/>
          </w:r>
          <w:r>
            <w:rPr>
              <w:rFonts w:ascii="仿宋" w:hAnsi="仿宋" w:eastAsia="仿宋" w:cs="Arial"/>
              <w:color w:val="0000FF"/>
            </w:rPr>
            <w:instrText xml:space="preserve">TOC \o "1-3" \h \u </w:instrText>
          </w:r>
          <w:r>
            <w:rPr>
              <w:rFonts w:ascii="仿宋" w:hAnsi="仿宋" w:eastAsia="仿宋" w:cs="Arial"/>
              <w:color w:val="0000FF"/>
            </w:rPr>
            <w:fldChar w:fldCharType="separate"/>
          </w:r>
          <w:r>
            <w:rPr>
              <w:rFonts w:ascii="仿宋" w:hAnsi="仿宋" w:eastAsia="仿宋" w:cs="Arial"/>
              <w:color w:val="0000FF"/>
            </w:rPr>
            <w:fldChar w:fldCharType="begin"/>
          </w:r>
          <w:r>
            <w:rPr>
              <w:rFonts w:ascii="仿宋" w:hAnsi="仿宋" w:eastAsia="仿宋" w:cs="Arial"/>
            </w:rPr>
            <w:instrText xml:space="preserve"> HYPERLINK \l _Toc1457596810 </w:instrText>
          </w:r>
          <w:r>
            <w:rPr>
              <w:rFonts w:ascii="仿宋" w:hAnsi="仿宋" w:eastAsia="仿宋" w:cs="Arial"/>
            </w:rPr>
            <w:fldChar w:fldCharType="separate"/>
          </w:r>
          <w:r>
            <w:t>名词释义</w:t>
          </w:r>
          <w:r>
            <w:tab/>
          </w:r>
          <w:r>
            <w:fldChar w:fldCharType="begin"/>
          </w:r>
          <w:r>
            <w:instrText xml:space="preserve"> PAGEREF _Toc1457596810 \h </w:instrText>
          </w:r>
          <w:r>
            <w:fldChar w:fldCharType="separate"/>
          </w:r>
          <w:r>
            <w:t>2</w:t>
          </w:r>
          <w:r>
            <w:fldChar w:fldCharType="end"/>
          </w:r>
          <w:r>
            <w:rPr>
              <w:rFonts w:ascii="仿宋" w:hAnsi="仿宋" w:eastAsia="仿宋" w:cs="Arial"/>
              <w:color w:val="0000FF"/>
            </w:rPr>
            <w:fldChar w:fldCharType="end"/>
          </w:r>
        </w:p>
        <w:p w14:paraId="05628192">
          <w:pPr>
            <w:pStyle w:val="19"/>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_Toc1483624341 </w:instrText>
          </w:r>
          <w:r>
            <w:rPr>
              <w:rFonts w:ascii="仿宋" w:hAnsi="仿宋" w:eastAsia="仿宋" w:cs="Arial"/>
            </w:rPr>
            <w:fldChar w:fldCharType="separate"/>
          </w:r>
          <w:r>
            <w:rPr>
              <w:rFonts w:hint="eastAsia"/>
            </w:rPr>
            <w:t xml:space="preserve">一、 </w:t>
          </w:r>
          <w:r>
            <w:rPr>
              <w:rFonts w:hint="eastAsia"/>
              <w:lang w:val="en-US" w:eastAsia="zh-CN"/>
            </w:rPr>
            <w:t>杭州佳量脑科学股份有限公司</w:t>
          </w:r>
          <w:r>
            <w:tab/>
          </w:r>
          <w:r>
            <w:fldChar w:fldCharType="begin"/>
          </w:r>
          <w:r>
            <w:instrText xml:space="preserve"> PAGEREF _Toc1483624341 \h </w:instrText>
          </w:r>
          <w:r>
            <w:fldChar w:fldCharType="separate"/>
          </w:r>
          <w:r>
            <w:t>7</w:t>
          </w:r>
          <w:r>
            <w:fldChar w:fldCharType="end"/>
          </w:r>
          <w:r>
            <w:rPr>
              <w:rFonts w:ascii="仿宋" w:hAnsi="仿宋" w:eastAsia="仿宋" w:cs="Arial"/>
              <w:color w:val="0000FF"/>
            </w:rPr>
            <w:fldChar w:fldCharType="end"/>
          </w:r>
        </w:p>
        <w:p w14:paraId="2B317774">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_Toc841673870 </w:instrText>
          </w:r>
          <w:r>
            <w:rPr>
              <w:rFonts w:ascii="仿宋" w:hAnsi="仿宋" w:eastAsia="仿宋" w:cs="Arial"/>
            </w:rPr>
            <w:fldChar w:fldCharType="separate"/>
          </w:r>
          <w:r>
            <w:rPr>
              <w:rFonts w:hint="eastAsia" w:ascii="楷体" w:hAnsi="楷体"/>
              <w:bCs/>
              <w:lang w:eastAsia="zh-CN"/>
            </w:rPr>
            <w:t xml:space="preserve">(一) </w:t>
          </w:r>
          <w:r>
            <w:rPr>
              <w:rFonts w:hint="eastAsia"/>
            </w:rPr>
            <w:t>公司介绍</w:t>
          </w:r>
          <w:r>
            <w:tab/>
          </w:r>
          <w:r>
            <w:fldChar w:fldCharType="begin"/>
          </w:r>
          <w:r>
            <w:instrText xml:space="preserve"> PAGEREF _Toc841673870 \h </w:instrText>
          </w:r>
          <w:r>
            <w:fldChar w:fldCharType="separate"/>
          </w:r>
          <w:r>
            <w:t>7</w:t>
          </w:r>
          <w:r>
            <w:fldChar w:fldCharType="end"/>
          </w:r>
          <w:r>
            <w:rPr>
              <w:rFonts w:ascii="仿宋" w:hAnsi="仿宋" w:eastAsia="仿宋" w:cs="Arial"/>
              <w:color w:val="0000FF"/>
            </w:rPr>
            <w:fldChar w:fldCharType="end"/>
          </w:r>
        </w:p>
        <w:p w14:paraId="31CBD79E">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_Toc537950301 </w:instrText>
          </w:r>
          <w:r>
            <w:rPr>
              <w:rFonts w:ascii="仿宋" w:hAnsi="仿宋" w:eastAsia="仿宋" w:cs="Arial"/>
            </w:rPr>
            <w:fldChar w:fldCharType="separate"/>
          </w:r>
          <w:r>
            <w:rPr>
              <w:rFonts w:hint="eastAsia"/>
              <w:lang w:eastAsia="zh-CN"/>
            </w:rPr>
            <w:t xml:space="preserve">(二) </w:t>
          </w:r>
          <w:r>
            <w:rPr>
              <w:rFonts w:hint="eastAsia"/>
            </w:rPr>
            <w:t>公司的基本信息与股权架构</w:t>
          </w:r>
          <w:r>
            <w:tab/>
          </w:r>
          <w:r>
            <w:fldChar w:fldCharType="begin"/>
          </w:r>
          <w:r>
            <w:instrText xml:space="preserve"> PAGEREF _Toc537950301 \h </w:instrText>
          </w:r>
          <w:r>
            <w:fldChar w:fldCharType="separate"/>
          </w:r>
          <w:r>
            <w:t>8</w:t>
          </w:r>
          <w:r>
            <w:fldChar w:fldCharType="end"/>
          </w:r>
          <w:r>
            <w:rPr>
              <w:rFonts w:ascii="仿宋" w:hAnsi="仿宋" w:eastAsia="仿宋" w:cs="Arial"/>
              <w:color w:val="0000FF"/>
            </w:rPr>
            <w:fldChar w:fldCharType="end"/>
          </w:r>
        </w:p>
        <w:p w14:paraId="1D3D4943">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_Toc424555037 </w:instrText>
          </w:r>
          <w:r>
            <w:rPr>
              <w:rFonts w:ascii="仿宋" w:hAnsi="仿宋" w:eastAsia="仿宋" w:cs="Arial"/>
            </w:rPr>
            <w:fldChar w:fldCharType="separate"/>
          </w:r>
          <w:r>
            <w:rPr>
              <w:rFonts w:hint="eastAsia"/>
              <w:lang w:eastAsia="zh-CN"/>
            </w:rPr>
            <w:t xml:space="preserve">(三) </w:t>
          </w:r>
          <w:r>
            <w:rPr>
              <w:rFonts w:hint="eastAsia"/>
            </w:rPr>
            <w:t>股权架构</w:t>
          </w:r>
          <w:r>
            <w:tab/>
          </w:r>
          <w:r>
            <w:fldChar w:fldCharType="begin"/>
          </w:r>
          <w:r>
            <w:instrText xml:space="preserve"> PAGEREF _Toc424555037 \h </w:instrText>
          </w:r>
          <w:r>
            <w:fldChar w:fldCharType="separate"/>
          </w:r>
          <w:r>
            <w:t>8</w:t>
          </w:r>
          <w:r>
            <w:fldChar w:fldCharType="end"/>
          </w:r>
          <w:r>
            <w:rPr>
              <w:rFonts w:ascii="仿宋" w:hAnsi="仿宋" w:eastAsia="仿宋" w:cs="Arial"/>
              <w:color w:val="0000FF"/>
            </w:rPr>
            <w:fldChar w:fldCharType="end"/>
          </w:r>
        </w:p>
        <w:p w14:paraId="57A14583">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_Toc1555831525 </w:instrText>
          </w:r>
          <w:r>
            <w:rPr>
              <w:rFonts w:ascii="仿宋" w:hAnsi="仿宋" w:eastAsia="仿宋" w:cs="Arial"/>
            </w:rPr>
            <w:fldChar w:fldCharType="separate"/>
          </w:r>
          <w:r>
            <w:rPr>
              <w:rFonts w:hint="eastAsia"/>
              <w:lang w:eastAsia="zh-CN"/>
            </w:rPr>
            <w:t xml:space="preserve">(四) </w:t>
          </w:r>
          <w:r>
            <w:rPr>
              <w:rFonts w:hint="eastAsia"/>
            </w:rPr>
            <w:t>公司历史沿革</w:t>
          </w:r>
          <w:r>
            <w:tab/>
          </w:r>
          <w:r>
            <w:fldChar w:fldCharType="begin"/>
          </w:r>
          <w:r>
            <w:instrText xml:space="preserve"> PAGEREF _Toc1555831525 \h </w:instrText>
          </w:r>
          <w:r>
            <w:fldChar w:fldCharType="separate"/>
          </w:r>
          <w:r>
            <w:t>10</w:t>
          </w:r>
          <w:r>
            <w:fldChar w:fldCharType="end"/>
          </w:r>
          <w:r>
            <w:rPr>
              <w:rFonts w:ascii="仿宋" w:hAnsi="仿宋" w:eastAsia="仿宋" w:cs="Arial"/>
              <w:color w:val="0000FF"/>
            </w:rPr>
            <w:fldChar w:fldCharType="end"/>
          </w:r>
        </w:p>
        <w:p w14:paraId="31DB586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_Toc1099554803 </w:instrText>
          </w:r>
          <w:r>
            <w:rPr>
              <w:rFonts w:ascii="仿宋" w:hAnsi="仿宋" w:eastAsia="仿宋" w:cs="Arial"/>
            </w:rPr>
            <w:fldChar w:fldCharType="separate"/>
          </w:r>
          <w:r>
            <w:rPr>
              <w:rFonts w:hint="eastAsia"/>
            </w:rPr>
            <w:t>1. 公司设立(202</w:t>
          </w:r>
          <w:r>
            <w:t>0</w:t>
          </w:r>
          <w:r>
            <w:rPr>
              <w:rFonts w:hint="eastAsia"/>
            </w:rPr>
            <w:t>年4月8日)</w:t>
          </w:r>
          <w:r>
            <w:tab/>
          </w:r>
          <w:r>
            <w:fldChar w:fldCharType="begin"/>
          </w:r>
          <w:r>
            <w:instrText xml:space="preserve"> PAGEREF _Toc1099554803 \h </w:instrText>
          </w:r>
          <w:r>
            <w:fldChar w:fldCharType="separate"/>
          </w:r>
          <w:r>
            <w:t>10</w:t>
          </w:r>
          <w:r>
            <w:fldChar w:fldCharType="end"/>
          </w:r>
          <w:r>
            <w:rPr>
              <w:rFonts w:ascii="仿宋" w:hAnsi="仿宋" w:eastAsia="仿宋" w:cs="Arial"/>
              <w:color w:val="0000FF"/>
            </w:rPr>
            <w:fldChar w:fldCharType="end"/>
          </w:r>
        </w:p>
        <w:p w14:paraId="38237746">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_Toc1120791586 </w:instrText>
          </w:r>
          <w:r>
            <w:rPr>
              <w:rFonts w:ascii="仿宋" w:hAnsi="仿宋" w:eastAsia="仿宋" w:cs="Arial"/>
            </w:rPr>
            <w:fldChar w:fldCharType="separate"/>
          </w:r>
          <w:r>
            <w:rPr>
              <w:rFonts w:hint="eastAsia"/>
            </w:rPr>
            <w:t>2. 种子轮融资(2020年6月)</w:t>
          </w:r>
          <w:r>
            <w:tab/>
          </w:r>
          <w:r>
            <w:fldChar w:fldCharType="begin"/>
          </w:r>
          <w:r>
            <w:instrText xml:space="preserve"> PAGEREF _Toc1120791586 \h </w:instrText>
          </w:r>
          <w:r>
            <w:fldChar w:fldCharType="separate"/>
          </w:r>
          <w:r>
            <w:t>11</w:t>
          </w:r>
          <w:r>
            <w:fldChar w:fldCharType="end"/>
          </w:r>
          <w:r>
            <w:rPr>
              <w:rFonts w:ascii="仿宋" w:hAnsi="仿宋" w:eastAsia="仿宋" w:cs="Arial"/>
              <w:color w:val="0000FF"/>
            </w:rPr>
            <w:fldChar w:fldCharType="end"/>
          </w:r>
        </w:p>
        <w:p w14:paraId="2F81E386">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_Toc1565118065 </w:instrText>
          </w:r>
          <w:r>
            <w:rPr>
              <w:rFonts w:ascii="仿宋" w:hAnsi="仿宋" w:eastAsia="仿宋" w:cs="Arial"/>
            </w:rPr>
            <w:fldChar w:fldCharType="separate"/>
          </w:r>
          <w:r>
            <w:rPr>
              <w:rFonts w:hint="eastAsia"/>
            </w:rPr>
            <w:t>3. 天使</w:t>
          </w:r>
          <w:r>
            <w:t>轮融资</w:t>
          </w:r>
          <w:r>
            <w:rPr>
              <w:rFonts w:hint="eastAsia"/>
            </w:rPr>
            <w:t>(</w:t>
          </w:r>
          <w:r>
            <w:t>202</w:t>
          </w:r>
          <w:r>
            <w:rPr>
              <w:rFonts w:hint="eastAsia"/>
            </w:rPr>
            <w:t>0</w:t>
          </w:r>
          <w:r>
            <w:t>年1</w:t>
          </w:r>
          <w:r>
            <w:rPr>
              <w:rFonts w:hint="eastAsia"/>
            </w:rPr>
            <w:t>1</w:t>
          </w:r>
          <w:r>
            <w:t>月</w:t>
          </w:r>
          <w:r>
            <w:rPr>
              <w:rFonts w:hint="eastAsia"/>
            </w:rPr>
            <w:t>)</w:t>
          </w:r>
          <w:r>
            <w:tab/>
          </w:r>
          <w:r>
            <w:fldChar w:fldCharType="begin"/>
          </w:r>
          <w:r>
            <w:instrText xml:space="preserve"> PAGEREF _Toc1565118065 \h </w:instrText>
          </w:r>
          <w:r>
            <w:fldChar w:fldCharType="separate"/>
          </w:r>
          <w:r>
            <w:t>11</w:t>
          </w:r>
          <w:r>
            <w:fldChar w:fldCharType="end"/>
          </w:r>
          <w:r>
            <w:rPr>
              <w:rFonts w:ascii="仿宋" w:hAnsi="仿宋" w:eastAsia="仿宋" w:cs="Arial"/>
              <w:color w:val="0000FF"/>
            </w:rPr>
            <w:fldChar w:fldCharType="end"/>
          </w:r>
        </w:p>
        <w:p w14:paraId="6BA98EE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_Toc412126352 </w:instrText>
          </w:r>
          <w:r>
            <w:rPr>
              <w:rFonts w:ascii="仿宋" w:hAnsi="仿宋" w:eastAsia="仿宋" w:cs="Arial"/>
            </w:rPr>
            <w:fldChar w:fldCharType="separate"/>
          </w:r>
          <w:r>
            <w:rPr>
              <w:rFonts w:hint="eastAsia"/>
            </w:rPr>
            <w:t xml:space="preserve">4. </w:t>
          </w:r>
          <w:r>
            <w:t>Pre-A</w:t>
          </w:r>
          <w:r>
            <w:rPr>
              <w:rFonts w:hint="eastAsia"/>
            </w:rPr>
            <w:t>轮融资(</w:t>
          </w:r>
          <w:r>
            <w:t>202</w:t>
          </w:r>
          <w:r>
            <w:rPr>
              <w:rFonts w:hint="eastAsia"/>
            </w:rPr>
            <w:t>0</w:t>
          </w:r>
          <w:r>
            <w:t>年</w:t>
          </w:r>
          <w:r>
            <w:rPr>
              <w:rFonts w:hint="eastAsia"/>
            </w:rPr>
            <w:t>12月)</w:t>
          </w:r>
          <w:r>
            <w:tab/>
          </w:r>
          <w:r>
            <w:fldChar w:fldCharType="begin"/>
          </w:r>
          <w:r>
            <w:instrText xml:space="preserve"> PAGEREF _Toc412126352 \h </w:instrText>
          </w:r>
          <w:r>
            <w:fldChar w:fldCharType="separate"/>
          </w:r>
          <w:r>
            <w:t>12</w:t>
          </w:r>
          <w:r>
            <w:fldChar w:fldCharType="end"/>
          </w:r>
          <w:r>
            <w:rPr>
              <w:rFonts w:ascii="仿宋" w:hAnsi="仿宋" w:eastAsia="仿宋" w:cs="Arial"/>
              <w:color w:val="0000FF"/>
            </w:rPr>
            <w:fldChar w:fldCharType="end"/>
          </w:r>
        </w:p>
        <w:p w14:paraId="50C59FA2">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_Toc972836489 </w:instrText>
          </w:r>
          <w:r>
            <w:rPr>
              <w:rFonts w:ascii="仿宋" w:hAnsi="仿宋" w:eastAsia="仿宋" w:cs="Arial"/>
            </w:rPr>
            <w:fldChar w:fldCharType="separate"/>
          </w:r>
          <w:r>
            <w:rPr>
              <w:rFonts w:hint="eastAsia"/>
            </w:rPr>
            <w:t xml:space="preserve">5. </w:t>
          </w:r>
          <w:r>
            <w:t>Pre-A</w:t>
          </w:r>
          <w:r>
            <w:rPr>
              <w:rFonts w:hint="eastAsia"/>
            </w:rPr>
            <w:t>+</w:t>
          </w:r>
          <w:r>
            <w:t>轮增资</w:t>
          </w:r>
          <w:r>
            <w:rPr>
              <w:rFonts w:hint="eastAsia"/>
            </w:rPr>
            <w:t>(</w:t>
          </w:r>
          <w:r>
            <w:t>202</w:t>
          </w:r>
          <w:r>
            <w:rPr>
              <w:rFonts w:hint="eastAsia"/>
            </w:rPr>
            <w:t>1</w:t>
          </w:r>
          <w:r>
            <w:t>年</w:t>
          </w:r>
          <w:r>
            <w:rPr>
              <w:rFonts w:hint="eastAsia"/>
            </w:rPr>
            <w:t>3月)</w:t>
          </w:r>
          <w:r>
            <w:tab/>
          </w:r>
          <w:r>
            <w:fldChar w:fldCharType="begin"/>
          </w:r>
          <w:r>
            <w:instrText xml:space="preserve"> PAGEREF _Toc972836489 \h </w:instrText>
          </w:r>
          <w:r>
            <w:fldChar w:fldCharType="separate"/>
          </w:r>
          <w:r>
            <w:t>12</w:t>
          </w:r>
          <w:r>
            <w:fldChar w:fldCharType="end"/>
          </w:r>
          <w:r>
            <w:rPr>
              <w:rFonts w:ascii="仿宋" w:hAnsi="仿宋" w:eastAsia="仿宋" w:cs="Arial"/>
              <w:color w:val="0000FF"/>
            </w:rPr>
            <w:fldChar w:fldCharType="end"/>
          </w:r>
        </w:p>
        <w:p w14:paraId="03CB22F9">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_Toc1669866012 </w:instrText>
          </w:r>
          <w:r>
            <w:rPr>
              <w:rFonts w:ascii="仿宋" w:hAnsi="仿宋" w:eastAsia="仿宋" w:cs="Arial"/>
            </w:rPr>
            <w:fldChar w:fldCharType="separate"/>
          </w:r>
          <w:r>
            <w:rPr>
              <w:rFonts w:hint="eastAsia"/>
            </w:rPr>
            <w:t>6. 员工股权激励增发(</w:t>
          </w:r>
          <w:r>
            <w:t>202</w:t>
          </w:r>
          <w:r>
            <w:rPr>
              <w:rFonts w:hint="eastAsia"/>
            </w:rPr>
            <w:t>1</w:t>
          </w:r>
          <w:r>
            <w:t>年</w:t>
          </w:r>
          <w:r>
            <w:rPr>
              <w:rFonts w:hint="eastAsia"/>
            </w:rPr>
            <w:t>4月)</w:t>
          </w:r>
          <w:r>
            <w:tab/>
          </w:r>
          <w:r>
            <w:fldChar w:fldCharType="begin"/>
          </w:r>
          <w:r>
            <w:instrText xml:space="preserve"> PAGEREF _Toc1669866012 \h </w:instrText>
          </w:r>
          <w:r>
            <w:fldChar w:fldCharType="separate"/>
          </w:r>
          <w:r>
            <w:t>13</w:t>
          </w:r>
          <w:r>
            <w:fldChar w:fldCharType="end"/>
          </w:r>
          <w:r>
            <w:rPr>
              <w:rFonts w:ascii="仿宋" w:hAnsi="仿宋" w:eastAsia="仿宋" w:cs="Arial"/>
              <w:color w:val="0000FF"/>
            </w:rPr>
            <w:fldChar w:fldCharType="end"/>
          </w:r>
        </w:p>
        <w:p w14:paraId="6103C40D">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_Toc2121764688 </w:instrText>
          </w:r>
          <w:r>
            <w:rPr>
              <w:rFonts w:ascii="仿宋" w:hAnsi="仿宋" w:eastAsia="仿宋" w:cs="Arial"/>
            </w:rPr>
            <w:fldChar w:fldCharType="separate"/>
          </w:r>
          <w:r>
            <w:rPr>
              <w:rFonts w:hint="eastAsia"/>
            </w:rPr>
            <w:t>7. A轮融资(</w:t>
          </w:r>
          <w:r>
            <w:t>202</w:t>
          </w:r>
          <w:r>
            <w:rPr>
              <w:rFonts w:hint="eastAsia"/>
            </w:rPr>
            <w:t>1</w:t>
          </w:r>
          <w:r>
            <w:t>年</w:t>
          </w:r>
          <w:r>
            <w:rPr>
              <w:rFonts w:hint="eastAsia"/>
            </w:rPr>
            <w:t>5月)</w:t>
          </w:r>
          <w:r>
            <w:tab/>
          </w:r>
          <w:r>
            <w:fldChar w:fldCharType="begin"/>
          </w:r>
          <w:r>
            <w:instrText xml:space="preserve"> PAGEREF _Toc2121764688 \h </w:instrText>
          </w:r>
          <w:r>
            <w:fldChar w:fldCharType="separate"/>
          </w:r>
          <w:r>
            <w:t>14</w:t>
          </w:r>
          <w:r>
            <w:fldChar w:fldCharType="end"/>
          </w:r>
          <w:r>
            <w:rPr>
              <w:rFonts w:ascii="仿宋" w:hAnsi="仿宋" w:eastAsia="仿宋" w:cs="Arial"/>
              <w:color w:val="0000FF"/>
            </w:rPr>
            <w:fldChar w:fldCharType="end"/>
          </w:r>
        </w:p>
        <w:p w14:paraId="06EBB952">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_Toc1533152781 </w:instrText>
          </w:r>
          <w:r>
            <w:rPr>
              <w:rFonts w:ascii="仿宋" w:hAnsi="仿宋" w:eastAsia="仿宋" w:cs="Arial"/>
            </w:rPr>
            <w:fldChar w:fldCharType="separate"/>
          </w:r>
          <w:r>
            <w:rPr>
              <w:rFonts w:hint="eastAsia"/>
            </w:rPr>
            <w:t>8. B</w:t>
          </w:r>
          <w:r>
            <w:t>轮</w:t>
          </w:r>
          <w:r>
            <w:rPr>
              <w:rFonts w:hint="eastAsia"/>
            </w:rPr>
            <w:t>融</w:t>
          </w:r>
          <w:r>
            <w:t>资</w:t>
          </w:r>
          <w:r>
            <w:rPr>
              <w:rFonts w:hint="eastAsia"/>
            </w:rPr>
            <w:t>（含</w:t>
          </w:r>
          <w:r>
            <w:t>B-1</w:t>
          </w:r>
          <w:r>
            <w:rPr>
              <w:rFonts w:hint="eastAsia"/>
            </w:rPr>
            <w:t>/B-2</w:t>
          </w:r>
          <w:r>
            <w:t>/B-3</w:t>
          </w:r>
          <w:r>
            <w:rPr>
              <w:rFonts w:hint="eastAsia"/>
            </w:rPr>
            <w:t>）(</w:t>
          </w:r>
          <w:r>
            <w:t>202</w:t>
          </w:r>
          <w:r>
            <w:rPr>
              <w:rFonts w:hint="eastAsia"/>
            </w:rPr>
            <w:t>1</w:t>
          </w:r>
          <w:r>
            <w:t>年</w:t>
          </w:r>
          <w:r>
            <w:rPr>
              <w:rFonts w:hint="eastAsia"/>
            </w:rPr>
            <w:t>9-12月)</w:t>
          </w:r>
          <w:r>
            <w:tab/>
          </w:r>
          <w:r>
            <w:fldChar w:fldCharType="begin"/>
          </w:r>
          <w:r>
            <w:instrText xml:space="preserve"> PAGEREF _Toc1533152781 \h </w:instrText>
          </w:r>
          <w:r>
            <w:fldChar w:fldCharType="separate"/>
          </w:r>
          <w:r>
            <w:t>14</w:t>
          </w:r>
          <w:r>
            <w:fldChar w:fldCharType="end"/>
          </w:r>
          <w:r>
            <w:rPr>
              <w:rFonts w:ascii="仿宋" w:hAnsi="仿宋" w:eastAsia="仿宋" w:cs="Arial"/>
              <w:color w:val="0000FF"/>
            </w:rPr>
            <w:fldChar w:fldCharType="end"/>
          </w:r>
        </w:p>
        <w:p w14:paraId="2B1FB05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_Toc42509914 </w:instrText>
          </w:r>
          <w:r>
            <w:rPr>
              <w:rFonts w:ascii="仿宋" w:hAnsi="仿宋" w:eastAsia="仿宋" w:cs="Arial"/>
            </w:rPr>
            <w:fldChar w:fldCharType="separate"/>
          </w:r>
          <w:r>
            <w:rPr>
              <w:rFonts w:hint="eastAsia"/>
            </w:rPr>
            <w:t xml:space="preserve">9. </w:t>
          </w:r>
          <w:r>
            <w:t>B+</w:t>
          </w:r>
          <w:r>
            <w:rPr>
              <w:rFonts w:hint="eastAsia"/>
            </w:rPr>
            <w:t>轮</w:t>
          </w:r>
          <w:r>
            <w:t>增资</w:t>
          </w:r>
          <w:r>
            <w:rPr>
              <w:rFonts w:hint="eastAsia"/>
            </w:rPr>
            <w:t>（增资+老股转让）(</w:t>
          </w:r>
          <w:r>
            <w:t>2023年9</w:t>
          </w:r>
          <w:r>
            <w:rPr>
              <w:rFonts w:hint="eastAsia"/>
            </w:rPr>
            <w:t>月)</w:t>
          </w:r>
          <w:r>
            <w:tab/>
          </w:r>
          <w:r>
            <w:fldChar w:fldCharType="begin"/>
          </w:r>
          <w:r>
            <w:instrText xml:space="preserve"> PAGEREF _Toc42509914 \h </w:instrText>
          </w:r>
          <w:r>
            <w:fldChar w:fldCharType="separate"/>
          </w:r>
          <w:r>
            <w:t>15</w:t>
          </w:r>
          <w:r>
            <w:fldChar w:fldCharType="end"/>
          </w:r>
          <w:r>
            <w:rPr>
              <w:rFonts w:ascii="仿宋" w:hAnsi="仿宋" w:eastAsia="仿宋" w:cs="Arial"/>
              <w:color w:val="0000FF"/>
            </w:rPr>
            <w:fldChar w:fldCharType="end"/>
          </w:r>
        </w:p>
        <w:p w14:paraId="11BE28B3">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_Toc1499553794 </w:instrText>
          </w:r>
          <w:r>
            <w:rPr>
              <w:rFonts w:ascii="仿宋" w:hAnsi="仿宋" w:eastAsia="仿宋" w:cs="Arial"/>
            </w:rPr>
            <w:fldChar w:fldCharType="separate"/>
          </w:r>
          <w:r>
            <w:rPr>
              <w:rFonts w:hint="eastAsia"/>
            </w:rPr>
            <w:t>10. 老股转让（无增资）(</w:t>
          </w:r>
          <w:r>
            <w:t>2023年</w:t>
          </w:r>
          <w:r>
            <w:rPr>
              <w:rFonts w:hint="eastAsia"/>
            </w:rPr>
            <w:t>12月)</w:t>
          </w:r>
          <w:r>
            <w:tab/>
          </w:r>
          <w:r>
            <w:fldChar w:fldCharType="begin"/>
          </w:r>
          <w:r>
            <w:instrText xml:space="preserve"> PAGEREF _Toc1499553794 \h </w:instrText>
          </w:r>
          <w:r>
            <w:fldChar w:fldCharType="separate"/>
          </w:r>
          <w:r>
            <w:t>16</w:t>
          </w:r>
          <w:r>
            <w:fldChar w:fldCharType="end"/>
          </w:r>
          <w:r>
            <w:rPr>
              <w:rFonts w:ascii="仿宋" w:hAnsi="仿宋" w:eastAsia="仿宋" w:cs="Arial"/>
              <w:color w:val="0000FF"/>
            </w:rPr>
            <w:fldChar w:fldCharType="end"/>
          </w:r>
        </w:p>
        <w:p w14:paraId="4756D646">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_Toc132534566 </w:instrText>
          </w:r>
          <w:r>
            <w:rPr>
              <w:rFonts w:ascii="仿宋" w:hAnsi="仿宋" w:eastAsia="仿宋" w:cs="Arial"/>
            </w:rPr>
            <w:fldChar w:fldCharType="separate"/>
          </w:r>
          <w:r>
            <w:rPr>
              <w:rFonts w:hint="eastAsia"/>
            </w:rPr>
            <w:t>11. 股权变更（4.81%股权转让）(</w:t>
          </w:r>
          <w:r>
            <w:t>202</w:t>
          </w:r>
          <w:r>
            <w:rPr>
              <w:rFonts w:hint="eastAsia"/>
            </w:rPr>
            <w:t>5</w:t>
          </w:r>
          <w:r>
            <w:t>年</w:t>
          </w:r>
          <w:r>
            <w:rPr>
              <w:rFonts w:hint="eastAsia"/>
            </w:rPr>
            <w:t>6月10日)</w:t>
          </w:r>
          <w:r>
            <w:tab/>
          </w:r>
          <w:r>
            <w:fldChar w:fldCharType="begin"/>
          </w:r>
          <w:r>
            <w:instrText xml:space="preserve"> PAGEREF _Toc132534566 \h </w:instrText>
          </w:r>
          <w:r>
            <w:fldChar w:fldCharType="separate"/>
          </w:r>
          <w:r>
            <w:t>16</w:t>
          </w:r>
          <w:r>
            <w:fldChar w:fldCharType="end"/>
          </w:r>
          <w:r>
            <w:rPr>
              <w:rFonts w:ascii="仿宋" w:hAnsi="仿宋" w:eastAsia="仿宋" w:cs="Arial"/>
              <w:color w:val="0000FF"/>
            </w:rPr>
            <w:fldChar w:fldCharType="end"/>
          </w:r>
        </w:p>
        <w:p w14:paraId="305ECF48">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_Toc567908823 </w:instrText>
          </w:r>
          <w:r>
            <w:rPr>
              <w:rFonts w:ascii="仿宋" w:hAnsi="仿宋" w:eastAsia="仿宋" w:cs="Arial"/>
            </w:rPr>
            <w:fldChar w:fldCharType="separate"/>
          </w:r>
          <w:r>
            <w:rPr>
              <w:rFonts w:hint="eastAsia"/>
            </w:rPr>
            <w:t xml:space="preserve">12. </w:t>
          </w:r>
          <w:r>
            <w:rPr>
              <w:rFonts w:hint="eastAsia"/>
              <w:lang w:val="en-US" w:eastAsia="zh-CN"/>
            </w:rPr>
            <w:t>C轮融资（2026年3月30日）</w:t>
          </w:r>
          <w:r>
            <w:tab/>
          </w:r>
          <w:r>
            <w:fldChar w:fldCharType="begin"/>
          </w:r>
          <w:r>
            <w:instrText xml:space="preserve"> PAGEREF _Toc567908823 \h </w:instrText>
          </w:r>
          <w:r>
            <w:fldChar w:fldCharType="separate"/>
          </w:r>
          <w:r>
            <w:t>17</w:t>
          </w:r>
          <w:r>
            <w:fldChar w:fldCharType="end"/>
          </w:r>
          <w:r>
            <w:rPr>
              <w:rFonts w:ascii="仿宋" w:hAnsi="仿宋" w:eastAsia="仿宋" w:cs="Arial"/>
              <w:color w:val="0000FF"/>
            </w:rPr>
            <w:fldChar w:fldCharType="end"/>
          </w:r>
        </w:p>
        <w:p w14:paraId="56BF4E08">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_Toc1426260893 </w:instrText>
          </w:r>
          <w:r>
            <w:rPr>
              <w:rFonts w:ascii="仿宋" w:hAnsi="仿宋" w:eastAsia="仿宋" w:cs="Arial"/>
            </w:rPr>
            <w:fldChar w:fldCharType="separate"/>
          </w:r>
          <w:r>
            <w:rPr>
              <w:rFonts w:hint="eastAsia"/>
              <w:lang w:eastAsia="zh-CN"/>
            </w:rPr>
            <w:t xml:space="preserve">(五) </w:t>
          </w:r>
          <w:r>
            <w:rPr>
              <w:rFonts w:hint="eastAsia"/>
            </w:rPr>
            <w:t>经营团队</w:t>
          </w:r>
          <w:r>
            <w:tab/>
          </w:r>
          <w:r>
            <w:fldChar w:fldCharType="begin"/>
          </w:r>
          <w:r>
            <w:instrText xml:space="preserve"> PAGEREF _Toc1426260893 \h </w:instrText>
          </w:r>
          <w:r>
            <w:fldChar w:fldCharType="separate"/>
          </w:r>
          <w:r>
            <w:t>19</w:t>
          </w:r>
          <w:r>
            <w:fldChar w:fldCharType="end"/>
          </w:r>
          <w:r>
            <w:rPr>
              <w:rFonts w:ascii="仿宋" w:hAnsi="仿宋" w:eastAsia="仿宋" w:cs="Arial"/>
              <w:color w:val="0000FF"/>
            </w:rPr>
            <w:fldChar w:fldCharType="end"/>
          </w:r>
        </w:p>
        <w:p w14:paraId="493224A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_Toc954360837 </w:instrText>
          </w:r>
          <w:r>
            <w:rPr>
              <w:rFonts w:ascii="仿宋" w:hAnsi="仿宋" w:eastAsia="仿宋" w:cs="Arial"/>
            </w:rPr>
            <w:fldChar w:fldCharType="separate"/>
          </w:r>
          <w:r>
            <w:rPr>
              <w:rFonts w:hint="eastAsia"/>
            </w:rPr>
            <w:t>1. 团队架构</w:t>
          </w:r>
          <w:r>
            <w:tab/>
          </w:r>
          <w:r>
            <w:fldChar w:fldCharType="begin"/>
          </w:r>
          <w:r>
            <w:instrText xml:space="preserve"> PAGEREF _Toc954360837 \h </w:instrText>
          </w:r>
          <w:r>
            <w:fldChar w:fldCharType="separate"/>
          </w:r>
          <w:r>
            <w:t>19</w:t>
          </w:r>
          <w:r>
            <w:fldChar w:fldCharType="end"/>
          </w:r>
          <w:r>
            <w:rPr>
              <w:rFonts w:ascii="仿宋" w:hAnsi="仿宋" w:eastAsia="仿宋" w:cs="Arial"/>
              <w:color w:val="0000FF"/>
            </w:rPr>
            <w:fldChar w:fldCharType="end"/>
          </w:r>
        </w:p>
        <w:p w14:paraId="2296997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_Toc387228016 </w:instrText>
          </w:r>
          <w:r>
            <w:rPr>
              <w:rFonts w:ascii="仿宋" w:hAnsi="仿宋" w:eastAsia="仿宋" w:cs="Arial"/>
            </w:rPr>
            <w:fldChar w:fldCharType="separate"/>
          </w:r>
          <w:r>
            <w:rPr>
              <w:rFonts w:hint="eastAsia"/>
            </w:rPr>
            <w:t>2. 联合创始人团队</w:t>
          </w:r>
          <w:r>
            <w:tab/>
          </w:r>
          <w:r>
            <w:fldChar w:fldCharType="begin"/>
          </w:r>
          <w:r>
            <w:instrText xml:space="preserve"> PAGEREF _Toc387228016 \h </w:instrText>
          </w:r>
          <w:r>
            <w:fldChar w:fldCharType="separate"/>
          </w:r>
          <w:r>
            <w:t>20</w:t>
          </w:r>
          <w:r>
            <w:fldChar w:fldCharType="end"/>
          </w:r>
          <w:r>
            <w:rPr>
              <w:rFonts w:ascii="仿宋" w:hAnsi="仿宋" w:eastAsia="仿宋" w:cs="Arial"/>
              <w:color w:val="0000FF"/>
            </w:rPr>
            <w:fldChar w:fldCharType="end"/>
          </w:r>
        </w:p>
        <w:p w14:paraId="4DA2ED6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_Toc1265814502 </w:instrText>
          </w:r>
          <w:r>
            <w:rPr>
              <w:rFonts w:ascii="仿宋" w:hAnsi="仿宋" w:eastAsia="仿宋" w:cs="Arial"/>
            </w:rPr>
            <w:fldChar w:fldCharType="separate"/>
          </w:r>
          <w:r>
            <w:t>（1） 曹鹏</w:t>
          </w:r>
          <w:r>
            <w:tab/>
          </w:r>
          <w:r>
            <w:fldChar w:fldCharType="begin"/>
          </w:r>
          <w:r>
            <w:instrText xml:space="preserve"> PAGEREF _Toc1265814502 \h </w:instrText>
          </w:r>
          <w:r>
            <w:fldChar w:fldCharType="separate"/>
          </w:r>
          <w:r>
            <w:t>20</w:t>
          </w:r>
          <w:r>
            <w:fldChar w:fldCharType="end"/>
          </w:r>
          <w:r>
            <w:rPr>
              <w:rFonts w:ascii="仿宋" w:hAnsi="仿宋" w:eastAsia="仿宋" w:cs="Arial"/>
              <w:color w:val="0000FF"/>
            </w:rPr>
            <w:fldChar w:fldCharType="end"/>
          </w:r>
        </w:p>
        <w:p w14:paraId="7769EA7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_Toc1571327932 </w:instrText>
          </w:r>
          <w:r>
            <w:rPr>
              <w:rFonts w:ascii="仿宋" w:hAnsi="仿宋" w:eastAsia="仿宋" w:cs="Arial"/>
            </w:rPr>
            <w:fldChar w:fldCharType="separate"/>
          </w:r>
          <w:r>
            <w:t>（2） 曾燕</w:t>
          </w:r>
          <w:r>
            <w:tab/>
          </w:r>
          <w:r>
            <w:fldChar w:fldCharType="begin"/>
          </w:r>
          <w:r>
            <w:instrText xml:space="preserve"> PAGEREF _Toc1571327932 \h </w:instrText>
          </w:r>
          <w:r>
            <w:fldChar w:fldCharType="separate"/>
          </w:r>
          <w:r>
            <w:t>20</w:t>
          </w:r>
          <w:r>
            <w:fldChar w:fldCharType="end"/>
          </w:r>
          <w:r>
            <w:rPr>
              <w:rFonts w:ascii="仿宋" w:hAnsi="仿宋" w:eastAsia="仿宋" w:cs="Arial"/>
              <w:color w:val="0000FF"/>
            </w:rPr>
            <w:fldChar w:fldCharType="end"/>
          </w:r>
        </w:p>
        <w:p w14:paraId="11E6BA7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_Toc1702145965 </w:instrText>
          </w:r>
          <w:r>
            <w:rPr>
              <w:rFonts w:ascii="仿宋" w:hAnsi="仿宋" w:eastAsia="仿宋" w:cs="Arial"/>
            </w:rPr>
            <w:fldChar w:fldCharType="separate"/>
          </w:r>
          <w:r>
            <w:t>（3） 贺循</w:t>
          </w:r>
          <w:r>
            <w:tab/>
          </w:r>
          <w:r>
            <w:fldChar w:fldCharType="begin"/>
          </w:r>
          <w:r>
            <w:instrText xml:space="preserve"> PAGEREF _Toc1702145965 \h </w:instrText>
          </w:r>
          <w:r>
            <w:fldChar w:fldCharType="separate"/>
          </w:r>
          <w:r>
            <w:t>21</w:t>
          </w:r>
          <w:r>
            <w:fldChar w:fldCharType="end"/>
          </w:r>
          <w:r>
            <w:rPr>
              <w:rFonts w:ascii="仿宋" w:hAnsi="仿宋" w:eastAsia="仿宋" w:cs="Arial"/>
              <w:color w:val="0000FF"/>
            </w:rPr>
            <w:fldChar w:fldCharType="end"/>
          </w:r>
        </w:p>
        <w:p w14:paraId="07B7930D">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_Toc1337572068 </w:instrText>
          </w:r>
          <w:r>
            <w:rPr>
              <w:rFonts w:ascii="仿宋" w:hAnsi="仿宋" w:eastAsia="仿宋" w:cs="Arial"/>
            </w:rPr>
            <w:fldChar w:fldCharType="separate"/>
          </w:r>
          <w:r>
            <w:t xml:space="preserve">（4） </w:t>
          </w:r>
          <w:r>
            <w:rPr>
              <w:rFonts w:hint="eastAsia"/>
              <w:lang w:val="en-US" w:eastAsia="zh-CN"/>
            </w:rPr>
            <w:t>贾佳</w:t>
          </w:r>
          <w:r>
            <w:tab/>
          </w:r>
          <w:r>
            <w:fldChar w:fldCharType="begin"/>
          </w:r>
          <w:r>
            <w:instrText xml:space="preserve"> PAGEREF _Toc1337572068 \h </w:instrText>
          </w:r>
          <w:r>
            <w:fldChar w:fldCharType="separate"/>
          </w:r>
          <w:r>
            <w:t>21</w:t>
          </w:r>
          <w:r>
            <w:fldChar w:fldCharType="end"/>
          </w:r>
          <w:r>
            <w:rPr>
              <w:rFonts w:ascii="仿宋" w:hAnsi="仿宋" w:eastAsia="仿宋" w:cs="Arial"/>
              <w:color w:val="0000FF"/>
            </w:rPr>
            <w:fldChar w:fldCharType="end"/>
          </w:r>
        </w:p>
        <w:p w14:paraId="0425E35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_Toc714930080 </w:instrText>
          </w:r>
          <w:r>
            <w:rPr>
              <w:rFonts w:ascii="仿宋" w:hAnsi="仿宋" w:eastAsia="仿宋" w:cs="Arial"/>
            </w:rPr>
            <w:fldChar w:fldCharType="separate"/>
          </w:r>
          <w:r>
            <w:rPr>
              <w:rFonts w:hint="eastAsia"/>
              <w:lang w:val="en-US" w:eastAsia="zh-CN"/>
            </w:rPr>
            <w:t>（5） 李冰莹</w:t>
          </w:r>
          <w:r>
            <w:tab/>
          </w:r>
          <w:r>
            <w:fldChar w:fldCharType="begin"/>
          </w:r>
          <w:r>
            <w:instrText xml:space="preserve"> PAGEREF _Toc714930080 \h </w:instrText>
          </w:r>
          <w:r>
            <w:fldChar w:fldCharType="separate"/>
          </w:r>
          <w:r>
            <w:t>21</w:t>
          </w:r>
          <w:r>
            <w:fldChar w:fldCharType="end"/>
          </w:r>
          <w:r>
            <w:rPr>
              <w:rFonts w:ascii="仿宋" w:hAnsi="仿宋" w:eastAsia="仿宋" w:cs="Arial"/>
              <w:color w:val="0000FF"/>
            </w:rPr>
            <w:fldChar w:fldCharType="end"/>
          </w:r>
        </w:p>
        <w:p w14:paraId="25A85636">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_Toc658849595 </w:instrText>
          </w:r>
          <w:r>
            <w:rPr>
              <w:rFonts w:ascii="仿宋" w:hAnsi="仿宋" w:eastAsia="仿宋" w:cs="Arial"/>
            </w:rPr>
            <w:fldChar w:fldCharType="separate"/>
          </w:r>
          <w:r>
            <w:rPr>
              <w:rFonts w:hint="eastAsia"/>
              <w:lang w:val="en-US" w:eastAsia="zh-CN"/>
            </w:rPr>
            <w:t>（6） 夏良道</w:t>
          </w:r>
          <w:r>
            <w:tab/>
          </w:r>
          <w:r>
            <w:fldChar w:fldCharType="begin"/>
          </w:r>
          <w:r>
            <w:instrText xml:space="preserve"> PAGEREF _Toc658849595 \h </w:instrText>
          </w:r>
          <w:r>
            <w:fldChar w:fldCharType="separate"/>
          </w:r>
          <w:r>
            <w:t>22</w:t>
          </w:r>
          <w:r>
            <w:fldChar w:fldCharType="end"/>
          </w:r>
          <w:r>
            <w:rPr>
              <w:rFonts w:ascii="仿宋" w:hAnsi="仿宋" w:eastAsia="仿宋" w:cs="Arial"/>
              <w:color w:val="0000FF"/>
            </w:rPr>
            <w:fldChar w:fldCharType="end"/>
          </w:r>
        </w:p>
        <w:p w14:paraId="71474FD4">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_Toc859459233 </w:instrText>
          </w:r>
          <w:r>
            <w:rPr>
              <w:rFonts w:ascii="仿宋" w:hAnsi="仿宋" w:eastAsia="仿宋" w:cs="Arial"/>
            </w:rPr>
            <w:fldChar w:fldCharType="separate"/>
          </w:r>
          <w:r>
            <w:rPr>
              <w:rFonts w:hint="eastAsia"/>
              <w:lang w:eastAsia="zh-CN"/>
            </w:rPr>
            <w:t xml:space="preserve">(六) </w:t>
          </w:r>
          <w:r>
            <w:rPr>
              <w:rFonts w:hint="eastAsia"/>
            </w:rPr>
            <w:t>知识产权</w:t>
          </w:r>
          <w:r>
            <w:tab/>
          </w:r>
          <w:r>
            <w:fldChar w:fldCharType="begin"/>
          </w:r>
          <w:r>
            <w:instrText xml:space="preserve"> PAGEREF _Toc859459233 \h </w:instrText>
          </w:r>
          <w:r>
            <w:fldChar w:fldCharType="separate"/>
          </w:r>
          <w:r>
            <w:t>22</w:t>
          </w:r>
          <w:r>
            <w:fldChar w:fldCharType="end"/>
          </w:r>
          <w:r>
            <w:rPr>
              <w:rFonts w:ascii="仿宋" w:hAnsi="仿宋" w:eastAsia="仿宋" w:cs="Arial"/>
              <w:color w:val="0000FF"/>
            </w:rPr>
            <w:fldChar w:fldCharType="end"/>
          </w:r>
        </w:p>
        <w:p w14:paraId="1622B49D">
          <w:pPr>
            <w:pStyle w:val="19"/>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_Toc956319309 </w:instrText>
          </w:r>
          <w:r>
            <w:rPr>
              <w:rFonts w:ascii="仿宋" w:hAnsi="仿宋" w:eastAsia="仿宋" w:cs="Arial"/>
            </w:rPr>
            <w:fldChar w:fldCharType="separate"/>
          </w:r>
          <w:r>
            <w:rPr>
              <w:rFonts w:hint="eastAsia"/>
            </w:rPr>
            <w:t xml:space="preserve">二、 </w:t>
          </w:r>
          <w:r>
            <w:rPr>
              <w:rFonts w:hint="eastAsia"/>
              <w:lang w:val="en-US" w:eastAsia="zh-CN"/>
            </w:rPr>
            <w:t>产品管线及研发进展</w:t>
          </w:r>
          <w:r>
            <w:tab/>
          </w:r>
          <w:r>
            <w:fldChar w:fldCharType="begin"/>
          </w:r>
          <w:r>
            <w:instrText xml:space="preserve"> PAGEREF _Toc956319309 \h </w:instrText>
          </w:r>
          <w:r>
            <w:fldChar w:fldCharType="separate"/>
          </w:r>
          <w:r>
            <w:t>24</w:t>
          </w:r>
          <w:r>
            <w:fldChar w:fldCharType="end"/>
          </w:r>
          <w:r>
            <w:rPr>
              <w:rFonts w:ascii="仿宋" w:hAnsi="仿宋" w:eastAsia="仿宋" w:cs="Arial"/>
              <w:color w:val="0000FF"/>
            </w:rPr>
            <w:fldChar w:fldCharType="end"/>
          </w:r>
        </w:p>
        <w:p w14:paraId="16F4AF75">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_Toc1091012215 </w:instrText>
          </w:r>
          <w:r>
            <w:rPr>
              <w:rFonts w:ascii="仿宋" w:hAnsi="仿宋" w:eastAsia="仿宋" w:cs="Arial"/>
            </w:rPr>
            <w:fldChar w:fldCharType="separate"/>
          </w:r>
          <w:r>
            <w:rPr>
              <w:rFonts w:hint="eastAsia"/>
              <w:lang w:eastAsia="zh-CN"/>
            </w:rPr>
            <w:t xml:space="preserve">(一) </w:t>
          </w:r>
          <w:r>
            <w:rPr>
              <w:rFonts w:hint="eastAsia"/>
              <w:lang w:val="en-US" w:eastAsia="zh-CN"/>
            </w:rPr>
            <w:t>管线分析</w:t>
          </w:r>
          <w:r>
            <w:tab/>
          </w:r>
          <w:r>
            <w:fldChar w:fldCharType="begin"/>
          </w:r>
          <w:r>
            <w:instrText xml:space="preserve"> PAGEREF _Toc1091012215 \h </w:instrText>
          </w:r>
          <w:r>
            <w:fldChar w:fldCharType="separate"/>
          </w:r>
          <w:r>
            <w:t>25</w:t>
          </w:r>
          <w:r>
            <w:fldChar w:fldCharType="end"/>
          </w:r>
          <w:r>
            <w:rPr>
              <w:rFonts w:ascii="仿宋" w:hAnsi="仿宋" w:eastAsia="仿宋" w:cs="Arial"/>
              <w:color w:val="0000FF"/>
            </w:rPr>
            <w:fldChar w:fldCharType="end"/>
          </w:r>
        </w:p>
        <w:p w14:paraId="7E5A9152">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_Toc1426919419 </w:instrText>
          </w:r>
          <w:r>
            <w:rPr>
              <w:rFonts w:ascii="仿宋" w:hAnsi="仿宋" w:eastAsia="仿宋" w:cs="Arial"/>
            </w:rPr>
            <w:fldChar w:fldCharType="separate"/>
          </w:r>
          <w:r>
            <w:rPr>
              <w:rFonts w:hint="eastAsia"/>
            </w:rPr>
            <w:t xml:space="preserve">1. </w:t>
          </w:r>
          <w:r>
            <w:t>Epilcure植入式神经刺激系统（RNS反应性神经调控）</w:t>
          </w:r>
          <w:r>
            <w:tab/>
          </w:r>
          <w:r>
            <w:fldChar w:fldCharType="begin"/>
          </w:r>
          <w:r>
            <w:instrText xml:space="preserve"> PAGEREF _Toc1426919419 \h </w:instrText>
          </w:r>
          <w:r>
            <w:fldChar w:fldCharType="separate"/>
          </w:r>
          <w:r>
            <w:t>25</w:t>
          </w:r>
          <w:r>
            <w:fldChar w:fldCharType="end"/>
          </w:r>
          <w:r>
            <w:rPr>
              <w:rFonts w:ascii="仿宋" w:hAnsi="仿宋" w:eastAsia="仿宋" w:cs="Arial"/>
              <w:color w:val="0000FF"/>
            </w:rPr>
            <w:fldChar w:fldCharType="end"/>
          </w:r>
        </w:p>
        <w:p w14:paraId="4DE2FBCD">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_Toc1284789084 </w:instrText>
          </w:r>
          <w:r>
            <w:rPr>
              <w:rFonts w:ascii="仿宋" w:hAnsi="仿宋" w:eastAsia="仿宋" w:cs="Arial"/>
            </w:rPr>
            <w:fldChar w:fldCharType="separate"/>
          </w:r>
          <w:r>
            <w:t>（1） 行业背景</w:t>
          </w:r>
          <w:r>
            <w:tab/>
          </w:r>
          <w:r>
            <w:fldChar w:fldCharType="begin"/>
          </w:r>
          <w:r>
            <w:instrText xml:space="preserve"> PAGEREF _Toc1284789084 \h </w:instrText>
          </w:r>
          <w:r>
            <w:fldChar w:fldCharType="separate"/>
          </w:r>
          <w:r>
            <w:t>25</w:t>
          </w:r>
          <w:r>
            <w:fldChar w:fldCharType="end"/>
          </w:r>
          <w:r>
            <w:rPr>
              <w:rFonts w:ascii="仿宋" w:hAnsi="仿宋" w:eastAsia="仿宋" w:cs="Arial"/>
              <w:color w:val="0000FF"/>
            </w:rPr>
            <w:fldChar w:fldCharType="end"/>
          </w:r>
        </w:p>
        <w:p w14:paraId="4E961F4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_Toc502064203 </w:instrText>
          </w:r>
          <w:r>
            <w:rPr>
              <w:rFonts w:ascii="仿宋" w:hAnsi="仿宋" w:eastAsia="仿宋" w:cs="Arial"/>
            </w:rPr>
            <w:fldChar w:fldCharType="separate"/>
          </w:r>
          <w:r>
            <w:t>（2） 技术原理</w:t>
          </w:r>
          <w:r>
            <w:tab/>
          </w:r>
          <w:r>
            <w:fldChar w:fldCharType="begin"/>
          </w:r>
          <w:r>
            <w:instrText xml:space="preserve"> PAGEREF _Toc502064203 \h </w:instrText>
          </w:r>
          <w:r>
            <w:fldChar w:fldCharType="separate"/>
          </w:r>
          <w:r>
            <w:t>25</w:t>
          </w:r>
          <w:r>
            <w:fldChar w:fldCharType="end"/>
          </w:r>
          <w:r>
            <w:rPr>
              <w:rFonts w:ascii="仿宋" w:hAnsi="仿宋" w:eastAsia="仿宋" w:cs="Arial"/>
              <w:color w:val="0000FF"/>
            </w:rPr>
            <w:fldChar w:fldCharType="end"/>
          </w:r>
        </w:p>
        <w:p w14:paraId="21A8B88E">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_Toc729810758 </w:instrText>
          </w:r>
          <w:r>
            <w:rPr>
              <w:rFonts w:ascii="仿宋" w:hAnsi="仿宋" w:eastAsia="仿宋" w:cs="Arial"/>
            </w:rPr>
            <w:fldChar w:fldCharType="separate"/>
          </w:r>
          <w:r>
            <w:t>（3） 核心产品特点</w:t>
          </w:r>
          <w:r>
            <w:tab/>
          </w:r>
          <w:r>
            <w:fldChar w:fldCharType="begin"/>
          </w:r>
          <w:r>
            <w:instrText xml:space="preserve"> PAGEREF _Toc729810758 \h </w:instrText>
          </w:r>
          <w:r>
            <w:fldChar w:fldCharType="separate"/>
          </w:r>
          <w:r>
            <w:t>26</w:t>
          </w:r>
          <w:r>
            <w:fldChar w:fldCharType="end"/>
          </w:r>
          <w:r>
            <w:rPr>
              <w:rFonts w:ascii="仿宋" w:hAnsi="仿宋" w:eastAsia="仿宋" w:cs="Arial"/>
              <w:color w:val="0000FF"/>
            </w:rPr>
            <w:fldChar w:fldCharType="end"/>
          </w:r>
        </w:p>
        <w:p w14:paraId="5300A753">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_Toc1650301689 </w:instrText>
          </w:r>
          <w:r>
            <w:rPr>
              <w:rFonts w:ascii="仿宋" w:hAnsi="仿宋" w:eastAsia="仿宋" w:cs="Arial"/>
            </w:rPr>
            <w:fldChar w:fldCharType="separate"/>
          </w:r>
          <w:r>
            <w:t>（4） 临床适用人群</w:t>
          </w:r>
          <w:r>
            <w:tab/>
          </w:r>
          <w:r>
            <w:fldChar w:fldCharType="begin"/>
          </w:r>
          <w:r>
            <w:instrText xml:space="preserve"> PAGEREF _Toc1650301689 \h </w:instrText>
          </w:r>
          <w:r>
            <w:fldChar w:fldCharType="separate"/>
          </w:r>
          <w:r>
            <w:t>26</w:t>
          </w:r>
          <w:r>
            <w:fldChar w:fldCharType="end"/>
          </w:r>
          <w:r>
            <w:rPr>
              <w:rFonts w:ascii="仿宋" w:hAnsi="仿宋" w:eastAsia="仿宋" w:cs="Arial"/>
              <w:color w:val="0000FF"/>
            </w:rPr>
            <w:fldChar w:fldCharType="end"/>
          </w:r>
        </w:p>
        <w:p w14:paraId="159CBFA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_Toc1869186018 </w:instrText>
          </w:r>
          <w:r>
            <w:rPr>
              <w:rFonts w:ascii="仿宋" w:hAnsi="仿宋" w:eastAsia="仿宋" w:cs="Arial"/>
            </w:rPr>
            <w:fldChar w:fldCharType="separate"/>
          </w:r>
          <w:r>
            <w:t>（5） 临床疗效</w:t>
          </w:r>
          <w:r>
            <w:tab/>
          </w:r>
          <w:r>
            <w:fldChar w:fldCharType="begin"/>
          </w:r>
          <w:r>
            <w:instrText xml:space="preserve"> PAGEREF _Toc1869186018 \h </w:instrText>
          </w:r>
          <w:r>
            <w:fldChar w:fldCharType="separate"/>
          </w:r>
          <w:r>
            <w:t>26</w:t>
          </w:r>
          <w:r>
            <w:fldChar w:fldCharType="end"/>
          </w:r>
          <w:r>
            <w:rPr>
              <w:rFonts w:ascii="仿宋" w:hAnsi="仿宋" w:eastAsia="仿宋" w:cs="Arial"/>
              <w:color w:val="0000FF"/>
            </w:rPr>
            <w:fldChar w:fldCharType="end"/>
          </w:r>
        </w:p>
        <w:p w14:paraId="5091C1CB">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_Toc2018616210 </w:instrText>
          </w:r>
          <w:r>
            <w:rPr>
              <w:rFonts w:ascii="仿宋" w:hAnsi="仿宋" w:eastAsia="仿宋" w:cs="Arial"/>
            </w:rPr>
            <w:fldChar w:fldCharType="separate"/>
          </w:r>
          <w:r>
            <w:rPr>
              <w:rFonts w:hint="eastAsia"/>
            </w:rPr>
            <w:t xml:space="preserve">2. </w:t>
          </w:r>
          <w:r>
            <w:t>LaserRO™磁共振监测半导体激光治疗系统（MRgLITT激光间质热疗）</w:t>
          </w:r>
          <w:r>
            <w:tab/>
          </w:r>
          <w:r>
            <w:fldChar w:fldCharType="begin"/>
          </w:r>
          <w:r>
            <w:instrText xml:space="preserve"> PAGEREF _Toc2018616210 \h </w:instrText>
          </w:r>
          <w:r>
            <w:fldChar w:fldCharType="separate"/>
          </w:r>
          <w:r>
            <w:t>27</w:t>
          </w:r>
          <w:r>
            <w:fldChar w:fldCharType="end"/>
          </w:r>
          <w:r>
            <w:rPr>
              <w:rFonts w:ascii="仿宋" w:hAnsi="仿宋" w:eastAsia="仿宋" w:cs="Arial"/>
              <w:color w:val="0000FF"/>
            </w:rPr>
            <w:fldChar w:fldCharType="end"/>
          </w:r>
        </w:p>
        <w:p w14:paraId="7F11BC74">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_Toc935986164 </w:instrText>
          </w:r>
          <w:r>
            <w:rPr>
              <w:rFonts w:ascii="仿宋" w:hAnsi="仿宋" w:eastAsia="仿宋" w:cs="Arial"/>
            </w:rPr>
            <w:fldChar w:fldCharType="separate"/>
          </w:r>
          <w:r>
            <w:t>（1） 技术定义</w:t>
          </w:r>
          <w:r>
            <w:tab/>
          </w:r>
          <w:r>
            <w:fldChar w:fldCharType="begin"/>
          </w:r>
          <w:r>
            <w:instrText xml:space="preserve"> PAGEREF _Toc935986164 \h </w:instrText>
          </w:r>
          <w:r>
            <w:fldChar w:fldCharType="separate"/>
          </w:r>
          <w:r>
            <w:t>27</w:t>
          </w:r>
          <w:r>
            <w:fldChar w:fldCharType="end"/>
          </w:r>
          <w:r>
            <w:rPr>
              <w:rFonts w:ascii="仿宋" w:hAnsi="仿宋" w:eastAsia="仿宋" w:cs="Arial"/>
              <w:color w:val="0000FF"/>
            </w:rPr>
            <w:fldChar w:fldCharType="end"/>
          </w:r>
        </w:p>
        <w:p w14:paraId="288EB85A">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_Toc801744073 </w:instrText>
          </w:r>
          <w:r>
            <w:rPr>
              <w:rFonts w:ascii="仿宋" w:hAnsi="仿宋" w:eastAsia="仿宋" w:cs="Arial"/>
            </w:rPr>
            <w:fldChar w:fldCharType="separate"/>
          </w:r>
          <w:r>
            <w:t>（2） 技术原理</w:t>
          </w:r>
          <w:r>
            <w:tab/>
          </w:r>
          <w:r>
            <w:fldChar w:fldCharType="begin"/>
          </w:r>
          <w:r>
            <w:instrText xml:space="preserve"> PAGEREF _Toc801744073 \h </w:instrText>
          </w:r>
          <w:r>
            <w:fldChar w:fldCharType="separate"/>
          </w:r>
          <w:r>
            <w:t>27</w:t>
          </w:r>
          <w:r>
            <w:fldChar w:fldCharType="end"/>
          </w:r>
          <w:r>
            <w:rPr>
              <w:rFonts w:ascii="仿宋" w:hAnsi="仿宋" w:eastAsia="仿宋" w:cs="Arial"/>
              <w:color w:val="0000FF"/>
            </w:rPr>
            <w:fldChar w:fldCharType="end"/>
          </w:r>
        </w:p>
        <w:p w14:paraId="2FB66BC9">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_Toc1600233633 </w:instrText>
          </w:r>
          <w:r>
            <w:rPr>
              <w:rFonts w:ascii="仿宋" w:hAnsi="仿宋" w:eastAsia="仿宋" w:cs="Arial"/>
            </w:rPr>
            <w:fldChar w:fldCharType="separate"/>
          </w:r>
          <w:r>
            <w:t>（3） 核心产品优势</w:t>
          </w:r>
          <w:r>
            <w:tab/>
          </w:r>
          <w:r>
            <w:fldChar w:fldCharType="begin"/>
          </w:r>
          <w:r>
            <w:instrText xml:space="preserve"> PAGEREF _Toc1600233633 \h </w:instrText>
          </w:r>
          <w:r>
            <w:fldChar w:fldCharType="separate"/>
          </w:r>
          <w:r>
            <w:t>27</w:t>
          </w:r>
          <w:r>
            <w:fldChar w:fldCharType="end"/>
          </w:r>
          <w:r>
            <w:rPr>
              <w:rFonts w:ascii="仿宋" w:hAnsi="仿宋" w:eastAsia="仿宋" w:cs="Arial"/>
              <w:color w:val="0000FF"/>
            </w:rPr>
            <w:fldChar w:fldCharType="end"/>
          </w:r>
        </w:p>
        <w:p w14:paraId="42919E09">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_Toc41474803 </w:instrText>
          </w:r>
          <w:r>
            <w:rPr>
              <w:rFonts w:ascii="仿宋" w:hAnsi="仿宋" w:eastAsia="仿宋" w:cs="Arial"/>
            </w:rPr>
            <w:fldChar w:fldCharType="separate"/>
          </w:r>
          <w:r>
            <w:t>（4） 临床适应症</w:t>
          </w:r>
          <w:r>
            <w:tab/>
          </w:r>
          <w:r>
            <w:fldChar w:fldCharType="begin"/>
          </w:r>
          <w:r>
            <w:instrText xml:space="preserve"> PAGEREF _Toc41474803 \h </w:instrText>
          </w:r>
          <w:r>
            <w:fldChar w:fldCharType="separate"/>
          </w:r>
          <w:r>
            <w:t>28</w:t>
          </w:r>
          <w:r>
            <w:fldChar w:fldCharType="end"/>
          </w:r>
          <w:r>
            <w:rPr>
              <w:rFonts w:ascii="仿宋" w:hAnsi="仿宋" w:eastAsia="仿宋" w:cs="Arial"/>
              <w:color w:val="0000FF"/>
            </w:rPr>
            <w:fldChar w:fldCharType="end"/>
          </w:r>
        </w:p>
        <w:p w14:paraId="7EE0A53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_Toc1282312393 </w:instrText>
          </w:r>
          <w:r>
            <w:rPr>
              <w:rFonts w:ascii="仿宋" w:hAnsi="仿宋" w:eastAsia="仿宋" w:cs="Arial"/>
            </w:rPr>
            <w:fldChar w:fldCharType="separate"/>
          </w:r>
          <w:r>
            <w:t>（5） 额外临床价值</w:t>
          </w:r>
          <w:r>
            <w:tab/>
          </w:r>
          <w:r>
            <w:fldChar w:fldCharType="begin"/>
          </w:r>
          <w:r>
            <w:instrText xml:space="preserve"> PAGEREF _Toc1282312393 \h </w:instrText>
          </w:r>
          <w:r>
            <w:fldChar w:fldCharType="separate"/>
          </w:r>
          <w:r>
            <w:t>28</w:t>
          </w:r>
          <w:r>
            <w:fldChar w:fldCharType="end"/>
          </w:r>
          <w:r>
            <w:rPr>
              <w:rFonts w:ascii="仿宋" w:hAnsi="仿宋" w:eastAsia="仿宋" w:cs="Arial"/>
              <w:color w:val="0000FF"/>
            </w:rPr>
            <w:fldChar w:fldCharType="end"/>
          </w:r>
        </w:p>
        <w:p w14:paraId="352FF6A8">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_Toc1825991506 </w:instrText>
          </w:r>
          <w:r>
            <w:rPr>
              <w:rFonts w:ascii="仿宋" w:hAnsi="仿宋" w:eastAsia="仿宋" w:cs="Arial"/>
            </w:rPr>
            <w:fldChar w:fldCharType="separate"/>
          </w:r>
          <w:r>
            <w:rPr>
              <w:rFonts w:hint="eastAsia"/>
            </w:rPr>
            <w:t xml:space="preserve">3. </w:t>
          </w:r>
          <w:r>
            <w:t>S-DEEP™脑深部电极系统（SEEG立体定向脑电图）</w:t>
          </w:r>
          <w:r>
            <w:tab/>
          </w:r>
          <w:r>
            <w:fldChar w:fldCharType="begin"/>
          </w:r>
          <w:r>
            <w:instrText xml:space="preserve"> PAGEREF _Toc1825991506 \h </w:instrText>
          </w:r>
          <w:r>
            <w:fldChar w:fldCharType="separate"/>
          </w:r>
          <w:r>
            <w:t>28</w:t>
          </w:r>
          <w:r>
            <w:fldChar w:fldCharType="end"/>
          </w:r>
          <w:r>
            <w:rPr>
              <w:rFonts w:ascii="仿宋" w:hAnsi="仿宋" w:eastAsia="仿宋" w:cs="Arial"/>
              <w:color w:val="0000FF"/>
            </w:rPr>
            <w:fldChar w:fldCharType="end"/>
          </w:r>
        </w:p>
        <w:p w14:paraId="342B10FF">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_Toc1897925712 </w:instrText>
          </w:r>
          <w:r>
            <w:rPr>
              <w:rFonts w:ascii="仿宋" w:hAnsi="仿宋" w:eastAsia="仿宋" w:cs="Arial"/>
            </w:rPr>
            <w:fldChar w:fldCharType="separate"/>
          </w:r>
          <w:r>
            <w:t>（1） 技术概述</w:t>
          </w:r>
          <w:r>
            <w:tab/>
          </w:r>
          <w:r>
            <w:fldChar w:fldCharType="begin"/>
          </w:r>
          <w:r>
            <w:instrText xml:space="preserve"> PAGEREF _Toc1897925712 \h </w:instrText>
          </w:r>
          <w:r>
            <w:fldChar w:fldCharType="separate"/>
          </w:r>
          <w:r>
            <w:t>28</w:t>
          </w:r>
          <w:r>
            <w:fldChar w:fldCharType="end"/>
          </w:r>
          <w:r>
            <w:rPr>
              <w:rFonts w:ascii="仿宋" w:hAnsi="仿宋" w:eastAsia="仿宋" w:cs="Arial"/>
              <w:color w:val="0000FF"/>
            </w:rPr>
            <w:fldChar w:fldCharType="end"/>
          </w:r>
        </w:p>
        <w:p w14:paraId="772A48C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_Toc1862832693 </w:instrText>
          </w:r>
          <w:r>
            <w:rPr>
              <w:rFonts w:ascii="仿宋" w:hAnsi="仿宋" w:eastAsia="仿宋" w:cs="Arial"/>
            </w:rPr>
            <w:fldChar w:fldCharType="separate"/>
          </w:r>
          <w:r>
            <w:t>（2） 产品核心配置</w:t>
          </w:r>
          <w:r>
            <w:tab/>
          </w:r>
          <w:r>
            <w:fldChar w:fldCharType="begin"/>
          </w:r>
          <w:r>
            <w:instrText xml:space="preserve"> PAGEREF _Toc1862832693 \h </w:instrText>
          </w:r>
          <w:r>
            <w:fldChar w:fldCharType="separate"/>
          </w:r>
          <w:r>
            <w:t>29</w:t>
          </w:r>
          <w:r>
            <w:fldChar w:fldCharType="end"/>
          </w:r>
          <w:r>
            <w:rPr>
              <w:rFonts w:ascii="仿宋" w:hAnsi="仿宋" w:eastAsia="仿宋" w:cs="Arial"/>
              <w:color w:val="0000FF"/>
            </w:rPr>
            <w:fldChar w:fldCharType="end"/>
          </w:r>
        </w:p>
        <w:p w14:paraId="3F59E08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_Toc464981638 </w:instrText>
          </w:r>
          <w:r>
            <w:rPr>
              <w:rFonts w:ascii="仿宋" w:hAnsi="仿宋" w:eastAsia="仿宋" w:cs="Arial"/>
            </w:rPr>
            <w:fldChar w:fldCharType="separate"/>
          </w:r>
          <w:r>
            <w:t>（3） 核心产品特点</w:t>
          </w:r>
          <w:r>
            <w:tab/>
          </w:r>
          <w:r>
            <w:fldChar w:fldCharType="begin"/>
          </w:r>
          <w:r>
            <w:instrText xml:space="preserve"> PAGEREF _Toc464981638 \h </w:instrText>
          </w:r>
          <w:r>
            <w:fldChar w:fldCharType="separate"/>
          </w:r>
          <w:r>
            <w:t>29</w:t>
          </w:r>
          <w:r>
            <w:fldChar w:fldCharType="end"/>
          </w:r>
          <w:r>
            <w:rPr>
              <w:rFonts w:ascii="仿宋" w:hAnsi="仿宋" w:eastAsia="仿宋" w:cs="Arial"/>
              <w:color w:val="0000FF"/>
            </w:rPr>
            <w:fldChar w:fldCharType="end"/>
          </w:r>
        </w:p>
        <w:p w14:paraId="2E322B4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_Toc253398433 </w:instrText>
          </w:r>
          <w:r>
            <w:rPr>
              <w:rFonts w:ascii="仿宋" w:hAnsi="仿宋" w:eastAsia="仿宋" w:cs="Arial"/>
            </w:rPr>
            <w:fldChar w:fldCharType="separate"/>
          </w:r>
          <w:r>
            <w:t>（4） 临床定位与价值</w:t>
          </w:r>
          <w:r>
            <w:tab/>
          </w:r>
          <w:r>
            <w:fldChar w:fldCharType="begin"/>
          </w:r>
          <w:r>
            <w:instrText xml:space="preserve"> PAGEREF _Toc253398433 \h </w:instrText>
          </w:r>
          <w:r>
            <w:fldChar w:fldCharType="separate"/>
          </w:r>
          <w:r>
            <w:t>29</w:t>
          </w:r>
          <w:r>
            <w:fldChar w:fldCharType="end"/>
          </w:r>
          <w:r>
            <w:rPr>
              <w:rFonts w:ascii="仿宋" w:hAnsi="仿宋" w:eastAsia="仿宋" w:cs="Arial"/>
              <w:color w:val="0000FF"/>
            </w:rPr>
            <w:fldChar w:fldCharType="end"/>
          </w:r>
        </w:p>
        <w:p w14:paraId="07EF3F46">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_Toc407391430 </w:instrText>
          </w:r>
          <w:r>
            <w:rPr>
              <w:rFonts w:ascii="仿宋" w:hAnsi="仿宋" w:eastAsia="仿宋" w:cs="Arial"/>
            </w:rPr>
            <w:fldChar w:fldCharType="separate"/>
          </w:r>
          <w:r>
            <w:rPr>
              <w:rFonts w:hint="eastAsia"/>
              <w:lang w:eastAsia="zh-CN"/>
            </w:rPr>
            <w:t xml:space="preserve">(二) </w:t>
          </w:r>
          <w:r>
            <w:rPr>
              <w:rFonts w:hint="eastAsia"/>
              <w:lang w:val="en-US" w:eastAsia="zh-CN"/>
            </w:rPr>
            <w:t>临床进展</w:t>
          </w:r>
          <w:r>
            <w:tab/>
          </w:r>
          <w:r>
            <w:fldChar w:fldCharType="begin"/>
          </w:r>
          <w:r>
            <w:instrText xml:space="preserve"> PAGEREF _Toc407391430 \h </w:instrText>
          </w:r>
          <w:r>
            <w:fldChar w:fldCharType="separate"/>
          </w:r>
          <w:r>
            <w:t>30</w:t>
          </w:r>
          <w:r>
            <w:fldChar w:fldCharType="end"/>
          </w:r>
          <w:r>
            <w:rPr>
              <w:rFonts w:ascii="仿宋" w:hAnsi="仿宋" w:eastAsia="仿宋" w:cs="Arial"/>
              <w:color w:val="0000FF"/>
            </w:rPr>
            <w:fldChar w:fldCharType="end"/>
          </w:r>
        </w:p>
        <w:p w14:paraId="26C0900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_Toc849897374 </w:instrText>
          </w:r>
          <w:r>
            <w:rPr>
              <w:rFonts w:ascii="仿宋" w:hAnsi="仿宋" w:eastAsia="仿宋" w:cs="Arial"/>
            </w:rPr>
            <w:fldChar w:fldCharType="separate"/>
          </w:r>
          <w:r>
            <w:rPr>
              <w:rFonts w:hint="eastAsia"/>
            </w:rPr>
            <w:t xml:space="preserve">1. </w:t>
          </w:r>
          <w:r>
            <w:t>Epilcure™植入式神经刺激系统（RNS）临床进展</w:t>
          </w:r>
          <w:r>
            <w:tab/>
          </w:r>
          <w:r>
            <w:fldChar w:fldCharType="begin"/>
          </w:r>
          <w:r>
            <w:instrText xml:space="preserve"> PAGEREF _Toc849897374 \h </w:instrText>
          </w:r>
          <w:r>
            <w:fldChar w:fldCharType="separate"/>
          </w:r>
          <w:r>
            <w:t>30</w:t>
          </w:r>
          <w:r>
            <w:fldChar w:fldCharType="end"/>
          </w:r>
          <w:r>
            <w:rPr>
              <w:rFonts w:ascii="仿宋" w:hAnsi="仿宋" w:eastAsia="仿宋" w:cs="Arial"/>
              <w:color w:val="0000FF"/>
            </w:rPr>
            <w:fldChar w:fldCharType="end"/>
          </w:r>
        </w:p>
        <w:p w14:paraId="74A4B7B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_Toc1311428621 </w:instrText>
          </w:r>
          <w:r>
            <w:rPr>
              <w:rFonts w:ascii="仿宋" w:hAnsi="仿宋" w:eastAsia="仿宋" w:cs="Arial"/>
            </w:rPr>
            <w:fldChar w:fldCharType="separate"/>
          </w:r>
          <w:r>
            <w:rPr>
              <w:rFonts w:hint="eastAsia"/>
            </w:rPr>
            <w:t xml:space="preserve">2. </w:t>
          </w:r>
          <w:r>
            <w:t>LaserRO™磁共振监测半导体激光治疗系统（MRgLITT）临床进展</w:t>
          </w:r>
          <w:r>
            <w:tab/>
          </w:r>
          <w:r>
            <w:fldChar w:fldCharType="begin"/>
          </w:r>
          <w:r>
            <w:instrText xml:space="preserve"> PAGEREF _Toc1311428621 \h </w:instrText>
          </w:r>
          <w:r>
            <w:fldChar w:fldCharType="separate"/>
          </w:r>
          <w:r>
            <w:t>31</w:t>
          </w:r>
          <w:r>
            <w:fldChar w:fldCharType="end"/>
          </w:r>
          <w:r>
            <w:rPr>
              <w:rFonts w:ascii="仿宋" w:hAnsi="仿宋" w:eastAsia="仿宋" w:cs="Arial"/>
              <w:color w:val="0000FF"/>
            </w:rPr>
            <w:fldChar w:fldCharType="end"/>
          </w:r>
        </w:p>
        <w:p w14:paraId="7AC058C9">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_Toc1556163986 </w:instrText>
          </w:r>
          <w:r>
            <w:rPr>
              <w:rFonts w:ascii="仿宋" w:hAnsi="仿宋" w:eastAsia="仿宋" w:cs="Arial"/>
            </w:rPr>
            <w:fldChar w:fldCharType="separate"/>
          </w:r>
          <w:r>
            <w:rPr>
              <w:rFonts w:hint="eastAsia"/>
            </w:rPr>
            <w:t xml:space="preserve">3. </w:t>
          </w:r>
          <w:r>
            <w:t>S-DEEP™脑深部电极系统（SEEG）临床进展</w:t>
          </w:r>
          <w:r>
            <w:tab/>
          </w:r>
          <w:r>
            <w:fldChar w:fldCharType="begin"/>
          </w:r>
          <w:r>
            <w:instrText xml:space="preserve"> PAGEREF _Toc1556163986 \h </w:instrText>
          </w:r>
          <w:r>
            <w:fldChar w:fldCharType="separate"/>
          </w:r>
          <w:r>
            <w:t>31</w:t>
          </w:r>
          <w:r>
            <w:fldChar w:fldCharType="end"/>
          </w:r>
          <w:r>
            <w:rPr>
              <w:rFonts w:ascii="仿宋" w:hAnsi="仿宋" w:eastAsia="仿宋" w:cs="Arial"/>
              <w:color w:val="0000FF"/>
            </w:rPr>
            <w:fldChar w:fldCharType="end"/>
          </w:r>
        </w:p>
        <w:p w14:paraId="2915CADB">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_Toc244775889 </w:instrText>
          </w:r>
          <w:r>
            <w:rPr>
              <w:rFonts w:ascii="仿宋" w:hAnsi="仿宋" w:eastAsia="仿宋" w:cs="Arial"/>
            </w:rPr>
            <w:fldChar w:fldCharType="separate"/>
          </w:r>
          <w:r>
            <w:rPr>
              <w:rFonts w:hint="eastAsia"/>
            </w:rPr>
            <w:t xml:space="preserve">4. </w:t>
          </w:r>
          <w:r>
            <w:t>整体临床总结</w:t>
          </w:r>
          <w:r>
            <w:tab/>
          </w:r>
          <w:r>
            <w:fldChar w:fldCharType="begin"/>
          </w:r>
          <w:r>
            <w:instrText xml:space="preserve"> PAGEREF _Toc244775889 \h </w:instrText>
          </w:r>
          <w:r>
            <w:fldChar w:fldCharType="separate"/>
          </w:r>
          <w:r>
            <w:t>32</w:t>
          </w:r>
          <w:r>
            <w:fldChar w:fldCharType="end"/>
          </w:r>
          <w:r>
            <w:rPr>
              <w:rFonts w:ascii="仿宋" w:hAnsi="仿宋" w:eastAsia="仿宋" w:cs="Arial"/>
              <w:color w:val="0000FF"/>
            </w:rPr>
            <w:fldChar w:fldCharType="end"/>
          </w:r>
        </w:p>
        <w:p w14:paraId="2E9F1389">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_Toc1517182418 </w:instrText>
          </w:r>
          <w:r>
            <w:rPr>
              <w:rFonts w:ascii="仿宋" w:hAnsi="仿宋" w:eastAsia="仿宋" w:cs="Arial"/>
            </w:rPr>
            <w:fldChar w:fldCharType="separate"/>
          </w:r>
          <w:r>
            <w:rPr>
              <w:rFonts w:hint="eastAsia"/>
              <w:lang w:eastAsia="zh-CN"/>
            </w:rPr>
            <w:t xml:space="preserve">(三) </w:t>
          </w:r>
          <w:r>
            <w:rPr>
              <w:rFonts w:hint="eastAsia"/>
              <w:lang w:val="en-US" w:eastAsia="zh-CN"/>
            </w:rPr>
            <w:t>营收测算</w:t>
          </w:r>
          <w:r>
            <w:tab/>
          </w:r>
          <w:r>
            <w:fldChar w:fldCharType="begin"/>
          </w:r>
          <w:r>
            <w:instrText xml:space="preserve"> PAGEREF _Toc1517182418 \h </w:instrText>
          </w:r>
          <w:r>
            <w:fldChar w:fldCharType="separate"/>
          </w:r>
          <w:r>
            <w:t>32</w:t>
          </w:r>
          <w:r>
            <w:fldChar w:fldCharType="end"/>
          </w:r>
          <w:r>
            <w:rPr>
              <w:rFonts w:ascii="仿宋" w:hAnsi="仿宋" w:eastAsia="仿宋" w:cs="Arial"/>
              <w:color w:val="0000FF"/>
            </w:rPr>
            <w:fldChar w:fldCharType="end"/>
          </w:r>
        </w:p>
        <w:p w14:paraId="2B8D409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_Toc64074848 </w:instrText>
          </w:r>
          <w:r>
            <w:rPr>
              <w:rFonts w:ascii="仿宋" w:hAnsi="仿宋" w:eastAsia="仿宋" w:cs="Arial"/>
            </w:rPr>
            <w:fldChar w:fldCharType="separate"/>
          </w:r>
          <w:r>
            <w:rPr>
              <w:rFonts w:hint="default"/>
              <w:lang w:val="en-US" w:eastAsia="zh-CN"/>
            </w:rPr>
            <w:t xml:space="preserve">（1） </w:t>
          </w:r>
          <w:r>
            <w:rPr>
              <w:rFonts w:hint="eastAsia"/>
              <w:lang w:val="en-US" w:eastAsia="zh-CN"/>
            </w:rPr>
            <w:t>材料价格、成本&amp;毛利率（项目方提供）</w:t>
          </w:r>
          <w:r>
            <w:tab/>
          </w:r>
          <w:r>
            <w:fldChar w:fldCharType="begin"/>
          </w:r>
          <w:r>
            <w:instrText xml:space="preserve"> PAGEREF _Toc64074848 \h </w:instrText>
          </w:r>
          <w:r>
            <w:fldChar w:fldCharType="separate"/>
          </w:r>
          <w:r>
            <w:t>32</w:t>
          </w:r>
          <w:r>
            <w:fldChar w:fldCharType="end"/>
          </w:r>
          <w:r>
            <w:rPr>
              <w:rFonts w:ascii="仿宋" w:hAnsi="仿宋" w:eastAsia="仿宋" w:cs="Arial"/>
              <w:color w:val="0000FF"/>
            </w:rPr>
            <w:fldChar w:fldCharType="end"/>
          </w:r>
        </w:p>
        <w:p w14:paraId="4DD89D5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_Toc1016663189 </w:instrText>
          </w:r>
          <w:r>
            <w:rPr>
              <w:rFonts w:ascii="仿宋" w:hAnsi="仿宋" w:eastAsia="仿宋" w:cs="Arial"/>
            </w:rPr>
            <w:fldChar w:fldCharType="separate"/>
          </w:r>
          <w:r>
            <w:rPr>
              <w:rFonts w:hint="eastAsia"/>
              <w:lang w:val="en-US" w:eastAsia="zh-CN"/>
            </w:rPr>
            <w:t>（2） 流行病学数据（弗若斯特沙利文报告）</w:t>
          </w:r>
          <w:r>
            <w:tab/>
          </w:r>
          <w:r>
            <w:fldChar w:fldCharType="begin"/>
          </w:r>
          <w:r>
            <w:instrText xml:space="preserve"> PAGEREF _Toc1016663189 \h </w:instrText>
          </w:r>
          <w:r>
            <w:fldChar w:fldCharType="separate"/>
          </w:r>
          <w:r>
            <w:t>32</w:t>
          </w:r>
          <w:r>
            <w:fldChar w:fldCharType="end"/>
          </w:r>
          <w:r>
            <w:rPr>
              <w:rFonts w:ascii="仿宋" w:hAnsi="仿宋" w:eastAsia="仿宋" w:cs="Arial"/>
              <w:color w:val="0000FF"/>
            </w:rPr>
            <w:fldChar w:fldCharType="end"/>
          </w:r>
        </w:p>
        <w:p w14:paraId="1BE616E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_Toc1678321991 </w:instrText>
          </w:r>
          <w:r>
            <w:rPr>
              <w:rFonts w:ascii="仿宋" w:hAnsi="仿宋" w:eastAsia="仿宋" w:cs="Arial"/>
            </w:rPr>
            <w:fldChar w:fldCharType="separate"/>
          </w:r>
          <w:r>
            <w:t>（3） SEEG深部电极</w:t>
          </w:r>
          <w:r>
            <w:rPr>
              <w:rFonts w:hint="eastAsia"/>
              <w:lang w:val="en-US" w:eastAsia="zh-CN"/>
            </w:rPr>
            <w:t>营收预测</w:t>
          </w:r>
          <w:r>
            <w:tab/>
          </w:r>
          <w:r>
            <w:fldChar w:fldCharType="begin"/>
          </w:r>
          <w:r>
            <w:instrText xml:space="preserve"> PAGEREF _Toc1678321991 \h </w:instrText>
          </w:r>
          <w:r>
            <w:fldChar w:fldCharType="separate"/>
          </w:r>
          <w:r>
            <w:t>33</w:t>
          </w:r>
          <w:r>
            <w:fldChar w:fldCharType="end"/>
          </w:r>
          <w:r>
            <w:rPr>
              <w:rFonts w:ascii="仿宋" w:hAnsi="仿宋" w:eastAsia="仿宋" w:cs="Arial"/>
              <w:color w:val="0000FF"/>
            </w:rPr>
            <w:fldChar w:fldCharType="end"/>
          </w:r>
        </w:p>
        <w:p w14:paraId="5B5AFED3">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_Toc359999392 </w:instrText>
          </w:r>
          <w:r>
            <w:rPr>
              <w:rFonts w:ascii="仿宋" w:hAnsi="仿宋" w:eastAsia="仿宋" w:cs="Arial"/>
            </w:rPr>
            <w:fldChar w:fldCharType="separate"/>
          </w:r>
          <w:r>
            <w:t xml:space="preserve">（4） </w:t>
          </w:r>
          <w:r>
            <w:rPr>
              <w:rFonts w:hint="eastAsia"/>
              <w:lang w:val="en-US" w:eastAsia="zh-CN"/>
            </w:rPr>
            <w:t>LITT激光消融营收预测</w:t>
          </w:r>
          <w:r>
            <w:tab/>
          </w:r>
          <w:r>
            <w:fldChar w:fldCharType="begin"/>
          </w:r>
          <w:r>
            <w:instrText xml:space="preserve"> PAGEREF _Toc359999392 \h </w:instrText>
          </w:r>
          <w:r>
            <w:fldChar w:fldCharType="separate"/>
          </w:r>
          <w:r>
            <w:t>33</w:t>
          </w:r>
          <w:r>
            <w:fldChar w:fldCharType="end"/>
          </w:r>
          <w:r>
            <w:rPr>
              <w:rFonts w:ascii="仿宋" w:hAnsi="仿宋" w:eastAsia="仿宋" w:cs="Arial"/>
              <w:color w:val="0000FF"/>
            </w:rPr>
            <w:fldChar w:fldCharType="end"/>
          </w:r>
        </w:p>
        <w:p w14:paraId="302C0A1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_Toc1048347745 </w:instrText>
          </w:r>
          <w:r>
            <w:rPr>
              <w:rFonts w:ascii="仿宋" w:hAnsi="仿宋" w:eastAsia="仿宋" w:cs="Arial"/>
            </w:rPr>
            <w:fldChar w:fldCharType="separate"/>
          </w:r>
          <w:r>
            <w:rPr>
              <w:rFonts w:hint="eastAsia"/>
              <w:lang w:val="en-US" w:eastAsia="zh-CN"/>
            </w:rPr>
            <w:t>（5） RNS（Epilcure）癫痫闭环刺激营收预测</w:t>
          </w:r>
          <w:r>
            <w:tab/>
          </w:r>
          <w:r>
            <w:fldChar w:fldCharType="begin"/>
          </w:r>
          <w:r>
            <w:instrText xml:space="preserve"> PAGEREF _Toc1048347745 \h </w:instrText>
          </w:r>
          <w:r>
            <w:fldChar w:fldCharType="separate"/>
          </w:r>
          <w:r>
            <w:t>34</w:t>
          </w:r>
          <w:r>
            <w:fldChar w:fldCharType="end"/>
          </w:r>
          <w:r>
            <w:rPr>
              <w:rFonts w:ascii="仿宋" w:hAnsi="仿宋" w:eastAsia="仿宋" w:cs="Arial"/>
              <w:color w:val="0000FF"/>
            </w:rPr>
            <w:fldChar w:fldCharType="end"/>
          </w:r>
        </w:p>
        <w:p w14:paraId="1B41A495">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_Toc1624710227 </w:instrText>
          </w:r>
          <w:r>
            <w:rPr>
              <w:rFonts w:ascii="仿宋" w:hAnsi="仿宋" w:eastAsia="仿宋" w:cs="Arial"/>
            </w:rPr>
            <w:fldChar w:fldCharType="separate"/>
          </w:r>
          <w:r>
            <w:t xml:space="preserve">（6） </w:t>
          </w:r>
          <w:r>
            <w:rPr>
              <w:rFonts w:hint="eastAsia"/>
              <w:lang w:val="en-US" w:eastAsia="zh-CN"/>
            </w:rPr>
            <w:t>iSBS帕金森闭环DBS营收预测</w:t>
          </w:r>
          <w:r>
            <w:tab/>
          </w:r>
          <w:r>
            <w:fldChar w:fldCharType="begin"/>
          </w:r>
          <w:r>
            <w:instrText xml:space="preserve"> PAGEREF _Toc1624710227 \h </w:instrText>
          </w:r>
          <w:r>
            <w:fldChar w:fldCharType="separate"/>
          </w:r>
          <w:r>
            <w:t>34</w:t>
          </w:r>
          <w:r>
            <w:fldChar w:fldCharType="end"/>
          </w:r>
          <w:r>
            <w:rPr>
              <w:rFonts w:ascii="仿宋" w:hAnsi="仿宋" w:eastAsia="仿宋" w:cs="Arial"/>
              <w:color w:val="0000FF"/>
            </w:rPr>
            <w:fldChar w:fldCharType="end"/>
          </w:r>
        </w:p>
        <w:p w14:paraId="2AA9C63E">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_Toc1250213584 </w:instrText>
          </w:r>
          <w:r>
            <w:rPr>
              <w:rFonts w:ascii="仿宋" w:hAnsi="仿宋" w:eastAsia="仿宋" w:cs="Arial"/>
            </w:rPr>
            <w:fldChar w:fldCharType="separate"/>
          </w:r>
          <w:r>
            <w:t xml:space="preserve">（7） </w:t>
          </w:r>
          <w:r>
            <w:rPr>
              <w:rFonts w:hint="eastAsia"/>
              <w:lang w:val="en-US" w:eastAsia="zh-CN"/>
            </w:rPr>
            <w:t>EES脊髓损伤闭环营收预测</w:t>
          </w:r>
          <w:r>
            <w:tab/>
          </w:r>
          <w:r>
            <w:fldChar w:fldCharType="begin"/>
          </w:r>
          <w:r>
            <w:instrText xml:space="preserve"> PAGEREF _Toc1250213584 \h </w:instrText>
          </w:r>
          <w:r>
            <w:fldChar w:fldCharType="separate"/>
          </w:r>
          <w:r>
            <w:t>35</w:t>
          </w:r>
          <w:r>
            <w:fldChar w:fldCharType="end"/>
          </w:r>
          <w:r>
            <w:rPr>
              <w:rFonts w:ascii="仿宋" w:hAnsi="仿宋" w:eastAsia="仿宋" w:cs="Arial"/>
              <w:color w:val="0000FF"/>
            </w:rPr>
            <w:fldChar w:fldCharType="end"/>
          </w:r>
        </w:p>
        <w:p w14:paraId="00FAE1D3">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_Toc1359704040 </w:instrText>
          </w:r>
          <w:r>
            <w:rPr>
              <w:rFonts w:ascii="仿宋" w:hAnsi="仿宋" w:eastAsia="仿宋" w:cs="Arial"/>
            </w:rPr>
            <w:fldChar w:fldCharType="separate"/>
          </w:r>
          <w:r>
            <w:rPr>
              <w:rFonts w:hint="eastAsia" w:eastAsia="仿宋"/>
              <w:lang w:val="en-US" w:eastAsia="zh-CN"/>
            </w:rPr>
            <w:t xml:space="preserve">(四) </w:t>
          </w:r>
          <w:r>
            <w:rPr>
              <w:rFonts w:hint="eastAsia"/>
              <w:lang w:val="en-US" w:eastAsia="zh-CN"/>
            </w:rPr>
            <w:t>可比公司</w:t>
          </w:r>
          <w:r>
            <w:tab/>
          </w:r>
          <w:r>
            <w:fldChar w:fldCharType="begin"/>
          </w:r>
          <w:r>
            <w:instrText xml:space="preserve"> PAGEREF _Toc1359704040 \h </w:instrText>
          </w:r>
          <w:r>
            <w:fldChar w:fldCharType="separate"/>
          </w:r>
          <w:r>
            <w:t>36</w:t>
          </w:r>
          <w:r>
            <w:fldChar w:fldCharType="end"/>
          </w:r>
          <w:r>
            <w:rPr>
              <w:rFonts w:ascii="仿宋" w:hAnsi="仿宋" w:eastAsia="仿宋" w:cs="Arial"/>
              <w:color w:val="0000FF"/>
            </w:rPr>
            <w:fldChar w:fldCharType="end"/>
          </w:r>
        </w:p>
        <w:p w14:paraId="10AA6EDB">
          <w:pPr>
            <w:pStyle w:val="19"/>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_Toc1172312553 </w:instrText>
          </w:r>
          <w:r>
            <w:rPr>
              <w:rFonts w:ascii="仿宋" w:hAnsi="仿宋" w:eastAsia="仿宋" w:cs="Arial"/>
            </w:rPr>
            <w:fldChar w:fldCharType="separate"/>
          </w:r>
          <w:r>
            <w:rPr>
              <w:rFonts w:hint="eastAsia"/>
            </w:rPr>
            <w:t>三、 行业情况</w:t>
          </w:r>
          <w:r>
            <w:tab/>
          </w:r>
          <w:r>
            <w:fldChar w:fldCharType="begin"/>
          </w:r>
          <w:r>
            <w:instrText xml:space="preserve"> PAGEREF _Toc1172312553 \h </w:instrText>
          </w:r>
          <w:r>
            <w:fldChar w:fldCharType="separate"/>
          </w:r>
          <w:r>
            <w:t>38</w:t>
          </w:r>
          <w:r>
            <w:fldChar w:fldCharType="end"/>
          </w:r>
          <w:r>
            <w:rPr>
              <w:rFonts w:ascii="仿宋" w:hAnsi="仿宋" w:eastAsia="仿宋" w:cs="Arial"/>
              <w:color w:val="0000FF"/>
            </w:rPr>
            <w:fldChar w:fldCharType="end"/>
          </w:r>
        </w:p>
        <w:p w14:paraId="63D244E6">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_Toc2042100693 </w:instrText>
          </w:r>
          <w:r>
            <w:rPr>
              <w:rFonts w:ascii="仿宋" w:hAnsi="仿宋" w:eastAsia="仿宋" w:cs="Arial"/>
            </w:rPr>
            <w:fldChar w:fldCharType="separate"/>
          </w:r>
          <w:r>
            <w:rPr>
              <w:rFonts w:hint="eastAsia"/>
              <w:lang w:eastAsia="zh-CN"/>
            </w:rPr>
            <w:t xml:space="preserve">(一) </w:t>
          </w:r>
          <w:r>
            <w:t>神经外科疾病治疗方式及微创诊疗全流程</w:t>
          </w:r>
          <w:r>
            <w:tab/>
          </w:r>
          <w:r>
            <w:fldChar w:fldCharType="begin"/>
          </w:r>
          <w:r>
            <w:instrText xml:space="preserve"> PAGEREF _Toc2042100693 \h </w:instrText>
          </w:r>
          <w:r>
            <w:fldChar w:fldCharType="separate"/>
          </w:r>
          <w:r>
            <w:t>38</w:t>
          </w:r>
          <w:r>
            <w:fldChar w:fldCharType="end"/>
          </w:r>
          <w:r>
            <w:rPr>
              <w:rFonts w:ascii="仿宋" w:hAnsi="仿宋" w:eastAsia="仿宋" w:cs="Arial"/>
              <w:color w:val="0000FF"/>
            </w:rPr>
            <w:fldChar w:fldCharType="end"/>
          </w:r>
        </w:p>
        <w:p w14:paraId="38E1446E">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_Toc502700897 </w:instrText>
          </w:r>
          <w:r>
            <w:rPr>
              <w:rFonts w:ascii="仿宋" w:hAnsi="仿宋" w:eastAsia="仿宋" w:cs="Arial"/>
            </w:rPr>
            <w:fldChar w:fldCharType="separate"/>
          </w:r>
          <w:r>
            <w:rPr>
              <w:rFonts w:hint="eastAsia"/>
            </w:rPr>
            <w:t xml:space="preserve">1. </w:t>
          </w:r>
          <w:r>
            <w:t>神经外科疾病概述</w:t>
          </w:r>
          <w:r>
            <w:tab/>
          </w:r>
          <w:r>
            <w:fldChar w:fldCharType="begin"/>
          </w:r>
          <w:r>
            <w:instrText xml:space="preserve"> PAGEREF _Toc502700897 \h </w:instrText>
          </w:r>
          <w:r>
            <w:fldChar w:fldCharType="separate"/>
          </w:r>
          <w:r>
            <w:t>38</w:t>
          </w:r>
          <w:r>
            <w:fldChar w:fldCharType="end"/>
          </w:r>
          <w:r>
            <w:rPr>
              <w:rFonts w:ascii="仿宋" w:hAnsi="仿宋" w:eastAsia="仿宋" w:cs="Arial"/>
              <w:color w:val="0000FF"/>
            </w:rPr>
            <w:fldChar w:fldCharType="end"/>
          </w:r>
        </w:p>
        <w:p w14:paraId="7E29CF36">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_Toc693308581 </w:instrText>
          </w:r>
          <w:r>
            <w:rPr>
              <w:rFonts w:ascii="仿宋" w:hAnsi="仿宋" w:eastAsia="仿宋" w:cs="Arial"/>
            </w:rPr>
            <w:fldChar w:fldCharType="separate"/>
          </w:r>
          <w:r>
            <w:rPr>
              <w:rFonts w:hint="eastAsia"/>
            </w:rPr>
            <w:t xml:space="preserve">2. </w:t>
          </w:r>
          <w:r>
            <w:t>微创神经外科技术优势</w:t>
          </w:r>
          <w:r>
            <w:tab/>
          </w:r>
          <w:r>
            <w:fldChar w:fldCharType="begin"/>
          </w:r>
          <w:r>
            <w:instrText xml:space="preserve"> PAGEREF _Toc693308581 \h </w:instrText>
          </w:r>
          <w:r>
            <w:fldChar w:fldCharType="separate"/>
          </w:r>
          <w:r>
            <w:t>38</w:t>
          </w:r>
          <w:r>
            <w:fldChar w:fldCharType="end"/>
          </w:r>
          <w:r>
            <w:rPr>
              <w:rFonts w:ascii="仿宋" w:hAnsi="仿宋" w:eastAsia="仿宋" w:cs="Arial"/>
              <w:color w:val="0000FF"/>
            </w:rPr>
            <w:fldChar w:fldCharType="end"/>
          </w:r>
        </w:p>
        <w:p w14:paraId="689D3D2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_Toc191052245 </w:instrText>
          </w:r>
          <w:r>
            <w:rPr>
              <w:rFonts w:ascii="仿宋" w:hAnsi="仿宋" w:eastAsia="仿宋" w:cs="Arial"/>
            </w:rPr>
            <w:fldChar w:fldCharType="separate"/>
          </w:r>
          <w:r>
            <w:rPr>
              <w:rFonts w:hint="eastAsia"/>
            </w:rPr>
            <w:t xml:space="preserve">3. </w:t>
          </w:r>
          <w:r>
            <w:t>微创神经外科疾病诊疗全流程</w:t>
          </w:r>
          <w:r>
            <w:tab/>
          </w:r>
          <w:r>
            <w:fldChar w:fldCharType="begin"/>
          </w:r>
          <w:r>
            <w:instrText xml:space="preserve"> PAGEREF _Toc191052245 \h </w:instrText>
          </w:r>
          <w:r>
            <w:fldChar w:fldCharType="separate"/>
          </w:r>
          <w:r>
            <w:t>39</w:t>
          </w:r>
          <w:r>
            <w:fldChar w:fldCharType="end"/>
          </w:r>
          <w:r>
            <w:rPr>
              <w:rFonts w:ascii="仿宋" w:hAnsi="仿宋" w:eastAsia="仿宋" w:cs="Arial"/>
              <w:color w:val="0000FF"/>
            </w:rPr>
            <w:fldChar w:fldCharType="end"/>
          </w:r>
        </w:p>
        <w:p w14:paraId="3697AC1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_Toc527029450 </w:instrText>
          </w:r>
          <w:r>
            <w:rPr>
              <w:rFonts w:ascii="仿宋" w:hAnsi="仿宋" w:eastAsia="仿宋" w:cs="Arial"/>
            </w:rPr>
            <w:fldChar w:fldCharType="separate"/>
          </w:r>
          <w:r>
            <w:rPr>
              <w:rFonts w:hint="eastAsia"/>
            </w:rPr>
            <w:t xml:space="preserve">4. </w:t>
          </w:r>
          <w:r>
            <w:t>微创神经外科市场增长驱动与未来趋势</w:t>
          </w:r>
          <w:r>
            <w:tab/>
          </w:r>
          <w:r>
            <w:fldChar w:fldCharType="begin"/>
          </w:r>
          <w:r>
            <w:instrText xml:space="preserve"> PAGEREF _Toc527029450 \h </w:instrText>
          </w:r>
          <w:r>
            <w:fldChar w:fldCharType="separate"/>
          </w:r>
          <w:r>
            <w:t>39</w:t>
          </w:r>
          <w:r>
            <w:fldChar w:fldCharType="end"/>
          </w:r>
          <w:r>
            <w:rPr>
              <w:rFonts w:ascii="仿宋" w:hAnsi="仿宋" w:eastAsia="仿宋" w:cs="Arial"/>
              <w:color w:val="0000FF"/>
            </w:rPr>
            <w:fldChar w:fldCharType="end"/>
          </w:r>
        </w:p>
        <w:p w14:paraId="4C0F7488">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_Toc1561405922 </w:instrText>
          </w:r>
          <w:r>
            <w:rPr>
              <w:rFonts w:ascii="仿宋" w:hAnsi="仿宋" w:eastAsia="仿宋" w:cs="Arial"/>
            </w:rPr>
            <w:fldChar w:fldCharType="separate"/>
          </w:r>
          <w:r>
            <w:t>（1） 需求端扩容</w:t>
          </w:r>
          <w:r>
            <w:tab/>
          </w:r>
          <w:r>
            <w:fldChar w:fldCharType="begin"/>
          </w:r>
          <w:r>
            <w:instrText xml:space="preserve"> PAGEREF _Toc1561405922 \h </w:instrText>
          </w:r>
          <w:r>
            <w:fldChar w:fldCharType="separate"/>
          </w:r>
          <w:r>
            <w:t>39</w:t>
          </w:r>
          <w:r>
            <w:fldChar w:fldCharType="end"/>
          </w:r>
          <w:r>
            <w:rPr>
              <w:rFonts w:ascii="仿宋" w:hAnsi="仿宋" w:eastAsia="仿宋" w:cs="Arial"/>
              <w:color w:val="0000FF"/>
            </w:rPr>
            <w:fldChar w:fldCharType="end"/>
          </w:r>
        </w:p>
        <w:p w14:paraId="1C33950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_Toc299164714 </w:instrText>
          </w:r>
          <w:r>
            <w:rPr>
              <w:rFonts w:ascii="仿宋" w:hAnsi="仿宋" w:eastAsia="仿宋" w:cs="Arial"/>
            </w:rPr>
            <w:fldChar w:fldCharType="separate"/>
          </w:r>
          <w:r>
            <w:t>（2） 治疗趋向微创化、精准化</w:t>
          </w:r>
          <w:r>
            <w:tab/>
          </w:r>
          <w:r>
            <w:fldChar w:fldCharType="begin"/>
          </w:r>
          <w:r>
            <w:instrText xml:space="preserve"> PAGEREF _Toc299164714 \h </w:instrText>
          </w:r>
          <w:r>
            <w:fldChar w:fldCharType="separate"/>
          </w:r>
          <w:r>
            <w:t>40</w:t>
          </w:r>
          <w:r>
            <w:fldChar w:fldCharType="end"/>
          </w:r>
          <w:r>
            <w:rPr>
              <w:rFonts w:ascii="仿宋" w:hAnsi="仿宋" w:eastAsia="仿宋" w:cs="Arial"/>
              <w:color w:val="0000FF"/>
            </w:rPr>
            <w:fldChar w:fldCharType="end"/>
          </w:r>
        </w:p>
        <w:p w14:paraId="52E7D03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_Toc802130571 </w:instrText>
          </w:r>
          <w:r>
            <w:rPr>
              <w:rFonts w:ascii="仿宋" w:hAnsi="仿宋" w:eastAsia="仿宋" w:cs="Arial"/>
            </w:rPr>
            <w:fldChar w:fldCharType="separate"/>
          </w:r>
          <w:r>
            <w:t>（3） 数据驱动软件优化</w:t>
          </w:r>
          <w:r>
            <w:tab/>
          </w:r>
          <w:r>
            <w:fldChar w:fldCharType="begin"/>
          </w:r>
          <w:r>
            <w:instrText xml:space="preserve"> PAGEREF _Toc802130571 \h </w:instrText>
          </w:r>
          <w:r>
            <w:fldChar w:fldCharType="separate"/>
          </w:r>
          <w:r>
            <w:t>40</w:t>
          </w:r>
          <w:r>
            <w:fldChar w:fldCharType="end"/>
          </w:r>
          <w:r>
            <w:rPr>
              <w:rFonts w:ascii="仿宋" w:hAnsi="仿宋" w:eastAsia="仿宋" w:cs="Arial"/>
              <w:color w:val="0000FF"/>
            </w:rPr>
            <w:fldChar w:fldCharType="end"/>
          </w:r>
        </w:p>
        <w:p w14:paraId="1C6306AE">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_Toc1653654578 </w:instrText>
          </w:r>
          <w:r>
            <w:rPr>
              <w:rFonts w:ascii="仿宋" w:hAnsi="仿宋" w:eastAsia="仿宋" w:cs="Arial"/>
            </w:rPr>
            <w:fldChar w:fldCharType="separate"/>
          </w:r>
          <w:r>
            <w:rPr>
              <w:rFonts w:hint="eastAsia"/>
              <w:lang w:eastAsia="zh-CN"/>
            </w:rPr>
            <w:t xml:space="preserve">(二) </w:t>
          </w:r>
          <w:r>
            <w:t>脑机接口（BCI）行业基础定义、分类与发展历程</w:t>
          </w:r>
          <w:r>
            <w:tab/>
          </w:r>
          <w:r>
            <w:fldChar w:fldCharType="begin"/>
          </w:r>
          <w:r>
            <w:instrText xml:space="preserve"> PAGEREF _Toc1653654578 \h </w:instrText>
          </w:r>
          <w:r>
            <w:fldChar w:fldCharType="separate"/>
          </w:r>
          <w:r>
            <w:t>40</w:t>
          </w:r>
          <w:r>
            <w:fldChar w:fldCharType="end"/>
          </w:r>
          <w:r>
            <w:rPr>
              <w:rFonts w:ascii="仿宋" w:hAnsi="仿宋" w:eastAsia="仿宋" w:cs="Arial"/>
              <w:color w:val="0000FF"/>
            </w:rPr>
            <w:fldChar w:fldCharType="end"/>
          </w:r>
        </w:p>
        <w:p w14:paraId="388B73EB">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_Toc239132972 </w:instrText>
          </w:r>
          <w:r>
            <w:rPr>
              <w:rFonts w:ascii="仿宋" w:hAnsi="仿宋" w:eastAsia="仿宋" w:cs="Arial"/>
            </w:rPr>
            <w:fldChar w:fldCharType="separate"/>
          </w:r>
          <w:r>
            <w:rPr>
              <w:rFonts w:hint="eastAsia"/>
            </w:rPr>
            <w:t xml:space="preserve">1. </w:t>
          </w:r>
          <w:r>
            <w:t>BCI官方定义</w:t>
          </w:r>
          <w:r>
            <w:tab/>
          </w:r>
          <w:r>
            <w:fldChar w:fldCharType="begin"/>
          </w:r>
          <w:r>
            <w:instrText xml:space="preserve"> PAGEREF _Toc239132972 \h </w:instrText>
          </w:r>
          <w:r>
            <w:fldChar w:fldCharType="separate"/>
          </w:r>
          <w:r>
            <w:t>40</w:t>
          </w:r>
          <w:r>
            <w:fldChar w:fldCharType="end"/>
          </w:r>
          <w:r>
            <w:rPr>
              <w:rFonts w:ascii="仿宋" w:hAnsi="仿宋" w:eastAsia="仿宋" w:cs="Arial"/>
              <w:color w:val="0000FF"/>
            </w:rPr>
            <w:fldChar w:fldCharType="end"/>
          </w:r>
        </w:p>
        <w:p w14:paraId="27605BF9">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_Toc1165956867 </w:instrText>
          </w:r>
          <w:r>
            <w:rPr>
              <w:rFonts w:ascii="仿宋" w:hAnsi="仿宋" w:eastAsia="仿宋" w:cs="Arial"/>
            </w:rPr>
            <w:fldChar w:fldCharType="separate"/>
          </w:r>
          <w:r>
            <w:rPr>
              <w:rFonts w:hint="eastAsia"/>
            </w:rPr>
            <w:t xml:space="preserve">2. </w:t>
          </w:r>
          <w:r>
            <w:t>BCI基本工作原理</w:t>
          </w:r>
          <w:r>
            <w:tab/>
          </w:r>
          <w:r>
            <w:fldChar w:fldCharType="begin"/>
          </w:r>
          <w:r>
            <w:instrText xml:space="preserve"> PAGEREF _Toc1165956867 \h </w:instrText>
          </w:r>
          <w:r>
            <w:fldChar w:fldCharType="separate"/>
          </w:r>
          <w:r>
            <w:t>40</w:t>
          </w:r>
          <w:r>
            <w:fldChar w:fldCharType="end"/>
          </w:r>
          <w:r>
            <w:rPr>
              <w:rFonts w:ascii="仿宋" w:hAnsi="仿宋" w:eastAsia="仿宋" w:cs="Arial"/>
              <w:color w:val="0000FF"/>
            </w:rPr>
            <w:fldChar w:fldCharType="end"/>
          </w:r>
        </w:p>
        <w:p w14:paraId="42E5E6C4">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_Toc448784794 </w:instrText>
          </w:r>
          <w:r>
            <w:rPr>
              <w:rFonts w:ascii="仿宋" w:hAnsi="仿宋" w:eastAsia="仿宋" w:cs="Arial"/>
            </w:rPr>
            <w:fldChar w:fldCharType="separate"/>
          </w:r>
          <w:r>
            <w:rPr>
              <w:rFonts w:hint="eastAsia"/>
            </w:rPr>
            <w:t xml:space="preserve">3. </w:t>
          </w:r>
          <w:r>
            <w:t>BCI分类体系</w:t>
          </w:r>
          <w:r>
            <w:tab/>
          </w:r>
          <w:r>
            <w:fldChar w:fldCharType="begin"/>
          </w:r>
          <w:r>
            <w:instrText xml:space="preserve"> PAGEREF _Toc448784794 \h </w:instrText>
          </w:r>
          <w:r>
            <w:fldChar w:fldCharType="separate"/>
          </w:r>
          <w:r>
            <w:t>41</w:t>
          </w:r>
          <w:r>
            <w:fldChar w:fldCharType="end"/>
          </w:r>
          <w:r>
            <w:rPr>
              <w:rFonts w:ascii="仿宋" w:hAnsi="仿宋" w:eastAsia="仿宋" w:cs="Arial"/>
              <w:color w:val="0000FF"/>
            </w:rPr>
            <w:fldChar w:fldCharType="end"/>
          </w:r>
        </w:p>
        <w:p w14:paraId="6796CA98">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_Toc763464494 </w:instrText>
          </w:r>
          <w:r>
            <w:rPr>
              <w:rFonts w:ascii="仿宋" w:hAnsi="仿宋" w:eastAsia="仿宋" w:cs="Arial"/>
            </w:rPr>
            <w:fldChar w:fldCharType="separate"/>
          </w:r>
          <w:r>
            <w:t>（1） 按植入方式分类</w:t>
          </w:r>
          <w:r>
            <w:tab/>
          </w:r>
          <w:r>
            <w:fldChar w:fldCharType="begin"/>
          </w:r>
          <w:r>
            <w:instrText xml:space="preserve"> PAGEREF _Toc763464494 \h </w:instrText>
          </w:r>
          <w:r>
            <w:fldChar w:fldCharType="separate"/>
          </w:r>
          <w:r>
            <w:t>41</w:t>
          </w:r>
          <w:r>
            <w:fldChar w:fldCharType="end"/>
          </w:r>
          <w:r>
            <w:rPr>
              <w:rFonts w:ascii="仿宋" w:hAnsi="仿宋" w:eastAsia="仿宋" w:cs="Arial"/>
              <w:color w:val="0000FF"/>
            </w:rPr>
            <w:fldChar w:fldCharType="end"/>
          </w:r>
        </w:p>
        <w:p w14:paraId="72C73A3B">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_Toc332959833 </w:instrText>
          </w:r>
          <w:r>
            <w:rPr>
              <w:rFonts w:ascii="仿宋" w:hAnsi="仿宋" w:eastAsia="仿宋" w:cs="Arial"/>
            </w:rPr>
            <w:fldChar w:fldCharType="separate"/>
          </w:r>
          <w:r>
            <w:t>（2） 按功能用途分类</w:t>
          </w:r>
          <w:r>
            <w:tab/>
          </w:r>
          <w:r>
            <w:fldChar w:fldCharType="begin"/>
          </w:r>
          <w:r>
            <w:instrText xml:space="preserve"> PAGEREF _Toc332959833 \h </w:instrText>
          </w:r>
          <w:r>
            <w:fldChar w:fldCharType="separate"/>
          </w:r>
          <w:r>
            <w:t>42</w:t>
          </w:r>
          <w:r>
            <w:fldChar w:fldCharType="end"/>
          </w:r>
          <w:r>
            <w:rPr>
              <w:rFonts w:ascii="仿宋" w:hAnsi="仿宋" w:eastAsia="仿宋" w:cs="Arial"/>
              <w:color w:val="0000FF"/>
            </w:rPr>
            <w:fldChar w:fldCharType="end"/>
          </w:r>
        </w:p>
        <w:p w14:paraId="09D5B2A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_Toc1861012796 </w:instrText>
          </w:r>
          <w:r>
            <w:rPr>
              <w:rFonts w:ascii="仿宋" w:hAnsi="仿宋" w:eastAsia="仿宋" w:cs="Arial"/>
            </w:rPr>
            <w:fldChar w:fldCharType="separate"/>
          </w:r>
          <w:r>
            <w:t>（3） 按控制模式分类</w:t>
          </w:r>
          <w:r>
            <w:tab/>
          </w:r>
          <w:r>
            <w:fldChar w:fldCharType="begin"/>
          </w:r>
          <w:r>
            <w:instrText xml:space="preserve"> PAGEREF _Toc1861012796 \h </w:instrText>
          </w:r>
          <w:r>
            <w:fldChar w:fldCharType="separate"/>
          </w:r>
          <w:r>
            <w:t>42</w:t>
          </w:r>
          <w:r>
            <w:fldChar w:fldCharType="end"/>
          </w:r>
          <w:r>
            <w:rPr>
              <w:rFonts w:ascii="仿宋" w:hAnsi="仿宋" w:eastAsia="仿宋" w:cs="Arial"/>
              <w:color w:val="0000FF"/>
            </w:rPr>
            <w:fldChar w:fldCharType="end"/>
          </w:r>
        </w:p>
        <w:p w14:paraId="6925430E">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_Toc2090227464 </w:instrText>
          </w:r>
          <w:r>
            <w:rPr>
              <w:rFonts w:ascii="仿宋" w:hAnsi="仿宋" w:eastAsia="仿宋" w:cs="Arial"/>
            </w:rPr>
            <w:fldChar w:fldCharType="separate"/>
          </w:r>
          <w:r>
            <w:rPr>
              <w:rFonts w:hint="eastAsia"/>
            </w:rPr>
            <w:t xml:space="preserve">4. </w:t>
          </w:r>
          <w:r>
            <w:t>BCI发展历程关键里程碑</w:t>
          </w:r>
          <w:r>
            <w:tab/>
          </w:r>
          <w:r>
            <w:fldChar w:fldCharType="begin"/>
          </w:r>
          <w:r>
            <w:instrText xml:space="preserve"> PAGEREF _Toc2090227464 \h </w:instrText>
          </w:r>
          <w:r>
            <w:fldChar w:fldCharType="separate"/>
          </w:r>
          <w:r>
            <w:t>42</w:t>
          </w:r>
          <w:r>
            <w:fldChar w:fldCharType="end"/>
          </w:r>
          <w:r>
            <w:rPr>
              <w:rFonts w:ascii="仿宋" w:hAnsi="仿宋" w:eastAsia="仿宋" w:cs="Arial"/>
              <w:color w:val="0000FF"/>
            </w:rPr>
            <w:fldChar w:fldCharType="end"/>
          </w:r>
        </w:p>
        <w:p w14:paraId="563058BF">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_Toc1915489822 </w:instrText>
          </w:r>
          <w:r>
            <w:rPr>
              <w:rFonts w:ascii="仿宋" w:hAnsi="仿宋" w:eastAsia="仿宋" w:cs="Arial"/>
            </w:rPr>
            <w:fldChar w:fldCharType="separate"/>
          </w:r>
          <w:r>
            <w:rPr>
              <w:rFonts w:hint="eastAsia"/>
            </w:rPr>
            <w:t xml:space="preserve">5. </w:t>
          </w:r>
          <w:r>
            <w:t>医疗级BCI市场规模（2020-2034E）</w:t>
          </w:r>
          <w:r>
            <w:tab/>
          </w:r>
          <w:r>
            <w:fldChar w:fldCharType="begin"/>
          </w:r>
          <w:r>
            <w:instrText xml:space="preserve"> PAGEREF _Toc1915489822 \h </w:instrText>
          </w:r>
          <w:r>
            <w:fldChar w:fldCharType="separate"/>
          </w:r>
          <w:r>
            <w:t>43</w:t>
          </w:r>
          <w:r>
            <w:fldChar w:fldCharType="end"/>
          </w:r>
          <w:r>
            <w:rPr>
              <w:rFonts w:ascii="仿宋" w:hAnsi="仿宋" w:eastAsia="仿宋" w:cs="Arial"/>
              <w:color w:val="0000FF"/>
            </w:rPr>
            <w:fldChar w:fldCharType="end"/>
          </w:r>
        </w:p>
        <w:p w14:paraId="0A008528">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_Toc710086177 </w:instrText>
          </w:r>
          <w:r>
            <w:rPr>
              <w:rFonts w:ascii="仿宋" w:hAnsi="仿宋" w:eastAsia="仿宋" w:cs="Arial"/>
            </w:rPr>
            <w:fldChar w:fldCharType="separate"/>
          </w:r>
          <w:r>
            <w:t>（1） 整体规模</w:t>
          </w:r>
          <w:r>
            <w:tab/>
          </w:r>
          <w:r>
            <w:fldChar w:fldCharType="begin"/>
          </w:r>
          <w:r>
            <w:instrText xml:space="preserve"> PAGEREF _Toc710086177 \h </w:instrText>
          </w:r>
          <w:r>
            <w:fldChar w:fldCharType="separate"/>
          </w:r>
          <w:r>
            <w:t>43</w:t>
          </w:r>
          <w:r>
            <w:fldChar w:fldCharType="end"/>
          </w:r>
          <w:r>
            <w:rPr>
              <w:rFonts w:ascii="仿宋" w:hAnsi="仿宋" w:eastAsia="仿宋" w:cs="Arial"/>
              <w:color w:val="0000FF"/>
            </w:rPr>
            <w:fldChar w:fldCharType="end"/>
          </w:r>
        </w:p>
        <w:p w14:paraId="5D7392D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_Toc851750460 </w:instrText>
          </w:r>
          <w:r>
            <w:rPr>
              <w:rFonts w:ascii="仿宋" w:hAnsi="仿宋" w:eastAsia="仿宋" w:cs="Arial"/>
            </w:rPr>
            <w:fldChar w:fldCharType="separate"/>
          </w:r>
          <w:r>
            <w:t>（2） 中国市场</w:t>
          </w:r>
          <w:r>
            <w:tab/>
          </w:r>
          <w:r>
            <w:fldChar w:fldCharType="begin"/>
          </w:r>
          <w:r>
            <w:instrText xml:space="preserve"> PAGEREF _Toc851750460 \h </w:instrText>
          </w:r>
          <w:r>
            <w:fldChar w:fldCharType="separate"/>
          </w:r>
          <w:r>
            <w:t>43</w:t>
          </w:r>
          <w:r>
            <w:fldChar w:fldCharType="end"/>
          </w:r>
          <w:r>
            <w:rPr>
              <w:rFonts w:ascii="仿宋" w:hAnsi="仿宋" w:eastAsia="仿宋" w:cs="Arial"/>
              <w:color w:val="0000FF"/>
            </w:rPr>
            <w:fldChar w:fldCharType="end"/>
          </w:r>
        </w:p>
        <w:p w14:paraId="2C85A8A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_Toc243990318 </w:instrText>
          </w:r>
          <w:r>
            <w:rPr>
              <w:rFonts w:ascii="仿宋" w:hAnsi="仿宋" w:eastAsia="仿宋" w:cs="Arial"/>
            </w:rPr>
            <w:fldChar w:fldCharType="separate"/>
          </w:r>
          <w:r>
            <w:t>（3） 增速对比</w:t>
          </w:r>
          <w:r>
            <w:tab/>
          </w:r>
          <w:r>
            <w:fldChar w:fldCharType="begin"/>
          </w:r>
          <w:r>
            <w:instrText xml:space="preserve"> PAGEREF _Toc243990318 \h </w:instrText>
          </w:r>
          <w:r>
            <w:fldChar w:fldCharType="separate"/>
          </w:r>
          <w:r>
            <w:t>43</w:t>
          </w:r>
          <w:r>
            <w:fldChar w:fldCharType="end"/>
          </w:r>
          <w:r>
            <w:rPr>
              <w:rFonts w:ascii="仿宋" w:hAnsi="仿宋" w:eastAsia="仿宋" w:cs="Arial"/>
              <w:color w:val="0000FF"/>
            </w:rPr>
            <w:fldChar w:fldCharType="end"/>
          </w:r>
        </w:p>
        <w:p w14:paraId="1239182B">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_Toc1198992503 </w:instrText>
          </w:r>
          <w:r>
            <w:rPr>
              <w:rFonts w:ascii="仿宋" w:hAnsi="仿宋" w:eastAsia="仿宋" w:cs="Arial"/>
            </w:rPr>
            <w:fldChar w:fldCharType="separate"/>
          </w:r>
          <w:r>
            <w:rPr>
              <w:rFonts w:hint="eastAsia"/>
            </w:rPr>
            <w:t xml:space="preserve">6. </w:t>
          </w:r>
          <w:r>
            <w:t>BCI市场增长驱动因素</w:t>
          </w:r>
          <w:r>
            <w:tab/>
          </w:r>
          <w:r>
            <w:fldChar w:fldCharType="begin"/>
          </w:r>
          <w:r>
            <w:instrText xml:space="preserve"> PAGEREF _Toc1198992503 \h </w:instrText>
          </w:r>
          <w:r>
            <w:fldChar w:fldCharType="separate"/>
          </w:r>
          <w:r>
            <w:t>44</w:t>
          </w:r>
          <w:r>
            <w:fldChar w:fldCharType="end"/>
          </w:r>
          <w:r>
            <w:rPr>
              <w:rFonts w:ascii="仿宋" w:hAnsi="仿宋" w:eastAsia="仿宋" w:cs="Arial"/>
              <w:color w:val="0000FF"/>
            </w:rPr>
            <w:fldChar w:fldCharType="end"/>
          </w:r>
        </w:p>
        <w:p w14:paraId="1E644546">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_Toc1627938120 </w:instrText>
          </w:r>
          <w:r>
            <w:rPr>
              <w:rFonts w:ascii="仿宋" w:hAnsi="仿宋" w:eastAsia="仿宋" w:cs="Arial"/>
            </w:rPr>
            <w:fldChar w:fldCharType="separate"/>
          </w:r>
          <w:r>
            <w:rPr>
              <w:rFonts w:hint="eastAsia"/>
              <w:lang w:eastAsia="zh-CN"/>
            </w:rPr>
            <w:t xml:space="preserve">(三) </w:t>
          </w:r>
          <w:r>
            <w:t>BCI细分——RNS响应式神经刺激系统</w:t>
          </w:r>
          <w:r>
            <w:tab/>
          </w:r>
          <w:r>
            <w:fldChar w:fldCharType="begin"/>
          </w:r>
          <w:r>
            <w:instrText xml:space="preserve"> PAGEREF _Toc1627938120 \h </w:instrText>
          </w:r>
          <w:r>
            <w:fldChar w:fldCharType="separate"/>
          </w:r>
          <w:r>
            <w:t>44</w:t>
          </w:r>
          <w:r>
            <w:fldChar w:fldCharType="end"/>
          </w:r>
          <w:r>
            <w:rPr>
              <w:rFonts w:ascii="仿宋" w:hAnsi="仿宋" w:eastAsia="仿宋" w:cs="Arial"/>
              <w:color w:val="0000FF"/>
            </w:rPr>
            <w:fldChar w:fldCharType="end"/>
          </w:r>
        </w:p>
        <w:p w14:paraId="1C6810C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_Toc1814320060 </w:instrText>
          </w:r>
          <w:r>
            <w:rPr>
              <w:rFonts w:ascii="仿宋" w:hAnsi="仿宋" w:eastAsia="仿宋" w:cs="Arial"/>
            </w:rPr>
            <w:fldChar w:fldCharType="separate"/>
          </w:r>
          <w:r>
            <w:rPr>
              <w:rFonts w:hint="eastAsia"/>
            </w:rPr>
            <w:t xml:space="preserve">1. </w:t>
          </w:r>
          <w:r>
            <w:t>RNS产品原理与系统构成</w:t>
          </w:r>
          <w:r>
            <w:tab/>
          </w:r>
          <w:r>
            <w:fldChar w:fldCharType="begin"/>
          </w:r>
          <w:r>
            <w:instrText xml:space="preserve"> PAGEREF _Toc1814320060 \h </w:instrText>
          </w:r>
          <w:r>
            <w:fldChar w:fldCharType="separate"/>
          </w:r>
          <w:r>
            <w:t>44</w:t>
          </w:r>
          <w:r>
            <w:fldChar w:fldCharType="end"/>
          </w:r>
          <w:r>
            <w:rPr>
              <w:rFonts w:ascii="仿宋" w:hAnsi="仿宋" w:eastAsia="仿宋" w:cs="Arial"/>
              <w:color w:val="0000FF"/>
            </w:rPr>
            <w:fldChar w:fldCharType="end"/>
          </w:r>
        </w:p>
        <w:p w14:paraId="393FC03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_Toc1156944667 </w:instrText>
          </w:r>
          <w:r>
            <w:rPr>
              <w:rFonts w:ascii="仿宋" w:hAnsi="仿宋" w:eastAsia="仿宋" w:cs="Arial"/>
            </w:rPr>
            <w:fldChar w:fldCharType="separate"/>
          </w:r>
          <w:r>
            <w:rPr>
              <w:rFonts w:hint="eastAsia"/>
            </w:rPr>
            <w:t xml:space="preserve">2. </w:t>
          </w:r>
          <w:r>
            <w:t>RNS植入手术步骤</w:t>
          </w:r>
          <w:r>
            <w:tab/>
          </w:r>
          <w:r>
            <w:fldChar w:fldCharType="begin"/>
          </w:r>
          <w:r>
            <w:instrText xml:space="preserve"> PAGEREF _Toc1156944667 \h </w:instrText>
          </w:r>
          <w:r>
            <w:fldChar w:fldCharType="separate"/>
          </w:r>
          <w:r>
            <w:t>45</w:t>
          </w:r>
          <w:r>
            <w:fldChar w:fldCharType="end"/>
          </w:r>
          <w:r>
            <w:rPr>
              <w:rFonts w:ascii="仿宋" w:hAnsi="仿宋" w:eastAsia="仿宋" w:cs="Arial"/>
              <w:color w:val="0000FF"/>
            </w:rPr>
            <w:fldChar w:fldCharType="end"/>
          </w:r>
        </w:p>
        <w:p w14:paraId="70685C8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_Toc1452078331 </w:instrText>
          </w:r>
          <w:r>
            <w:rPr>
              <w:rFonts w:ascii="仿宋" w:hAnsi="仿宋" w:eastAsia="仿宋" w:cs="Arial"/>
            </w:rPr>
            <w:fldChar w:fldCharType="separate"/>
          </w:r>
          <w:r>
            <w:rPr>
              <w:rFonts w:hint="eastAsia"/>
            </w:rPr>
            <w:t xml:space="preserve">3. </w:t>
          </w:r>
          <w:r>
            <w:t>RNS核心优势</w:t>
          </w:r>
          <w:r>
            <w:tab/>
          </w:r>
          <w:r>
            <w:fldChar w:fldCharType="begin"/>
          </w:r>
          <w:r>
            <w:instrText xml:space="preserve"> PAGEREF _Toc1452078331 \h </w:instrText>
          </w:r>
          <w:r>
            <w:fldChar w:fldCharType="separate"/>
          </w:r>
          <w:r>
            <w:t>46</w:t>
          </w:r>
          <w:r>
            <w:fldChar w:fldCharType="end"/>
          </w:r>
          <w:r>
            <w:rPr>
              <w:rFonts w:ascii="仿宋" w:hAnsi="仿宋" w:eastAsia="仿宋" w:cs="Arial"/>
              <w:color w:val="0000FF"/>
            </w:rPr>
            <w:fldChar w:fldCharType="end"/>
          </w:r>
        </w:p>
        <w:p w14:paraId="6C2D6ADB">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_Toc1076344609 </w:instrText>
          </w:r>
          <w:r>
            <w:rPr>
              <w:rFonts w:ascii="仿宋" w:hAnsi="仿宋" w:eastAsia="仿宋" w:cs="Arial"/>
            </w:rPr>
            <w:fldChar w:fldCharType="separate"/>
          </w:r>
          <w:r>
            <w:rPr>
              <w:rFonts w:hint="eastAsia"/>
            </w:rPr>
            <w:t xml:space="preserve">4. </w:t>
          </w:r>
          <w:r>
            <w:t>RNS行业进入壁垒</w:t>
          </w:r>
          <w:r>
            <w:tab/>
          </w:r>
          <w:r>
            <w:fldChar w:fldCharType="begin"/>
          </w:r>
          <w:r>
            <w:instrText xml:space="preserve"> PAGEREF _Toc1076344609 \h </w:instrText>
          </w:r>
          <w:r>
            <w:fldChar w:fldCharType="separate"/>
          </w:r>
          <w:r>
            <w:t>46</w:t>
          </w:r>
          <w:r>
            <w:fldChar w:fldCharType="end"/>
          </w:r>
          <w:r>
            <w:rPr>
              <w:rFonts w:ascii="仿宋" w:hAnsi="仿宋" w:eastAsia="仿宋" w:cs="Arial"/>
              <w:color w:val="0000FF"/>
            </w:rPr>
            <w:fldChar w:fldCharType="end"/>
          </w:r>
        </w:p>
        <w:p w14:paraId="336CB33F">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_Toc1869084782 </w:instrText>
          </w:r>
          <w:r>
            <w:rPr>
              <w:rFonts w:ascii="仿宋" w:hAnsi="仿宋" w:eastAsia="仿宋" w:cs="Arial"/>
            </w:rPr>
            <w:fldChar w:fldCharType="separate"/>
          </w:r>
          <w:r>
            <w:rPr>
              <w:rFonts w:hint="eastAsia"/>
            </w:rPr>
            <w:t xml:space="preserve">5. </w:t>
          </w:r>
          <w:r>
            <w:t>RNS市场规模（2020-2034E）</w:t>
          </w:r>
          <w:r>
            <w:tab/>
          </w:r>
          <w:r>
            <w:fldChar w:fldCharType="begin"/>
          </w:r>
          <w:r>
            <w:instrText xml:space="preserve"> PAGEREF _Toc1869084782 \h </w:instrText>
          </w:r>
          <w:r>
            <w:fldChar w:fldCharType="separate"/>
          </w:r>
          <w:r>
            <w:t>46</w:t>
          </w:r>
          <w:r>
            <w:fldChar w:fldCharType="end"/>
          </w:r>
          <w:r>
            <w:rPr>
              <w:rFonts w:ascii="仿宋" w:hAnsi="仿宋" w:eastAsia="仿宋" w:cs="Arial"/>
              <w:color w:val="0000FF"/>
            </w:rPr>
            <w:fldChar w:fldCharType="end"/>
          </w:r>
        </w:p>
        <w:p w14:paraId="7562C98F">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_Toc317142758 </w:instrText>
          </w:r>
          <w:r>
            <w:rPr>
              <w:rFonts w:ascii="仿宋" w:hAnsi="仿宋" w:eastAsia="仿宋" w:cs="Arial"/>
            </w:rPr>
            <w:fldChar w:fldCharType="separate"/>
          </w:r>
          <w:r>
            <w:rPr>
              <w:rFonts w:hint="eastAsia"/>
            </w:rPr>
            <w:t xml:space="preserve">6. </w:t>
          </w:r>
          <w:r>
            <w:t>RNS竞争格局</w:t>
          </w:r>
          <w:r>
            <w:tab/>
          </w:r>
          <w:r>
            <w:fldChar w:fldCharType="begin"/>
          </w:r>
          <w:r>
            <w:instrText xml:space="preserve"> PAGEREF _Toc317142758 \h </w:instrText>
          </w:r>
          <w:r>
            <w:fldChar w:fldCharType="separate"/>
          </w:r>
          <w:r>
            <w:t>47</w:t>
          </w:r>
          <w:r>
            <w:fldChar w:fldCharType="end"/>
          </w:r>
          <w:r>
            <w:rPr>
              <w:rFonts w:ascii="仿宋" w:hAnsi="仿宋" w:eastAsia="仿宋" w:cs="Arial"/>
              <w:color w:val="0000FF"/>
            </w:rPr>
            <w:fldChar w:fldCharType="end"/>
          </w:r>
        </w:p>
        <w:p w14:paraId="67753702">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_Toc163921852 </w:instrText>
          </w:r>
          <w:r>
            <w:rPr>
              <w:rFonts w:ascii="仿宋" w:hAnsi="仿宋" w:eastAsia="仿宋" w:cs="Arial"/>
            </w:rPr>
            <w:fldChar w:fldCharType="separate"/>
          </w:r>
          <w:r>
            <w:rPr>
              <w:rFonts w:hint="eastAsia"/>
            </w:rPr>
            <w:t xml:space="preserve">7. </w:t>
          </w:r>
          <w:r>
            <w:t>RNS市场驱动与发展趋势</w:t>
          </w:r>
          <w:r>
            <w:tab/>
          </w:r>
          <w:r>
            <w:fldChar w:fldCharType="begin"/>
          </w:r>
          <w:r>
            <w:instrText xml:space="preserve"> PAGEREF _Toc163921852 \h </w:instrText>
          </w:r>
          <w:r>
            <w:fldChar w:fldCharType="separate"/>
          </w:r>
          <w:r>
            <w:t>48</w:t>
          </w:r>
          <w:r>
            <w:fldChar w:fldCharType="end"/>
          </w:r>
          <w:r>
            <w:rPr>
              <w:rFonts w:ascii="仿宋" w:hAnsi="仿宋" w:eastAsia="仿宋" w:cs="Arial"/>
              <w:color w:val="0000FF"/>
            </w:rPr>
            <w:fldChar w:fldCharType="end"/>
          </w:r>
        </w:p>
        <w:p w14:paraId="3439EDA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_Toc1960531110 </w:instrText>
          </w:r>
          <w:r>
            <w:rPr>
              <w:rFonts w:ascii="仿宋" w:hAnsi="仿宋" w:eastAsia="仿宋" w:cs="Arial"/>
            </w:rPr>
            <w:fldChar w:fldCharType="separate"/>
          </w:r>
          <w:r>
            <w:rPr>
              <w:rFonts w:hint="eastAsia"/>
            </w:rPr>
            <w:t xml:space="preserve">8. </w:t>
          </w:r>
          <w:r>
            <w:t>耐药性癫痫（DRE）行业分析</w:t>
          </w:r>
          <w:r>
            <w:tab/>
          </w:r>
          <w:r>
            <w:fldChar w:fldCharType="begin"/>
          </w:r>
          <w:r>
            <w:instrText xml:space="preserve"> PAGEREF _Toc1960531110 \h </w:instrText>
          </w:r>
          <w:r>
            <w:fldChar w:fldCharType="separate"/>
          </w:r>
          <w:r>
            <w:t>48</w:t>
          </w:r>
          <w:r>
            <w:fldChar w:fldCharType="end"/>
          </w:r>
          <w:r>
            <w:rPr>
              <w:rFonts w:ascii="仿宋" w:hAnsi="仿宋" w:eastAsia="仿宋" w:cs="Arial"/>
              <w:color w:val="0000FF"/>
            </w:rPr>
            <w:fldChar w:fldCharType="end"/>
          </w:r>
        </w:p>
        <w:p w14:paraId="18AAE801">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_Toc1804769849 </w:instrText>
          </w:r>
          <w:r>
            <w:rPr>
              <w:rFonts w:ascii="仿宋" w:hAnsi="仿宋" w:eastAsia="仿宋" w:cs="Arial"/>
            </w:rPr>
            <w:fldChar w:fldCharType="separate"/>
          </w:r>
          <w:r>
            <w:t>（1） 定义与流行病学</w:t>
          </w:r>
          <w:r>
            <w:tab/>
          </w:r>
          <w:r>
            <w:fldChar w:fldCharType="begin"/>
          </w:r>
          <w:r>
            <w:instrText xml:space="preserve"> PAGEREF _Toc1804769849 \h </w:instrText>
          </w:r>
          <w:r>
            <w:fldChar w:fldCharType="separate"/>
          </w:r>
          <w:r>
            <w:t>48</w:t>
          </w:r>
          <w:r>
            <w:fldChar w:fldCharType="end"/>
          </w:r>
          <w:r>
            <w:rPr>
              <w:rFonts w:ascii="仿宋" w:hAnsi="仿宋" w:eastAsia="仿宋" w:cs="Arial"/>
              <w:color w:val="0000FF"/>
            </w:rPr>
            <w:fldChar w:fldCharType="end"/>
          </w:r>
        </w:p>
        <w:p w14:paraId="60652504">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_Toc1707821915 </w:instrText>
          </w:r>
          <w:r>
            <w:rPr>
              <w:rFonts w:ascii="仿宋" w:hAnsi="仿宋" w:eastAsia="仿宋" w:cs="Arial"/>
            </w:rPr>
            <w:fldChar w:fldCharType="separate"/>
          </w:r>
          <w:r>
            <w:t>（2） 癫痫分类</w:t>
          </w:r>
          <w:r>
            <w:tab/>
          </w:r>
          <w:r>
            <w:fldChar w:fldCharType="begin"/>
          </w:r>
          <w:r>
            <w:instrText xml:space="preserve"> PAGEREF _Toc1707821915 \h </w:instrText>
          </w:r>
          <w:r>
            <w:fldChar w:fldCharType="separate"/>
          </w:r>
          <w:r>
            <w:t>49</w:t>
          </w:r>
          <w:r>
            <w:fldChar w:fldCharType="end"/>
          </w:r>
          <w:r>
            <w:rPr>
              <w:rFonts w:ascii="仿宋" w:hAnsi="仿宋" w:eastAsia="仿宋" w:cs="Arial"/>
              <w:color w:val="0000FF"/>
            </w:rPr>
            <w:fldChar w:fldCharType="end"/>
          </w:r>
        </w:p>
        <w:p w14:paraId="164173B6">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_Toc96499603 </w:instrText>
          </w:r>
          <w:r>
            <w:rPr>
              <w:rFonts w:ascii="仿宋" w:hAnsi="仿宋" w:eastAsia="仿宋" w:cs="Arial"/>
            </w:rPr>
            <w:fldChar w:fldCharType="separate"/>
          </w:r>
          <w:r>
            <w:t>（3） DRE发病机制假说</w:t>
          </w:r>
          <w:r>
            <w:tab/>
          </w:r>
          <w:r>
            <w:fldChar w:fldCharType="begin"/>
          </w:r>
          <w:r>
            <w:instrText xml:space="preserve"> PAGEREF _Toc96499603 \h </w:instrText>
          </w:r>
          <w:r>
            <w:fldChar w:fldCharType="separate"/>
          </w:r>
          <w:r>
            <w:t>49</w:t>
          </w:r>
          <w:r>
            <w:fldChar w:fldCharType="end"/>
          </w:r>
          <w:r>
            <w:rPr>
              <w:rFonts w:ascii="仿宋" w:hAnsi="仿宋" w:eastAsia="仿宋" w:cs="Arial"/>
              <w:color w:val="0000FF"/>
            </w:rPr>
            <w:fldChar w:fldCharType="end"/>
          </w:r>
        </w:p>
        <w:p w14:paraId="573CD643">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_Toc518674136 </w:instrText>
          </w:r>
          <w:r>
            <w:rPr>
              <w:rFonts w:ascii="仿宋" w:hAnsi="仿宋" w:eastAsia="仿宋" w:cs="Arial"/>
            </w:rPr>
            <w:fldChar w:fldCharType="separate"/>
          </w:r>
          <w:r>
            <w:t>（4） DRE治疗路径</w:t>
          </w:r>
          <w:r>
            <w:tab/>
          </w:r>
          <w:r>
            <w:fldChar w:fldCharType="begin"/>
          </w:r>
          <w:r>
            <w:instrText xml:space="preserve"> PAGEREF _Toc518674136 \h </w:instrText>
          </w:r>
          <w:r>
            <w:fldChar w:fldCharType="separate"/>
          </w:r>
          <w:r>
            <w:t>50</w:t>
          </w:r>
          <w:r>
            <w:fldChar w:fldCharType="end"/>
          </w:r>
          <w:r>
            <w:rPr>
              <w:rFonts w:ascii="仿宋" w:hAnsi="仿宋" w:eastAsia="仿宋" w:cs="Arial"/>
              <w:color w:val="0000FF"/>
            </w:rPr>
            <w:fldChar w:fldCharType="end"/>
          </w:r>
        </w:p>
        <w:p w14:paraId="67F0A8B8">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_Toc720080579 </w:instrText>
          </w:r>
          <w:r>
            <w:rPr>
              <w:rFonts w:ascii="仿宋" w:hAnsi="仿宋" w:eastAsia="仿宋" w:cs="Arial"/>
            </w:rPr>
            <w:fldChar w:fldCharType="separate"/>
          </w:r>
          <w:r>
            <w:t>（5） DRE临床未满足需求</w:t>
          </w:r>
          <w:r>
            <w:tab/>
          </w:r>
          <w:r>
            <w:fldChar w:fldCharType="begin"/>
          </w:r>
          <w:r>
            <w:instrText xml:space="preserve"> PAGEREF _Toc720080579 \h </w:instrText>
          </w:r>
          <w:r>
            <w:fldChar w:fldCharType="separate"/>
          </w:r>
          <w:r>
            <w:t>51</w:t>
          </w:r>
          <w:r>
            <w:fldChar w:fldCharType="end"/>
          </w:r>
          <w:r>
            <w:rPr>
              <w:rFonts w:ascii="仿宋" w:hAnsi="仿宋" w:eastAsia="仿宋" w:cs="Arial"/>
              <w:color w:val="0000FF"/>
            </w:rPr>
            <w:fldChar w:fldCharType="end"/>
          </w:r>
        </w:p>
        <w:p w14:paraId="2A0996B3">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_Toc1323940408 </w:instrText>
          </w:r>
          <w:r>
            <w:rPr>
              <w:rFonts w:ascii="仿宋" w:hAnsi="仿宋" w:eastAsia="仿宋" w:cs="Arial"/>
            </w:rPr>
            <w:fldChar w:fldCharType="separate"/>
          </w:r>
          <w:r>
            <w:rPr>
              <w:rFonts w:hint="eastAsia"/>
              <w:lang w:eastAsia="zh-CN"/>
            </w:rPr>
            <w:t xml:space="preserve">(四) </w:t>
          </w:r>
          <w:r>
            <w:t>LITT激光间质热疗设备市场</w:t>
          </w:r>
          <w:r>
            <w:tab/>
          </w:r>
          <w:r>
            <w:fldChar w:fldCharType="begin"/>
          </w:r>
          <w:r>
            <w:instrText xml:space="preserve"> PAGEREF _Toc1323940408 \h </w:instrText>
          </w:r>
          <w:r>
            <w:fldChar w:fldCharType="separate"/>
          </w:r>
          <w:r>
            <w:t>51</w:t>
          </w:r>
          <w:r>
            <w:fldChar w:fldCharType="end"/>
          </w:r>
          <w:r>
            <w:rPr>
              <w:rFonts w:ascii="仿宋" w:hAnsi="仿宋" w:eastAsia="仿宋" w:cs="Arial"/>
              <w:color w:val="0000FF"/>
            </w:rPr>
            <w:fldChar w:fldCharType="end"/>
          </w:r>
        </w:p>
        <w:p w14:paraId="4D0CAE4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_Toc1388370689 </w:instrText>
          </w:r>
          <w:r>
            <w:rPr>
              <w:rFonts w:ascii="仿宋" w:hAnsi="仿宋" w:eastAsia="仿宋" w:cs="Arial"/>
            </w:rPr>
            <w:fldChar w:fldCharType="separate"/>
          </w:r>
          <w:r>
            <w:rPr>
              <w:rFonts w:hint="eastAsia"/>
            </w:rPr>
            <w:t xml:space="preserve">1. </w:t>
          </w:r>
          <w:r>
            <w:t>LITT技术原理</w:t>
          </w:r>
          <w:r>
            <w:tab/>
          </w:r>
          <w:r>
            <w:fldChar w:fldCharType="begin"/>
          </w:r>
          <w:r>
            <w:instrText xml:space="preserve"> PAGEREF _Toc1388370689 \h </w:instrText>
          </w:r>
          <w:r>
            <w:fldChar w:fldCharType="separate"/>
          </w:r>
          <w:r>
            <w:t>51</w:t>
          </w:r>
          <w:r>
            <w:fldChar w:fldCharType="end"/>
          </w:r>
          <w:r>
            <w:rPr>
              <w:rFonts w:ascii="仿宋" w:hAnsi="仿宋" w:eastAsia="仿宋" w:cs="Arial"/>
              <w:color w:val="0000FF"/>
            </w:rPr>
            <w:fldChar w:fldCharType="end"/>
          </w:r>
        </w:p>
        <w:p w14:paraId="253EAC72">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_Toc1936345368 </w:instrText>
          </w:r>
          <w:r>
            <w:rPr>
              <w:rFonts w:ascii="仿宋" w:hAnsi="仿宋" w:eastAsia="仿宋" w:cs="Arial"/>
            </w:rPr>
            <w:fldChar w:fldCharType="separate"/>
          </w:r>
          <w:r>
            <w:rPr>
              <w:rFonts w:hint="eastAsia"/>
            </w:rPr>
            <w:t xml:space="preserve">2. </w:t>
          </w:r>
          <w:r>
            <w:t>LITT治疗流程</w:t>
          </w:r>
          <w:r>
            <w:tab/>
          </w:r>
          <w:r>
            <w:fldChar w:fldCharType="begin"/>
          </w:r>
          <w:r>
            <w:instrText xml:space="preserve"> PAGEREF _Toc1936345368 \h </w:instrText>
          </w:r>
          <w:r>
            <w:fldChar w:fldCharType="separate"/>
          </w:r>
          <w:r>
            <w:t>51</w:t>
          </w:r>
          <w:r>
            <w:fldChar w:fldCharType="end"/>
          </w:r>
          <w:r>
            <w:rPr>
              <w:rFonts w:ascii="仿宋" w:hAnsi="仿宋" w:eastAsia="仿宋" w:cs="Arial"/>
              <w:color w:val="0000FF"/>
            </w:rPr>
            <w:fldChar w:fldCharType="end"/>
          </w:r>
        </w:p>
        <w:p w14:paraId="43AE927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_Toc1189413338 </w:instrText>
          </w:r>
          <w:r>
            <w:rPr>
              <w:rFonts w:ascii="仿宋" w:hAnsi="仿宋" w:eastAsia="仿宋" w:cs="Arial"/>
            </w:rPr>
            <w:fldChar w:fldCharType="separate"/>
          </w:r>
          <w:r>
            <w:rPr>
              <w:rFonts w:hint="eastAsia"/>
            </w:rPr>
            <w:t xml:space="preserve">3. </w:t>
          </w:r>
          <w:r>
            <w:t>LITT核心优势</w:t>
          </w:r>
          <w:r>
            <w:tab/>
          </w:r>
          <w:r>
            <w:fldChar w:fldCharType="begin"/>
          </w:r>
          <w:r>
            <w:instrText xml:space="preserve"> PAGEREF _Toc1189413338 \h </w:instrText>
          </w:r>
          <w:r>
            <w:fldChar w:fldCharType="separate"/>
          </w:r>
          <w:r>
            <w:t>51</w:t>
          </w:r>
          <w:r>
            <w:fldChar w:fldCharType="end"/>
          </w:r>
          <w:r>
            <w:rPr>
              <w:rFonts w:ascii="仿宋" w:hAnsi="仿宋" w:eastAsia="仿宋" w:cs="Arial"/>
              <w:color w:val="0000FF"/>
            </w:rPr>
            <w:fldChar w:fldCharType="end"/>
          </w:r>
        </w:p>
        <w:p w14:paraId="39F0089E">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_Toc1692185490 </w:instrText>
          </w:r>
          <w:r>
            <w:rPr>
              <w:rFonts w:ascii="仿宋" w:hAnsi="仿宋" w:eastAsia="仿宋" w:cs="Arial"/>
            </w:rPr>
            <w:fldChar w:fldCharType="separate"/>
          </w:r>
          <w:r>
            <w:rPr>
              <w:rFonts w:hint="eastAsia"/>
            </w:rPr>
            <w:t xml:space="preserve">4. </w:t>
          </w:r>
          <w:r>
            <w:t>LITT行业进入壁垒</w:t>
          </w:r>
          <w:r>
            <w:tab/>
          </w:r>
          <w:r>
            <w:fldChar w:fldCharType="begin"/>
          </w:r>
          <w:r>
            <w:instrText xml:space="preserve"> PAGEREF _Toc1692185490 \h </w:instrText>
          </w:r>
          <w:r>
            <w:fldChar w:fldCharType="separate"/>
          </w:r>
          <w:r>
            <w:t>52</w:t>
          </w:r>
          <w:r>
            <w:fldChar w:fldCharType="end"/>
          </w:r>
          <w:r>
            <w:rPr>
              <w:rFonts w:ascii="仿宋" w:hAnsi="仿宋" w:eastAsia="仿宋" w:cs="Arial"/>
              <w:color w:val="0000FF"/>
            </w:rPr>
            <w:fldChar w:fldCharType="end"/>
          </w:r>
        </w:p>
        <w:p w14:paraId="1353B5E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_Toc1435593209 </w:instrText>
          </w:r>
          <w:r>
            <w:rPr>
              <w:rFonts w:ascii="仿宋" w:hAnsi="仿宋" w:eastAsia="仿宋" w:cs="Arial"/>
            </w:rPr>
            <w:fldChar w:fldCharType="separate"/>
          </w:r>
          <w:r>
            <w:rPr>
              <w:rFonts w:hint="eastAsia"/>
            </w:rPr>
            <w:t xml:space="preserve">5. </w:t>
          </w:r>
          <w:r>
            <w:t>LITT市场规模（2020-2034E）</w:t>
          </w:r>
          <w:r>
            <w:tab/>
          </w:r>
          <w:r>
            <w:fldChar w:fldCharType="begin"/>
          </w:r>
          <w:r>
            <w:instrText xml:space="preserve"> PAGEREF _Toc1435593209 \h </w:instrText>
          </w:r>
          <w:r>
            <w:fldChar w:fldCharType="separate"/>
          </w:r>
          <w:r>
            <w:t>52</w:t>
          </w:r>
          <w:r>
            <w:fldChar w:fldCharType="end"/>
          </w:r>
          <w:r>
            <w:rPr>
              <w:rFonts w:ascii="仿宋" w:hAnsi="仿宋" w:eastAsia="仿宋" w:cs="Arial"/>
              <w:color w:val="0000FF"/>
            </w:rPr>
            <w:fldChar w:fldCharType="end"/>
          </w:r>
        </w:p>
        <w:p w14:paraId="7B85832E">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_Toc1036289618 </w:instrText>
          </w:r>
          <w:r>
            <w:rPr>
              <w:rFonts w:ascii="仿宋" w:hAnsi="仿宋" w:eastAsia="仿宋" w:cs="Arial"/>
            </w:rPr>
            <w:fldChar w:fldCharType="separate"/>
          </w:r>
          <w:r>
            <w:rPr>
              <w:rFonts w:hint="eastAsia"/>
            </w:rPr>
            <w:t xml:space="preserve">6. </w:t>
          </w:r>
          <w:r>
            <w:t>LITT全球竞争格局</w:t>
          </w:r>
          <w:r>
            <w:tab/>
          </w:r>
          <w:r>
            <w:fldChar w:fldCharType="begin"/>
          </w:r>
          <w:r>
            <w:instrText xml:space="preserve"> PAGEREF _Toc1036289618 \h </w:instrText>
          </w:r>
          <w:r>
            <w:fldChar w:fldCharType="separate"/>
          </w:r>
          <w:r>
            <w:t>53</w:t>
          </w:r>
          <w:r>
            <w:fldChar w:fldCharType="end"/>
          </w:r>
          <w:r>
            <w:rPr>
              <w:rFonts w:ascii="仿宋" w:hAnsi="仿宋" w:eastAsia="仿宋" w:cs="Arial"/>
              <w:color w:val="0000FF"/>
            </w:rPr>
            <w:fldChar w:fldCharType="end"/>
          </w:r>
        </w:p>
        <w:p w14:paraId="727C1DBE">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_Toc827232556 </w:instrText>
          </w:r>
          <w:r>
            <w:rPr>
              <w:rFonts w:ascii="仿宋" w:hAnsi="仿宋" w:eastAsia="仿宋" w:cs="Arial"/>
            </w:rPr>
            <w:fldChar w:fldCharType="separate"/>
          </w:r>
          <w:r>
            <w:rPr>
              <w:rFonts w:hint="eastAsia"/>
            </w:rPr>
            <w:t xml:space="preserve">7. </w:t>
          </w:r>
          <w:r>
            <w:t>LITT市场驱动与趋势</w:t>
          </w:r>
          <w:r>
            <w:tab/>
          </w:r>
          <w:r>
            <w:fldChar w:fldCharType="begin"/>
          </w:r>
          <w:r>
            <w:instrText xml:space="preserve"> PAGEREF _Toc827232556 \h </w:instrText>
          </w:r>
          <w:r>
            <w:fldChar w:fldCharType="separate"/>
          </w:r>
          <w:r>
            <w:t>53</w:t>
          </w:r>
          <w:r>
            <w:fldChar w:fldCharType="end"/>
          </w:r>
          <w:r>
            <w:rPr>
              <w:rFonts w:ascii="仿宋" w:hAnsi="仿宋" w:eastAsia="仿宋" w:cs="Arial"/>
              <w:color w:val="0000FF"/>
            </w:rPr>
            <w:fldChar w:fldCharType="end"/>
          </w:r>
        </w:p>
        <w:p w14:paraId="679F630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_Toc488438014 </w:instrText>
          </w:r>
          <w:r>
            <w:rPr>
              <w:rFonts w:ascii="仿宋" w:hAnsi="仿宋" w:eastAsia="仿宋" w:cs="Arial"/>
            </w:rPr>
            <w:fldChar w:fldCharType="separate"/>
          </w:r>
          <w:r>
            <w:rPr>
              <w:rFonts w:hint="eastAsia"/>
            </w:rPr>
            <w:t xml:space="preserve">8. </w:t>
          </w:r>
          <w:r>
            <w:t>脑肿瘤行业分析</w:t>
          </w:r>
          <w:r>
            <w:tab/>
          </w:r>
          <w:r>
            <w:fldChar w:fldCharType="begin"/>
          </w:r>
          <w:r>
            <w:instrText xml:space="preserve"> PAGEREF _Toc488438014 \h </w:instrText>
          </w:r>
          <w:r>
            <w:fldChar w:fldCharType="separate"/>
          </w:r>
          <w:r>
            <w:t>53</w:t>
          </w:r>
          <w:r>
            <w:fldChar w:fldCharType="end"/>
          </w:r>
          <w:r>
            <w:rPr>
              <w:rFonts w:ascii="仿宋" w:hAnsi="仿宋" w:eastAsia="仿宋" w:cs="Arial"/>
              <w:color w:val="0000FF"/>
            </w:rPr>
            <w:fldChar w:fldCharType="end"/>
          </w:r>
        </w:p>
        <w:p w14:paraId="56F34FC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_Toc1495202464 </w:instrText>
          </w:r>
          <w:r>
            <w:rPr>
              <w:rFonts w:ascii="仿宋" w:hAnsi="仿宋" w:eastAsia="仿宋" w:cs="Arial"/>
            </w:rPr>
            <w:fldChar w:fldCharType="separate"/>
          </w:r>
          <w:r>
            <w:t>（1） 胶质瘤</w:t>
          </w:r>
          <w:r>
            <w:tab/>
          </w:r>
          <w:r>
            <w:fldChar w:fldCharType="begin"/>
          </w:r>
          <w:r>
            <w:instrText xml:space="preserve"> PAGEREF _Toc1495202464 \h </w:instrText>
          </w:r>
          <w:r>
            <w:fldChar w:fldCharType="separate"/>
          </w:r>
          <w:r>
            <w:t>53</w:t>
          </w:r>
          <w:r>
            <w:fldChar w:fldCharType="end"/>
          </w:r>
          <w:r>
            <w:rPr>
              <w:rFonts w:ascii="仿宋" w:hAnsi="仿宋" w:eastAsia="仿宋" w:cs="Arial"/>
              <w:color w:val="0000FF"/>
            </w:rPr>
            <w:fldChar w:fldCharType="end"/>
          </w:r>
        </w:p>
        <w:p w14:paraId="670E3223">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_Toc14175254 </w:instrText>
          </w:r>
          <w:r>
            <w:rPr>
              <w:rFonts w:ascii="仿宋" w:hAnsi="仿宋" w:eastAsia="仿宋" w:cs="Arial"/>
            </w:rPr>
            <w:fldChar w:fldCharType="separate"/>
          </w:r>
          <w:r>
            <w:t>（2） 脑转移瘤</w:t>
          </w:r>
          <w:r>
            <w:tab/>
          </w:r>
          <w:r>
            <w:fldChar w:fldCharType="begin"/>
          </w:r>
          <w:r>
            <w:instrText xml:space="preserve"> PAGEREF _Toc14175254 \h </w:instrText>
          </w:r>
          <w:r>
            <w:fldChar w:fldCharType="separate"/>
          </w:r>
          <w:r>
            <w:t>54</w:t>
          </w:r>
          <w:r>
            <w:fldChar w:fldCharType="end"/>
          </w:r>
          <w:r>
            <w:rPr>
              <w:rFonts w:ascii="仿宋" w:hAnsi="仿宋" w:eastAsia="仿宋" w:cs="Arial"/>
              <w:color w:val="0000FF"/>
            </w:rPr>
            <w:fldChar w:fldCharType="end"/>
          </w:r>
        </w:p>
        <w:p w14:paraId="101D7F8B">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_Toc2020292808 </w:instrText>
          </w:r>
          <w:r>
            <w:rPr>
              <w:rFonts w:ascii="仿宋" w:hAnsi="仿宋" w:eastAsia="仿宋" w:cs="Arial"/>
            </w:rPr>
            <w:fldChar w:fldCharType="separate"/>
          </w:r>
          <w:r>
            <w:t>（3） 脑肿瘤临床未满足需求</w:t>
          </w:r>
          <w:r>
            <w:tab/>
          </w:r>
          <w:r>
            <w:fldChar w:fldCharType="begin"/>
          </w:r>
          <w:r>
            <w:instrText xml:space="preserve"> PAGEREF _Toc2020292808 \h </w:instrText>
          </w:r>
          <w:r>
            <w:fldChar w:fldCharType="separate"/>
          </w:r>
          <w:r>
            <w:t>55</w:t>
          </w:r>
          <w:r>
            <w:fldChar w:fldCharType="end"/>
          </w:r>
          <w:r>
            <w:rPr>
              <w:rFonts w:ascii="仿宋" w:hAnsi="仿宋" w:eastAsia="仿宋" w:cs="Arial"/>
              <w:color w:val="0000FF"/>
            </w:rPr>
            <w:fldChar w:fldCharType="end"/>
          </w:r>
        </w:p>
        <w:p w14:paraId="4103CCAF">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_Toc1197281339 </w:instrText>
          </w:r>
          <w:r>
            <w:rPr>
              <w:rFonts w:ascii="仿宋" w:hAnsi="仿宋" w:eastAsia="仿宋" w:cs="Arial"/>
            </w:rPr>
            <w:fldChar w:fldCharType="separate"/>
          </w:r>
          <w:r>
            <w:rPr>
              <w:rFonts w:hint="eastAsia"/>
              <w:lang w:eastAsia="zh-CN"/>
            </w:rPr>
            <w:t xml:space="preserve">(五) </w:t>
          </w:r>
          <w:r>
            <w:t>SEEG深部电极市场</w:t>
          </w:r>
          <w:r>
            <w:tab/>
          </w:r>
          <w:r>
            <w:fldChar w:fldCharType="begin"/>
          </w:r>
          <w:r>
            <w:instrText xml:space="preserve"> PAGEREF _Toc1197281339 \h </w:instrText>
          </w:r>
          <w:r>
            <w:fldChar w:fldCharType="separate"/>
          </w:r>
          <w:r>
            <w:t>55</w:t>
          </w:r>
          <w:r>
            <w:fldChar w:fldCharType="end"/>
          </w:r>
          <w:r>
            <w:rPr>
              <w:rFonts w:ascii="仿宋" w:hAnsi="仿宋" w:eastAsia="仿宋" w:cs="Arial"/>
              <w:color w:val="0000FF"/>
            </w:rPr>
            <w:fldChar w:fldCharType="end"/>
          </w:r>
        </w:p>
        <w:p w14:paraId="731ACE4A">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_Toc785692183 </w:instrText>
          </w:r>
          <w:r>
            <w:rPr>
              <w:rFonts w:ascii="仿宋" w:hAnsi="仿宋" w:eastAsia="仿宋" w:cs="Arial"/>
            </w:rPr>
            <w:fldChar w:fldCharType="separate"/>
          </w:r>
          <w:r>
            <w:rPr>
              <w:rFonts w:hint="eastAsia"/>
            </w:rPr>
            <w:t xml:space="preserve">1. </w:t>
          </w:r>
          <w:r>
            <w:t>SEEG技术概述</w:t>
          </w:r>
          <w:r>
            <w:tab/>
          </w:r>
          <w:r>
            <w:fldChar w:fldCharType="begin"/>
          </w:r>
          <w:r>
            <w:instrText xml:space="preserve"> PAGEREF _Toc785692183 \h </w:instrText>
          </w:r>
          <w:r>
            <w:fldChar w:fldCharType="separate"/>
          </w:r>
          <w:r>
            <w:t>55</w:t>
          </w:r>
          <w:r>
            <w:fldChar w:fldCharType="end"/>
          </w:r>
          <w:r>
            <w:rPr>
              <w:rFonts w:ascii="仿宋" w:hAnsi="仿宋" w:eastAsia="仿宋" w:cs="Arial"/>
              <w:color w:val="0000FF"/>
            </w:rPr>
            <w:fldChar w:fldCharType="end"/>
          </w:r>
        </w:p>
        <w:p w14:paraId="193D932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_Toc251574278 </w:instrText>
          </w:r>
          <w:r>
            <w:rPr>
              <w:rFonts w:ascii="仿宋" w:hAnsi="仿宋" w:eastAsia="仿宋" w:cs="Arial"/>
            </w:rPr>
            <w:fldChar w:fldCharType="separate"/>
          </w:r>
          <w:r>
            <w:rPr>
              <w:rFonts w:hint="eastAsia"/>
            </w:rPr>
            <w:t xml:space="preserve">2. </w:t>
          </w:r>
          <w:r>
            <w:t>SEEG应用场景</w:t>
          </w:r>
          <w:r>
            <w:tab/>
          </w:r>
          <w:r>
            <w:fldChar w:fldCharType="begin"/>
          </w:r>
          <w:r>
            <w:instrText xml:space="preserve"> PAGEREF _Toc251574278 \h </w:instrText>
          </w:r>
          <w:r>
            <w:fldChar w:fldCharType="separate"/>
          </w:r>
          <w:r>
            <w:t>55</w:t>
          </w:r>
          <w:r>
            <w:fldChar w:fldCharType="end"/>
          </w:r>
          <w:r>
            <w:rPr>
              <w:rFonts w:ascii="仿宋" w:hAnsi="仿宋" w:eastAsia="仿宋" w:cs="Arial"/>
              <w:color w:val="0000FF"/>
            </w:rPr>
            <w:fldChar w:fldCharType="end"/>
          </w:r>
        </w:p>
        <w:p w14:paraId="5727A71D">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_Toc1961073050 </w:instrText>
          </w:r>
          <w:r>
            <w:rPr>
              <w:rFonts w:ascii="仿宋" w:hAnsi="仿宋" w:eastAsia="仿宋" w:cs="Arial"/>
            </w:rPr>
            <w:fldChar w:fldCharType="separate"/>
          </w:r>
          <w:r>
            <w:rPr>
              <w:rFonts w:hint="eastAsia"/>
            </w:rPr>
            <w:t xml:space="preserve">3. </w:t>
          </w:r>
          <w:r>
            <w:t>SEEG市场规模（2020-2034E）</w:t>
          </w:r>
          <w:r>
            <w:tab/>
          </w:r>
          <w:r>
            <w:fldChar w:fldCharType="begin"/>
          </w:r>
          <w:r>
            <w:instrText xml:space="preserve"> PAGEREF _Toc1961073050 \h </w:instrText>
          </w:r>
          <w:r>
            <w:fldChar w:fldCharType="separate"/>
          </w:r>
          <w:r>
            <w:t>56</w:t>
          </w:r>
          <w:r>
            <w:fldChar w:fldCharType="end"/>
          </w:r>
          <w:r>
            <w:rPr>
              <w:rFonts w:ascii="仿宋" w:hAnsi="仿宋" w:eastAsia="仿宋" w:cs="Arial"/>
              <w:color w:val="0000FF"/>
            </w:rPr>
            <w:fldChar w:fldCharType="end"/>
          </w:r>
        </w:p>
        <w:p w14:paraId="4AB6C46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_Toc175737194 </w:instrText>
          </w:r>
          <w:r>
            <w:rPr>
              <w:rFonts w:ascii="仿宋" w:hAnsi="仿宋" w:eastAsia="仿宋" w:cs="Arial"/>
            </w:rPr>
            <w:fldChar w:fldCharType="separate"/>
          </w:r>
          <w:r>
            <w:rPr>
              <w:rFonts w:hint="eastAsia"/>
            </w:rPr>
            <w:t xml:space="preserve">4. </w:t>
          </w:r>
          <w:r>
            <w:t>全球SEEG竞争格局</w:t>
          </w:r>
          <w:r>
            <w:tab/>
          </w:r>
          <w:r>
            <w:fldChar w:fldCharType="begin"/>
          </w:r>
          <w:r>
            <w:instrText xml:space="preserve"> PAGEREF _Toc175737194 \h </w:instrText>
          </w:r>
          <w:r>
            <w:fldChar w:fldCharType="separate"/>
          </w:r>
          <w:r>
            <w:t>56</w:t>
          </w:r>
          <w:r>
            <w:fldChar w:fldCharType="end"/>
          </w:r>
          <w:r>
            <w:rPr>
              <w:rFonts w:ascii="仿宋" w:hAnsi="仿宋" w:eastAsia="仿宋" w:cs="Arial"/>
              <w:color w:val="0000FF"/>
            </w:rPr>
            <w:fldChar w:fldCharType="end"/>
          </w:r>
        </w:p>
        <w:p w14:paraId="5122C51F">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_Toc825004933 </w:instrText>
          </w:r>
          <w:r>
            <w:rPr>
              <w:rFonts w:ascii="仿宋" w:hAnsi="仿宋" w:eastAsia="仿宋" w:cs="Arial"/>
            </w:rPr>
            <w:fldChar w:fldCharType="separate"/>
          </w:r>
          <w:r>
            <w:rPr>
              <w:rFonts w:hint="eastAsia"/>
            </w:rPr>
            <w:t xml:space="preserve">5. </w:t>
          </w:r>
          <w:r>
            <w:t>SEEG市场驱动趋势</w:t>
          </w:r>
          <w:r>
            <w:tab/>
          </w:r>
          <w:r>
            <w:fldChar w:fldCharType="begin"/>
          </w:r>
          <w:r>
            <w:instrText xml:space="preserve"> PAGEREF _Toc825004933 \h </w:instrText>
          </w:r>
          <w:r>
            <w:fldChar w:fldCharType="separate"/>
          </w:r>
          <w:r>
            <w:t>56</w:t>
          </w:r>
          <w:r>
            <w:fldChar w:fldCharType="end"/>
          </w:r>
          <w:r>
            <w:rPr>
              <w:rFonts w:ascii="仿宋" w:hAnsi="仿宋" w:eastAsia="仿宋" w:cs="Arial"/>
              <w:color w:val="0000FF"/>
            </w:rPr>
            <w:fldChar w:fldCharType="end"/>
          </w:r>
        </w:p>
        <w:p w14:paraId="267A6C18">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_Toc1703483899 </w:instrText>
          </w:r>
          <w:r>
            <w:rPr>
              <w:rFonts w:ascii="仿宋" w:hAnsi="仿宋" w:eastAsia="仿宋" w:cs="Arial"/>
            </w:rPr>
            <w:fldChar w:fldCharType="separate"/>
          </w:r>
          <w:r>
            <w:rPr>
              <w:rFonts w:hint="eastAsia"/>
              <w:lang w:eastAsia="zh-CN"/>
            </w:rPr>
            <w:t xml:space="preserve">(六) </w:t>
          </w:r>
          <w:r>
            <w:t>BCI细分——EES硬膜外电刺激</w:t>
          </w:r>
          <w:r>
            <w:tab/>
          </w:r>
          <w:r>
            <w:fldChar w:fldCharType="begin"/>
          </w:r>
          <w:r>
            <w:instrText xml:space="preserve"> PAGEREF _Toc1703483899 \h </w:instrText>
          </w:r>
          <w:r>
            <w:fldChar w:fldCharType="separate"/>
          </w:r>
          <w:r>
            <w:t>56</w:t>
          </w:r>
          <w:r>
            <w:fldChar w:fldCharType="end"/>
          </w:r>
          <w:r>
            <w:rPr>
              <w:rFonts w:ascii="仿宋" w:hAnsi="仿宋" w:eastAsia="仿宋" w:cs="Arial"/>
              <w:color w:val="0000FF"/>
            </w:rPr>
            <w:fldChar w:fldCharType="end"/>
          </w:r>
        </w:p>
        <w:p w14:paraId="68D8297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_Toc201908689 </w:instrText>
          </w:r>
          <w:r>
            <w:rPr>
              <w:rFonts w:ascii="仿宋" w:hAnsi="仿宋" w:eastAsia="仿宋" w:cs="Arial"/>
            </w:rPr>
            <w:fldChar w:fldCharType="separate"/>
          </w:r>
          <w:r>
            <w:rPr>
              <w:rFonts w:hint="eastAsia"/>
            </w:rPr>
            <w:t xml:space="preserve">1. </w:t>
          </w:r>
          <w:r>
            <w:t>EES技术原理</w:t>
          </w:r>
          <w:r>
            <w:tab/>
          </w:r>
          <w:r>
            <w:fldChar w:fldCharType="begin"/>
          </w:r>
          <w:r>
            <w:instrText xml:space="preserve"> PAGEREF _Toc201908689 \h </w:instrText>
          </w:r>
          <w:r>
            <w:fldChar w:fldCharType="separate"/>
          </w:r>
          <w:r>
            <w:t>56</w:t>
          </w:r>
          <w:r>
            <w:fldChar w:fldCharType="end"/>
          </w:r>
          <w:r>
            <w:rPr>
              <w:rFonts w:ascii="仿宋" w:hAnsi="仿宋" w:eastAsia="仿宋" w:cs="Arial"/>
              <w:color w:val="0000FF"/>
            </w:rPr>
            <w:fldChar w:fldCharType="end"/>
          </w:r>
        </w:p>
        <w:p w14:paraId="21A75ACD">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_Toc455173763 </w:instrText>
          </w:r>
          <w:r>
            <w:rPr>
              <w:rFonts w:ascii="仿宋" w:hAnsi="仿宋" w:eastAsia="仿宋" w:cs="Arial"/>
            </w:rPr>
            <w:fldChar w:fldCharType="separate"/>
          </w:r>
          <w:r>
            <w:rPr>
              <w:rFonts w:hint="eastAsia"/>
            </w:rPr>
            <w:t xml:space="preserve">2. </w:t>
          </w:r>
          <w:r>
            <w:t>闭环EES核心优势</w:t>
          </w:r>
          <w:r>
            <w:tab/>
          </w:r>
          <w:r>
            <w:fldChar w:fldCharType="begin"/>
          </w:r>
          <w:r>
            <w:instrText xml:space="preserve"> PAGEREF _Toc455173763 \h </w:instrText>
          </w:r>
          <w:r>
            <w:fldChar w:fldCharType="separate"/>
          </w:r>
          <w:r>
            <w:t>57</w:t>
          </w:r>
          <w:r>
            <w:fldChar w:fldCharType="end"/>
          </w:r>
          <w:r>
            <w:rPr>
              <w:rFonts w:ascii="仿宋" w:hAnsi="仿宋" w:eastAsia="仿宋" w:cs="Arial"/>
              <w:color w:val="0000FF"/>
            </w:rPr>
            <w:fldChar w:fldCharType="end"/>
          </w:r>
        </w:p>
        <w:p w14:paraId="63F9D0C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_Toc768684127 </w:instrText>
          </w:r>
          <w:r>
            <w:rPr>
              <w:rFonts w:ascii="仿宋" w:hAnsi="仿宋" w:eastAsia="仿宋" w:cs="Arial"/>
            </w:rPr>
            <w:fldChar w:fldCharType="separate"/>
          </w:r>
          <w:r>
            <w:rPr>
              <w:rFonts w:hint="eastAsia"/>
            </w:rPr>
            <w:t xml:space="preserve">3. </w:t>
          </w:r>
          <w:r>
            <w:t>EES竞争格局</w:t>
          </w:r>
          <w:r>
            <w:tab/>
          </w:r>
          <w:r>
            <w:fldChar w:fldCharType="begin"/>
          </w:r>
          <w:r>
            <w:instrText xml:space="preserve"> PAGEREF _Toc768684127 \h </w:instrText>
          </w:r>
          <w:r>
            <w:fldChar w:fldCharType="separate"/>
          </w:r>
          <w:r>
            <w:t>57</w:t>
          </w:r>
          <w:r>
            <w:fldChar w:fldCharType="end"/>
          </w:r>
          <w:r>
            <w:rPr>
              <w:rFonts w:ascii="仿宋" w:hAnsi="仿宋" w:eastAsia="仿宋" w:cs="Arial"/>
              <w:color w:val="0000FF"/>
            </w:rPr>
            <w:fldChar w:fldCharType="end"/>
          </w:r>
        </w:p>
        <w:p w14:paraId="0FD7D8A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_Toc12502137 </w:instrText>
          </w:r>
          <w:r>
            <w:rPr>
              <w:rFonts w:ascii="仿宋" w:hAnsi="仿宋" w:eastAsia="仿宋" w:cs="Arial"/>
            </w:rPr>
            <w:fldChar w:fldCharType="separate"/>
          </w:r>
          <w:r>
            <w:rPr>
              <w:rFonts w:hint="eastAsia"/>
            </w:rPr>
            <w:t xml:space="preserve">4. </w:t>
          </w:r>
          <w:r>
            <w:t>EES市场规模（2030E-2034E）</w:t>
          </w:r>
          <w:r>
            <w:tab/>
          </w:r>
          <w:r>
            <w:fldChar w:fldCharType="begin"/>
          </w:r>
          <w:r>
            <w:instrText xml:space="preserve"> PAGEREF _Toc12502137 \h </w:instrText>
          </w:r>
          <w:r>
            <w:fldChar w:fldCharType="separate"/>
          </w:r>
          <w:r>
            <w:t>57</w:t>
          </w:r>
          <w:r>
            <w:fldChar w:fldCharType="end"/>
          </w:r>
          <w:r>
            <w:rPr>
              <w:rFonts w:ascii="仿宋" w:hAnsi="仿宋" w:eastAsia="仿宋" w:cs="Arial"/>
              <w:color w:val="0000FF"/>
            </w:rPr>
            <w:fldChar w:fldCharType="end"/>
          </w:r>
        </w:p>
        <w:p w14:paraId="33024182">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_Toc1817502800 </w:instrText>
          </w:r>
          <w:r>
            <w:rPr>
              <w:rFonts w:ascii="仿宋" w:hAnsi="仿宋" w:eastAsia="仿宋" w:cs="Arial"/>
            </w:rPr>
            <w:fldChar w:fldCharType="separate"/>
          </w:r>
          <w:r>
            <w:rPr>
              <w:rFonts w:hint="eastAsia"/>
            </w:rPr>
            <w:t xml:space="preserve">5. </w:t>
          </w:r>
          <w:r>
            <w:t>脊髓损伤（SCI）行业分析</w:t>
          </w:r>
          <w:r>
            <w:tab/>
          </w:r>
          <w:r>
            <w:fldChar w:fldCharType="begin"/>
          </w:r>
          <w:r>
            <w:instrText xml:space="preserve"> PAGEREF _Toc1817502800 \h </w:instrText>
          </w:r>
          <w:r>
            <w:fldChar w:fldCharType="separate"/>
          </w:r>
          <w:r>
            <w:t>57</w:t>
          </w:r>
          <w:r>
            <w:fldChar w:fldCharType="end"/>
          </w:r>
          <w:r>
            <w:rPr>
              <w:rFonts w:ascii="仿宋" w:hAnsi="仿宋" w:eastAsia="仿宋" w:cs="Arial"/>
              <w:color w:val="0000FF"/>
            </w:rPr>
            <w:fldChar w:fldCharType="end"/>
          </w:r>
        </w:p>
        <w:p w14:paraId="3EE534BC">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_Toc962164672 </w:instrText>
          </w:r>
          <w:r>
            <w:rPr>
              <w:rFonts w:ascii="仿宋" w:hAnsi="仿宋" w:eastAsia="仿宋" w:cs="Arial"/>
            </w:rPr>
            <w:fldChar w:fldCharType="separate"/>
          </w:r>
          <w:r>
            <w:rPr>
              <w:rFonts w:hint="eastAsia"/>
              <w:lang w:eastAsia="zh-CN"/>
            </w:rPr>
            <w:t xml:space="preserve">(七) </w:t>
          </w:r>
          <w:r>
            <w:t>BCI细分——DBS脑深部电刺激</w:t>
          </w:r>
          <w:r>
            <w:tab/>
          </w:r>
          <w:r>
            <w:fldChar w:fldCharType="begin"/>
          </w:r>
          <w:r>
            <w:instrText xml:space="preserve"> PAGEREF _Toc962164672 \h </w:instrText>
          </w:r>
          <w:r>
            <w:fldChar w:fldCharType="separate"/>
          </w:r>
          <w:r>
            <w:t>58</w:t>
          </w:r>
          <w:r>
            <w:fldChar w:fldCharType="end"/>
          </w:r>
          <w:r>
            <w:rPr>
              <w:rFonts w:ascii="仿宋" w:hAnsi="仿宋" w:eastAsia="仿宋" w:cs="Arial"/>
              <w:color w:val="0000FF"/>
            </w:rPr>
            <w:fldChar w:fldCharType="end"/>
          </w:r>
        </w:p>
        <w:p w14:paraId="1C2CB7E3">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_Toc549780394 </w:instrText>
          </w:r>
          <w:r>
            <w:rPr>
              <w:rFonts w:ascii="仿宋" w:hAnsi="仿宋" w:eastAsia="仿宋" w:cs="Arial"/>
            </w:rPr>
            <w:fldChar w:fldCharType="separate"/>
          </w:r>
          <w:r>
            <w:rPr>
              <w:rFonts w:hint="eastAsia"/>
            </w:rPr>
            <w:t xml:space="preserve">1. </w:t>
          </w:r>
          <w:r>
            <w:t>DBS技术原理与系统构成</w:t>
          </w:r>
          <w:r>
            <w:tab/>
          </w:r>
          <w:r>
            <w:fldChar w:fldCharType="begin"/>
          </w:r>
          <w:r>
            <w:instrText xml:space="preserve"> PAGEREF _Toc549780394 \h </w:instrText>
          </w:r>
          <w:r>
            <w:fldChar w:fldCharType="separate"/>
          </w:r>
          <w:r>
            <w:t>58</w:t>
          </w:r>
          <w:r>
            <w:fldChar w:fldCharType="end"/>
          </w:r>
          <w:r>
            <w:rPr>
              <w:rFonts w:ascii="仿宋" w:hAnsi="仿宋" w:eastAsia="仿宋" w:cs="Arial"/>
              <w:color w:val="0000FF"/>
            </w:rPr>
            <w:fldChar w:fldCharType="end"/>
          </w:r>
        </w:p>
        <w:p w14:paraId="40D62713">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_Toc1684432564 </w:instrText>
          </w:r>
          <w:r>
            <w:rPr>
              <w:rFonts w:ascii="仿宋" w:hAnsi="仿宋" w:eastAsia="仿宋" w:cs="Arial"/>
            </w:rPr>
            <w:fldChar w:fldCharType="separate"/>
          </w:r>
          <w:r>
            <w:rPr>
              <w:rFonts w:hint="eastAsia"/>
            </w:rPr>
            <w:t xml:space="preserve">2. </w:t>
          </w:r>
          <w:r>
            <w:t>DBS适应症与优势</w:t>
          </w:r>
          <w:r>
            <w:tab/>
          </w:r>
          <w:r>
            <w:fldChar w:fldCharType="begin"/>
          </w:r>
          <w:r>
            <w:instrText xml:space="preserve"> PAGEREF _Toc1684432564 \h </w:instrText>
          </w:r>
          <w:r>
            <w:fldChar w:fldCharType="separate"/>
          </w:r>
          <w:r>
            <w:t>59</w:t>
          </w:r>
          <w:r>
            <w:fldChar w:fldCharType="end"/>
          </w:r>
          <w:r>
            <w:rPr>
              <w:rFonts w:ascii="仿宋" w:hAnsi="仿宋" w:eastAsia="仿宋" w:cs="Arial"/>
              <w:color w:val="0000FF"/>
            </w:rPr>
            <w:fldChar w:fldCharType="end"/>
          </w:r>
        </w:p>
        <w:p w14:paraId="7D947C0C">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_Toc2128668394 </w:instrText>
          </w:r>
          <w:r>
            <w:rPr>
              <w:rFonts w:ascii="仿宋" w:hAnsi="仿宋" w:eastAsia="仿宋" w:cs="Arial"/>
            </w:rPr>
            <w:fldChar w:fldCharType="separate"/>
          </w:r>
          <w:r>
            <w:rPr>
              <w:rFonts w:hint="eastAsia"/>
            </w:rPr>
            <w:t xml:space="preserve">3. </w:t>
          </w:r>
          <w:r>
            <w:t>传统开环DBS临床痛点</w:t>
          </w:r>
          <w:r>
            <w:tab/>
          </w:r>
          <w:r>
            <w:fldChar w:fldCharType="begin"/>
          </w:r>
          <w:r>
            <w:instrText xml:space="preserve"> PAGEREF _Toc2128668394 \h </w:instrText>
          </w:r>
          <w:r>
            <w:fldChar w:fldCharType="separate"/>
          </w:r>
          <w:r>
            <w:t>59</w:t>
          </w:r>
          <w:r>
            <w:fldChar w:fldCharType="end"/>
          </w:r>
          <w:r>
            <w:rPr>
              <w:rFonts w:ascii="仿宋" w:hAnsi="仿宋" w:eastAsia="仿宋" w:cs="Arial"/>
              <w:color w:val="0000FF"/>
            </w:rPr>
            <w:fldChar w:fldCharType="end"/>
          </w:r>
        </w:p>
        <w:p w14:paraId="29BAA630">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_Toc1599622585 </w:instrText>
          </w:r>
          <w:r>
            <w:rPr>
              <w:rFonts w:ascii="仿宋" w:hAnsi="仿宋" w:eastAsia="仿宋" w:cs="Arial"/>
            </w:rPr>
            <w:fldChar w:fldCharType="separate"/>
          </w:r>
          <w:r>
            <w:rPr>
              <w:rFonts w:hint="eastAsia"/>
            </w:rPr>
            <w:t xml:space="preserve">4. </w:t>
          </w:r>
          <w:r>
            <w:t>闭环自适应DBS（aDBS）优势</w:t>
          </w:r>
          <w:r>
            <w:tab/>
          </w:r>
          <w:r>
            <w:fldChar w:fldCharType="begin"/>
          </w:r>
          <w:r>
            <w:instrText xml:space="preserve"> PAGEREF _Toc1599622585 \h </w:instrText>
          </w:r>
          <w:r>
            <w:fldChar w:fldCharType="separate"/>
          </w:r>
          <w:r>
            <w:t>59</w:t>
          </w:r>
          <w:r>
            <w:fldChar w:fldCharType="end"/>
          </w:r>
          <w:r>
            <w:rPr>
              <w:rFonts w:ascii="仿宋" w:hAnsi="仿宋" w:eastAsia="仿宋" w:cs="Arial"/>
              <w:color w:val="0000FF"/>
            </w:rPr>
            <w:fldChar w:fldCharType="end"/>
          </w:r>
        </w:p>
        <w:p w14:paraId="4B93CBB4">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_Toc509009302 </w:instrText>
          </w:r>
          <w:r>
            <w:rPr>
              <w:rFonts w:ascii="仿宋" w:hAnsi="仿宋" w:eastAsia="仿宋" w:cs="Arial"/>
            </w:rPr>
            <w:fldChar w:fldCharType="separate"/>
          </w:r>
          <w:r>
            <w:rPr>
              <w:rFonts w:hint="eastAsia"/>
            </w:rPr>
            <w:t xml:space="preserve">5. </w:t>
          </w:r>
          <w:r>
            <w:t>DBS市场规模（2020-2034E）</w:t>
          </w:r>
          <w:r>
            <w:tab/>
          </w:r>
          <w:r>
            <w:fldChar w:fldCharType="begin"/>
          </w:r>
          <w:r>
            <w:instrText xml:space="preserve"> PAGEREF _Toc509009302 \h </w:instrText>
          </w:r>
          <w:r>
            <w:fldChar w:fldCharType="separate"/>
          </w:r>
          <w:r>
            <w:t>60</w:t>
          </w:r>
          <w:r>
            <w:fldChar w:fldCharType="end"/>
          </w:r>
          <w:r>
            <w:rPr>
              <w:rFonts w:ascii="仿宋" w:hAnsi="仿宋" w:eastAsia="仿宋" w:cs="Arial"/>
              <w:color w:val="0000FF"/>
            </w:rPr>
            <w:fldChar w:fldCharType="end"/>
          </w:r>
        </w:p>
        <w:p w14:paraId="347160D9">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_Toc1491972713 </w:instrText>
          </w:r>
          <w:r>
            <w:rPr>
              <w:rFonts w:ascii="仿宋" w:hAnsi="仿宋" w:eastAsia="仿宋" w:cs="Arial"/>
            </w:rPr>
            <w:fldChar w:fldCharType="separate"/>
          </w:r>
          <w:r>
            <w:rPr>
              <w:rFonts w:hint="eastAsia"/>
            </w:rPr>
            <w:t xml:space="preserve">6. </w:t>
          </w:r>
          <w:r>
            <w:t>DBS竞争格局</w:t>
          </w:r>
          <w:r>
            <w:tab/>
          </w:r>
          <w:r>
            <w:fldChar w:fldCharType="begin"/>
          </w:r>
          <w:r>
            <w:instrText xml:space="preserve"> PAGEREF _Toc1491972713 \h </w:instrText>
          </w:r>
          <w:r>
            <w:fldChar w:fldCharType="separate"/>
          </w:r>
          <w:r>
            <w:t>60</w:t>
          </w:r>
          <w:r>
            <w:fldChar w:fldCharType="end"/>
          </w:r>
          <w:r>
            <w:rPr>
              <w:rFonts w:ascii="仿宋" w:hAnsi="仿宋" w:eastAsia="仿宋" w:cs="Arial"/>
              <w:color w:val="0000FF"/>
            </w:rPr>
            <w:fldChar w:fldCharType="end"/>
          </w:r>
        </w:p>
        <w:p w14:paraId="51C1C4B7">
          <w:pPr>
            <w:pStyle w:val="1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_Toc1566325019 </w:instrText>
          </w:r>
          <w:r>
            <w:rPr>
              <w:rFonts w:ascii="仿宋" w:hAnsi="仿宋" w:eastAsia="仿宋" w:cs="Arial"/>
            </w:rPr>
            <w:fldChar w:fldCharType="separate"/>
          </w:r>
          <w:r>
            <w:rPr>
              <w:rFonts w:hint="eastAsia"/>
            </w:rPr>
            <w:t xml:space="preserve">7. </w:t>
          </w:r>
          <w:r>
            <w:t>帕金森病（PD）行业分析</w:t>
          </w:r>
          <w:r>
            <w:tab/>
          </w:r>
          <w:r>
            <w:fldChar w:fldCharType="begin"/>
          </w:r>
          <w:r>
            <w:instrText xml:space="preserve"> PAGEREF _Toc1566325019 \h </w:instrText>
          </w:r>
          <w:r>
            <w:fldChar w:fldCharType="separate"/>
          </w:r>
          <w:r>
            <w:t>60</w:t>
          </w:r>
          <w:r>
            <w:fldChar w:fldCharType="end"/>
          </w:r>
          <w:r>
            <w:rPr>
              <w:rFonts w:ascii="仿宋" w:hAnsi="仿宋" w:eastAsia="仿宋" w:cs="Arial"/>
              <w:color w:val="0000FF"/>
            </w:rPr>
            <w:fldChar w:fldCharType="end"/>
          </w:r>
        </w:p>
        <w:p w14:paraId="706F2DCD">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_Toc1370049407 </w:instrText>
          </w:r>
          <w:r>
            <w:rPr>
              <w:rFonts w:ascii="仿宋" w:hAnsi="仿宋" w:eastAsia="仿宋" w:cs="Arial"/>
            </w:rPr>
            <w:fldChar w:fldCharType="separate"/>
          </w:r>
          <w:r>
            <w:rPr>
              <w:rFonts w:hint="eastAsia"/>
              <w:lang w:eastAsia="zh-CN"/>
            </w:rPr>
            <w:t xml:space="preserve">(八) </w:t>
          </w:r>
          <w:r>
            <w:t>行业总结与未来展望</w:t>
          </w:r>
          <w:r>
            <w:tab/>
          </w:r>
          <w:r>
            <w:fldChar w:fldCharType="begin"/>
          </w:r>
          <w:r>
            <w:instrText xml:space="preserve"> PAGEREF _Toc1370049407 \h </w:instrText>
          </w:r>
          <w:r>
            <w:fldChar w:fldCharType="separate"/>
          </w:r>
          <w:r>
            <w:t>61</w:t>
          </w:r>
          <w:r>
            <w:fldChar w:fldCharType="end"/>
          </w:r>
          <w:r>
            <w:rPr>
              <w:rFonts w:ascii="仿宋" w:hAnsi="仿宋" w:eastAsia="仿宋" w:cs="Arial"/>
              <w:color w:val="0000FF"/>
            </w:rPr>
            <w:fldChar w:fldCharType="end"/>
          </w:r>
        </w:p>
        <w:p w14:paraId="6BE8804F">
          <w:pPr>
            <w:pStyle w:val="19"/>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_Toc1100720315 </w:instrText>
          </w:r>
          <w:r>
            <w:rPr>
              <w:rFonts w:ascii="仿宋" w:hAnsi="仿宋" w:eastAsia="仿宋" w:cs="Arial"/>
            </w:rPr>
            <w:fldChar w:fldCharType="separate"/>
          </w:r>
          <w:r>
            <w:rPr>
              <w:rFonts w:hint="eastAsia"/>
            </w:rPr>
            <w:t>四、 投资</w:t>
          </w:r>
          <w:r>
            <w:t>结论</w:t>
          </w:r>
          <w:r>
            <w:tab/>
          </w:r>
          <w:r>
            <w:fldChar w:fldCharType="begin"/>
          </w:r>
          <w:r>
            <w:instrText xml:space="preserve"> PAGEREF _Toc1100720315 \h </w:instrText>
          </w:r>
          <w:r>
            <w:fldChar w:fldCharType="separate"/>
          </w:r>
          <w:r>
            <w:t>62</w:t>
          </w:r>
          <w:r>
            <w:fldChar w:fldCharType="end"/>
          </w:r>
          <w:r>
            <w:rPr>
              <w:rFonts w:ascii="仿宋" w:hAnsi="仿宋" w:eastAsia="仿宋" w:cs="Arial"/>
              <w:color w:val="0000FF"/>
            </w:rPr>
            <w:fldChar w:fldCharType="end"/>
          </w:r>
        </w:p>
        <w:p w14:paraId="57E00756">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_Toc1382198947 </w:instrText>
          </w:r>
          <w:r>
            <w:rPr>
              <w:rFonts w:ascii="仿宋" w:hAnsi="仿宋" w:eastAsia="仿宋" w:cs="Arial"/>
            </w:rPr>
            <w:fldChar w:fldCharType="separate"/>
          </w:r>
          <w:r>
            <w:rPr>
              <w:rFonts w:hint="eastAsia"/>
              <w:lang w:eastAsia="zh-CN"/>
            </w:rPr>
            <w:t xml:space="preserve">(一) </w:t>
          </w:r>
          <w:r>
            <w:rPr>
              <w:rFonts w:hint="eastAsia"/>
              <w:lang w:val="en-US" w:eastAsia="zh-CN"/>
            </w:rPr>
            <w:t>回报分析</w:t>
          </w:r>
          <w:r>
            <w:tab/>
          </w:r>
          <w:r>
            <w:fldChar w:fldCharType="begin"/>
          </w:r>
          <w:r>
            <w:instrText xml:space="preserve"> PAGEREF _Toc1382198947 \h </w:instrText>
          </w:r>
          <w:r>
            <w:fldChar w:fldCharType="separate"/>
          </w:r>
          <w:r>
            <w:t>62</w:t>
          </w:r>
          <w:r>
            <w:fldChar w:fldCharType="end"/>
          </w:r>
          <w:r>
            <w:rPr>
              <w:rFonts w:ascii="仿宋" w:hAnsi="仿宋" w:eastAsia="仿宋" w:cs="Arial"/>
              <w:color w:val="0000FF"/>
            </w:rPr>
            <w:fldChar w:fldCharType="end"/>
          </w:r>
        </w:p>
        <w:p w14:paraId="15545879">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_Toc1287092630 </w:instrText>
          </w:r>
          <w:r>
            <w:rPr>
              <w:rFonts w:ascii="仿宋" w:hAnsi="仿宋" w:eastAsia="仿宋" w:cs="Arial"/>
            </w:rPr>
            <w:fldChar w:fldCharType="separate"/>
          </w:r>
          <w:r>
            <w:rPr>
              <w:rFonts w:hint="eastAsia"/>
              <w:lang w:eastAsia="zh-CN"/>
            </w:rPr>
            <w:t xml:space="preserve">(二) </w:t>
          </w:r>
          <w:r>
            <w:rPr>
              <w:rFonts w:hint="eastAsia"/>
              <w:lang w:val="en-US" w:eastAsia="zh-CN"/>
            </w:rPr>
            <w:t>投资亮点</w:t>
          </w:r>
          <w:r>
            <w:tab/>
          </w:r>
          <w:r>
            <w:fldChar w:fldCharType="begin"/>
          </w:r>
          <w:r>
            <w:instrText xml:space="preserve"> PAGEREF _Toc1287092630 \h </w:instrText>
          </w:r>
          <w:r>
            <w:fldChar w:fldCharType="separate"/>
          </w:r>
          <w:r>
            <w:t>62</w:t>
          </w:r>
          <w:r>
            <w:fldChar w:fldCharType="end"/>
          </w:r>
          <w:r>
            <w:rPr>
              <w:rFonts w:ascii="仿宋" w:hAnsi="仿宋" w:eastAsia="仿宋" w:cs="Arial"/>
              <w:color w:val="0000FF"/>
            </w:rPr>
            <w:fldChar w:fldCharType="end"/>
          </w:r>
        </w:p>
        <w:p w14:paraId="26C90836">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_Toc563056179 </w:instrText>
          </w:r>
          <w:r>
            <w:rPr>
              <w:rFonts w:ascii="仿宋" w:hAnsi="仿宋" w:eastAsia="仿宋" w:cs="Arial"/>
            </w:rPr>
            <w:fldChar w:fldCharType="separate"/>
          </w:r>
          <w:r>
            <w:rPr>
              <w:rFonts w:hint="eastAsia"/>
              <w:lang w:eastAsia="zh-CN"/>
            </w:rPr>
            <w:t xml:space="preserve">(三) </w:t>
          </w:r>
          <w:r>
            <w:rPr>
              <w:rFonts w:hint="eastAsia"/>
              <w:lang w:val="en-US" w:eastAsia="zh-CN"/>
            </w:rPr>
            <w:t>风险提示与应对措施</w:t>
          </w:r>
          <w:r>
            <w:tab/>
          </w:r>
          <w:r>
            <w:fldChar w:fldCharType="begin"/>
          </w:r>
          <w:r>
            <w:instrText xml:space="preserve"> PAGEREF _Toc563056179 \h </w:instrText>
          </w:r>
          <w:r>
            <w:fldChar w:fldCharType="separate"/>
          </w:r>
          <w:r>
            <w:t>63</w:t>
          </w:r>
          <w:r>
            <w:fldChar w:fldCharType="end"/>
          </w:r>
          <w:r>
            <w:rPr>
              <w:rFonts w:ascii="仿宋" w:hAnsi="仿宋" w:eastAsia="仿宋" w:cs="Arial"/>
              <w:color w:val="0000FF"/>
            </w:rPr>
            <w:fldChar w:fldCharType="end"/>
          </w:r>
        </w:p>
        <w:p w14:paraId="54539C1B">
          <w:pPr>
            <w:pStyle w:val="23"/>
            <w:tabs>
              <w:tab w:val="right" w:leader="dot" w:pos="8312"/>
            </w:tabs>
          </w:pPr>
          <w:r>
            <w:rPr>
              <w:rFonts w:ascii="仿宋" w:hAnsi="仿宋" w:eastAsia="仿宋" w:cs="Arial"/>
              <w:color w:val="0000FF"/>
            </w:rPr>
            <w:fldChar w:fldCharType="begin"/>
          </w:r>
          <w:r>
            <w:rPr>
              <w:rFonts w:ascii="仿宋" w:hAnsi="仿宋" w:eastAsia="仿宋" w:cs="Arial"/>
            </w:rPr>
            <w:instrText xml:space="preserve"> HYPERLINK \l _Toc1472251771 </w:instrText>
          </w:r>
          <w:r>
            <w:rPr>
              <w:rFonts w:ascii="仿宋" w:hAnsi="仿宋" w:eastAsia="仿宋" w:cs="Arial"/>
            </w:rPr>
            <w:fldChar w:fldCharType="separate"/>
          </w:r>
          <w:r>
            <w:rPr>
              <w:rFonts w:hint="eastAsia"/>
              <w:lang w:eastAsia="zh-CN"/>
            </w:rPr>
            <w:t xml:space="preserve">(四) </w:t>
          </w:r>
          <w:r>
            <w:rPr>
              <w:rFonts w:hint="eastAsia"/>
              <w:lang w:val="en-US" w:eastAsia="zh-CN"/>
            </w:rPr>
            <w:t>结论</w:t>
          </w:r>
          <w:r>
            <w:tab/>
          </w:r>
          <w:r>
            <w:fldChar w:fldCharType="begin"/>
          </w:r>
          <w:r>
            <w:instrText xml:space="preserve"> PAGEREF _Toc1472251771 \h </w:instrText>
          </w:r>
          <w:r>
            <w:fldChar w:fldCharType="separate"/>
          </w:r>
          <w:r>
            <w:t>63</w:t>
          </w:r>
          <w:r>
            <w:fldChar w:fldCharType="end"/>
          </w:r>
          <w:r>
            <w:rPr>
              <w:rFonts w:ascii="仿宋" w:hAnsi="仿宋" w:eastAsia="仿宋" w:cs="Arial"/>
              <w:color w:val="0000FF"/>
            </w:rPr>
            <w:fldChar w:fldCharType="end"/>
          </w:r>
        </w:p>
        <w:p w14:paraId="35BF0BEF">
          <w:pPr>
            <w:shd w:val="clear" w:color="000000" w:fill="FFFFFF"/>
            <w:rPr>
              <w:rFonts w:ascii="Arial" w:hAnsi="Arial" w:cs="Arial" w:eastAsiaTheme="minorEastAsia"/>
              <w:color w:val="0000FF"/>
              <w:sz w:val="28"/>
            </w:rPr>
            <w:sectPr>
              <w:footerReference r:id="rId5" w:type="default"/>
              <w:type w:val="continuous"/>
              <w:pgSz w:w="11906" w:h="16838"/>
              <w:pgMar w:top="1440" w:right="1797" w:bottom="1497" w:left="1797"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ascii="仿宋" w:hAnsi="仿宋" w:eastAsia="仿宋" w:cs="Arial"/>
              <w:color w:val="0000FF"/>
            </w:rPr>
            <w:fldChar w:fldCharType="end"/>
          </w:r>
        </w:p>
      </w:sdtContent>
    </w:sdt>
    <w:p w14:paraId="7D39B280">
      <w:pPr>
        <w:shd w:val="clear" w:color="000000" w:fill="FFFFFF"/>
        <w:rPr>
          <w:rFonts w:ascii="Arial" w:hAnsi="Arial" w:cs="Arial" w:eastAsiaTheme="minorEastAsia"/>
          <w:color w:val="0000FF"/>
          <w:sz w:val="28"/>
          <w:szCs w:val="28"/>
          <w:lang w:eastAsia="zh-Hans"/>
        </w:rPr>
      </w:pPr>
      <w:r>
        <w:rPr>
          <w:rFonts w:ascii="Arial" w:hAnsi="Arial" w:cs="Arial" w:eastAsiaTheme="minorEastAsia"/>
          <w:color w:val="0000FF"/>
        </w:rPr>
        <w:br w:type="page"/>
      </w:r>
    </w:p>
    <w:p w14:paraId="2981E12C">
      <w:pPr>
        <w:pStyle w:val="79"/>
        <w:numPr>
          <w:ilvl w:val="0"/>
          <w:numId w:val="0"/>
        </w:numPr>
        <w:shd w:val="clear" w:color="000000" w:fill="FFFFFF"/>
        <w:ind w:left="562"/>
        <w:jc w:val="center"/>
        <w:rPr>
          <w:color w:val="auto"/>
        </w:rPr>
      </w:pPr>
      <w:bookmarkStart w:id="0" w:name="_Toc1457596810"/>
      <w:r>
        <w:rPr>
          <w:color w:val="auto"/>
        </w:rPr>
        <w:t>名词释义</w:t>
      </w:r>
      <w:bookmarkEnd w:id="0"/>
    </w:p>
    <w:p w14:paraId="76A81472">
      <w:pPr>
        <w:pStyle w:val="91"/>
        <w:shd w:val="clear" w:color="000000" w:fill="FFFFFF"/>
        <w:rPr>
          <w:color w:val="auto"/>
        </w:rPr>
      </w:pPr>
      <w:r>
        <w:rPr>
          <w:color w:val="auto"/>
        </w:rPr>
        <w:t>除非本尽调报告明确另有所指，以下词语在本尽调报告中具有如下含义：</w:t>
      </w:r>
    </w:p>
    <w:tbl>
      <w:tblPr>
        <w:tblStyle w:val="28"/>
        <w:tblW w:w="4776" w:type="pct"/>
        <w:tblInd w:w="18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70"/>
        <w:gridCol w:w="2538"/>
        <w:gridCol w:w="4038"/>
      </w:tblGrid>
      <w:tr w14:paraId="19314C13">
        <w:trPr>
          <w:trHeight w:val="290" w:hRule="atLeast"/>
        </w:trPr>
        <w:tc>
          <w:tcPr>
            <w:tcW w:w="1570" w:type="dxa"/>
            <w:vAlign w:val="center"/>
          </w:tcPr>
          <w:p w14:paraId="292553D9">
            <w:pPr>
              <w:keepNext w:val="0"/>
              <w:keepLines w:val="0"/>
              <w:widowControl/>
              <w:suppressLineNumbers w:val="0"/>
              <w:jc w:val="left"/>
              <w:textAlignment w:val="center"/>
              <w:rPr>
                <w:rFonts w:hint="eastAsia" w:ascii="仿宋" w:hAnsi="仿宋" w:eastAsia="仿宋" w:cs="仿宋"/>
                <w:color w:val="auto"/>
                <w:sz w:val="21"/>
                <w:szCs w:val="21"/>
              </w:rPr>
            </w:pPr>
            <w:bookmarkStart w:id="1" w:name="_Toc1148334328"/>
            <w:r>
              <w:rPr>
                <w:rFonts w:hint="eastAsia" w:ascii="仿宋" w:hAnsi="仿宋" w:eastAsia="仿宋" w:cs="仿宋"/>
                <w:b/>
                <w:bCs/>
                <w:i w:val="0"/>
                <w:iCs w:val="0"/>
                <w:color w:val="auto"/>
                <w:kern w:val="0"/>
                <w:sz w:val="21"/>
                <w:szCs w:val="21"/>
                <w:u w:val="none"/>
                <w:lang w:val="en-US" w:eastAsia="zh-CN" w:bidi="ar"/>
              </w:rPr>
              <w:t>名词</w:t>
            </w:r>
          </w:p>
        </w:tc>
        <w:tc>
          <w:tcPr>
            <w:tcW w:w="2538" w:type="dxa"/>
            <w:tcBorders>
              <w:bottom w:val="single" w:color="000000" w:themeColor="text1" w:sz="4" w:space="0"/>
            </w:tcBorders>
            <w:vAlign w:val="center"/>
          </w:tcPr>
          <w:p w14:paraId="180E7E08">
            <w:pPr>
              <w:keepNext w:val="0"/>
              <w:keepLines w:val="0"/>
              <w:widowControl/>
              <w:suppressLineNumbers w:val="0"/>
              <w:jc w:val="left"/>
              <w:textAlignment w:val="center"/>
              <w:rPr>
                <w:rFonts w:hint="eastAsia" w:ascii="仿宋" w:hAnsi="仿宋" w:eastAsia="仿宋" w:cs="仿宋"/>
                <w:color w:val="auto"/>
                <w:sz w:val="21"/>
                <w:szCs w:val="21"/>
                <w:lang w:val="en-US" w:eastAsia="zh-CN"/>
              </w:rPr>
            </w:pPr>
            <w:r>
              <w:rPr>
                <w:rFonts w:hint="eastAsia" w:ascii="仿宋" w:hAnsi="仿宋" w:eastAsia="仿宋" w:cs="仿宋"/>
                <w:b/>
                <w:bCs/>
                <w:i w:val="0"/>
                <w:iCs w:val="0"/>
                <w:color w:val="auto"/>
                <w:kern w:val="0"/>
                <w:sz w:val="21"/>
                <w:szCs w:val="21"/>
                <w:u w:val="none"/>
                <w:lang w:val="en-US" w:eastAsia="zh-CN" w:bidi="ar"/>
              </w:rPr>
              <w:t>指</w:t>
            </w:r>
          </w:p>
        </w:tc>
        <w:tc>
          <w:tcPr>
            <w:tcW w:w="4038" w:type="dxa"/>
            <w:vAlign w:val="center"/>
          </w:tcPr>
          <w:p w14:paraId="7F05B658">
            <w:pPr>
              <w:keepNext w:val="0"/>
              <w:keepLines w:val="0"/>
              <w:widowControl/>
              <w:suppressLineNumbers w:val="0"/>
              <w:jc w:val="left"/>
              <w:textAlignment w:val="center"/>
              <w:rPr>
                <w:rFonts w:hint="eastAsia" w:ascii="仿宋" w:hAnsi="仿宋" w:eastAsia="仿宋" w:cs="仿宋"/>
                <w:color w:val="auto"/>
                <w:sz w:val="21"/>
                <w:szCs w:val="21"/>
              </w:rPr>
            </w:pPr>
            <w:r>
              <w:rPr>
                <w:rFonts w:hint="eastAsia" w:ascii="仿宋" w:hAnsi="仿宋" w:eastAsia="仿宋" w:cs="仿宋"/>
                <w:b/>
                <w:bCs/>
                <w:i w:val="0"/>
                <w:iCs w:val="0"/>
                <w:color w:val="auto"/>
                <w:kern w:val="0"/>
                <w:sz w:val="21"/>
                <w:szCs w:val="21"/>
                <w:u w:val="none"/>
                <w:lang w:val="en-US" w:eastAsia="zh-CN" w:bidi="ar"/>
              </w:rPr>
              <w:t>释义</w:t>
            </w:r>
          </w:p>
        </w:tc>
      </w:tr>
      <w:tr w14:paraId="023498AF">
        <w:trPr>
          <w:trHeight w:val="290" w:hRule="atLeast"/>
        </w:trPr>
        <w:tc>
          <w:tcPr>
            <w:tcW w:w="1570" w:type="dxa"/>
            <w:vAlign w:val="center"/>
          </w:tcPr>
          <w:p w14:paraId="4EC329BA">
            <w:pPr>
              <w:keepNext w:val="0"/>
              <w:keepLines w:val="0"/>
              <w:widowControl/>
              <w:suppressLineNumbers w:val="0"/>
              <w:jc w:val="left"/>
              <w:textAlignment w:val="center"/>
              <w:rPr>
                <w:rFonts w:hint="eastAsia" w:ascii="仿宋" w:hAnsi="仿宋" w:eastAsia="仿宋" w:cs="仿宋"/>
                <w:color w:val="auto"/>
                <w:sz w:val="21"/>
                <w:szCs w:val="21"/>
              </w:rPr>
            </w:pPr>
            <w:r>
              <w:rPr>
                <w:rFonts w:hint="eastAsia" w:ascii="仿宋" w:hAnsi="仿宋" w:eastAsia="仿宋" w:cs="仿宋"/>
                <w:i w:val="0"/>
                <w:iCs w:val="0"/>
                <w:color w:val="000000"/>
                <w:kern w:val="0"/>
                <w:sz w:val="22"/>
                <w:szCs w:val="22"/>
                <w:u w:val="none"/>
                <w:lang w:val="en-US" w:eastAsia="zh-CN" w:bidi="ar"/>
              </w:rPr>
              <w:t>佳量脑科学/公司/佳量医疗</w:t>
            </w:r>
          </w:p>
        </w:tc>
        <w:tc>
          <w:tcPr>
            <w:tcW w:w="2538" w:type="dxa"/>
            <w:tcBorders>
              <w:bottom w:val="single" w:color="000000" w:themeColor="text1" w:sz="4" w:space="0"/>
            </w:tcBorders>
            <w:vAlign w:val="center"/>
          </w:tcPr>
          <w:p w14:paraId="3024A920">
            <w:pPr>
              <w:keepNext w:val="0"/>
              <w:keepLines w:val="0"/>
              <w:widowControl/>
              <w:suppressLineNumbers w:val="0"/>
              <w:jc w:val="left"/>
              <w:textAlignment w:val="center"/>
              <w:rPr>
                <w:rFonts w:hint="eastAsia" w:ascii="仿宋" w:hAnsi="仿宋" w:eastAsia="仿宋" w:cs="仿宋"/>
                <w:color w:val="auto"/>
                <w:sz w:val="21"/>
                <w:szCs w:val="21"/>
              </w:rPr>
            </w:pPr>
            <w:r>
              <w:rPr>
                <w:rFonts w:hint="eastAsia" w:ascii="仿宋" w:hAnsi="仿宋" w:eastAsia="仿宋" w:cs="仿宋"/>
                <w:i w:val="0"/>
                <w:iCs w:val="0"/>
                <w:color w:val="000000"/>
                <w:kern w:val="0"/>
                <w:sz w:val="22"/>
                <w:szCs w:val="22"/>
                <w:u w:val="none"/>
                <w:lang w:val="en-US" w:eastAsia="zh-CN" w:bidi="ar"/>
              </w:rPr>
              <w:t>杭州佳量脑科学股份有限公司</w:t>
            </w:r>
          </w:p>
        </w:tc>
        <w:tc>
          <w:tcPr>
            <w:tcW w:w="4038" w:type="dxa"/>
            <w:vAlign w:val="center"/>
          </w:tcPr>
          <w:p w14:paraId="09790154">
            <w:pPr>
              <w:keepNext w:val="0"/>
              <w:keepLines w:val="0"/>
              <w:widowControl/>
              <w:suppressLineNumbers w:val="0"/>
              <w:jc w:val="left"/>
              <w:textAlignment w:val="center"/>
              <w:rPr>
                <w:rFonts w:hint="eastAsia" w:ascii="仿宋" w:hAnsi="仿宋" w:eastAsia="仿宋" w:cs="仿宋"/>
                <w:color w:val="auto"/>
                <w:sz w:val="21"/>
                <w:szCs w:val="21"/>
              </w:rPr>
            </w:pPr>
            <w:r>
              <w:rPr>
                <w:rFonts w:hint="eastAsia" w:ascii="仿宋" w:hAnsi="仿宋" w:eastAsia="仿宋" w:cs="仿宋"/>
                <w:i w:val="0"/>
                <w:iCs w:val="0"/>
                <w:color w:val="000000"/>
                <w:kern w:val="0"/>
                <w:sz w:val="22"/>
                <w:szCs w:val="22"/>
                <w:u w:val="none"/>
                <w:lang w:val="en-US" w:eastAsia="zh-CN" w:bidi="ar"/>
              </w:rPr>
              <w:t>2020年4月8日设立，注册于杭州，专注脑科学、侵入式脑机接口与神经调控医疗器械研发、生产、销售的高科技平台型企业</w:t>
            </w:r>
          </w:p>
        </w:tc>
      </w:tr>
      <w:tr w14:paraId="5CB29EE2">
        <w:trPr>
          <w:trHeight w:val="290" w:hRule="atLeast"/>
        </w:trPr>
        <w:tc>
          <w:tcPr>
            <w:tcW w:w="1570" w:type="dxa"/>
            <w:vAlign w:val="center"/>
          </w:tcPr>
          <w:p w14:paraId="36D228A6">
            <w:pPr>
              <w:keepNext w:val="0"/>
              <w:keepLines w:val="0"/>
              <w:widowControl/>
              <w:suppressLineNumbers w:val="0"/>
              <w:jc w:val="left"/>
              <w:textAlignment w:val="center"/>
              <w:rPr>
                <w:rFonts w:hint="eastAsia" w:ascii="仿宋" w:hAnsi="仿宋" w:eastAsia="仿宋" w:cs="仿宋"/>
                <w:color w:val="auto"/>
                <w:sz w:val="21"/>
                <w:szCs w:val="21"/>
              </w:rPr>
            </w:pPr>
            <w:r>
              <w:rPr>
                <w:rFonts w:hint="eastAsia" w:ascii="仿宋" w:hAnsi="仿宋" w:eastAsia="仿宋" w:cs="仿宋"/>
                <w:i w:val="0"/>
                <w:iCs w:val="0"/>
                <w:color w:val="000000"/>
                <w:kern w:val="0"/>
                <w:sz w:val="22"/>
                <w:szCs w:val="22"/>
                <w:u w:val="none"/>
                <w:lang w:val="en-US" w:eastAsia="zh-CN" w:bidi="ar"/>
              </w:rPr>
              <w:t>BCI</w:t>
            </w:r>
          </w:p>
        </w:tc>
        <w:tc>
          <w:tcPr>
            <w:tcW w:w="2538" w:type="dxa"/>
            <w:tcBorders>
              <w:bottom w:val="single" w:color="000000" w:themeColor="text1" w:sz="4" w:space="0"/>
            </w:tcBorders>
            <w:vAlign w:val="center"/>
          </w:tcPr>
          <w:p w14:paraId="376E2F31">
            <w:pPr>
              <w:keepNext w:val="0"/>
              <w:keepLines w:val="0"/>
              <w:widowControl/>
              <w:suppressLineNumbers w:val="0"/>
              <w:jc w:val="left"/>
              <w:textAlignment w:val="center"/>
              <w:rPr>
                <w:rFonts w:hint="eastAsia" w:ascii="仿宋" w:hAnsi="仿宋" w:eastAsia="仿宋" w:cs="仿宋"/>
                <w:color w:val="auto"/>
                <w:sz w:val="21"/>
                <w:szCs w:val="21"/>
              </w:rPr>
            </w:pPr>
            <w:r>
              <w:rPr>
                <w:rFonts w:hint="eastAsia" w:ascii="仿宋" w:hAnsi="仿宋" w:eastAsia="仿宋" w:cs="仿宋"/>
                <w:i w:val="0"/>
                <w:iCs w:val="0"/>
                <w:color w:val="000000"/>
                <w:kern w:val="0"/>
                <w:sz w:val="22"/>
                <w:szCs w:val="22"/>
                <w:u w:val="none"/>
                <w:lang w:val="en-US" w:eastAsia="zh-CN" w:bidi="ar"/>
              </w:rPr>
              <w:t>脑机接口</w:t>
            </w:r>
          </w:p>
        </w:tc>
        <w:tc>
          <w:tcPr>
            <w:tcW w:w="4038" w:type="dxa"/>
            <w:vAlign w:val="center"/>
          </w:tcPr>
          <w:p w14:paraId="19152ED7">
            <w:pPr>
              <w:keepNext w:val="0"/>
              <w:keepLines w:val="0"/>
              <w:widowControl/>
              <w:suppressLineNumbers w:val="0"/>
              <w:jc w:val="left"/>
              <w:textAlignment w:val="center"/>
              <w:rPr>
                <w:rFonts w:hint="eastAsia" w:ascii="仿宋" w:hAnsi="仿宋" w:eastAsia="仿宋" w:cs="仿宋"/>
                <w:color w:val="auto"/>
                <w:sz w:val="21"/>
                <w:szCs w:val="21"/>
              </w:rPr>
            </w:pPr>
            <w:r>
              <w:rPr>
                <w:rFonts w:hint="eastAsia" w:ascii="仿宋" w:hAnsi="仿宋" w:eastAsia="仿宋" w:cs="仿宋"/>
                <w:i w:val="0"/>
                <w:iCs w:val="0"/>
                <w:color w:val="000000"/>
                <w:kern w:val="0"/>
                <w:sz w:val="22"/>
                <w:szCs w:val="22"/>
                <w:u w:val="none"/>
                <w:lang w:val="en-US" w:eastAsia="zh-CN" w:bidi="ar"/>
              </w:rPr>
              <w:t>脑机接口医疗器械，实现大脑与外部设备双向信息交互，用于神经系统疾病治疗、功能修复与人机交互</w:t>
            </w:r>
          </w:p>
        </w:tc>
      </w:tr>
      <w:tr w14:paraId="33AEE30F">
        <w:trPr>
          <w:trHeight w:val="290" w:hRule="atLeast"/>
        </w:trPr>
        <w:tc>
          <w:tcPr>
            <w:tcW w:w="1570" w:type="dxa"/>
            <w:vAlign w:val="center"/>
          </w:tcPr>
          <w:p w14:paraId="4B862775">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侵入式BCI</w:t>
            </w:r>
          </w:p>
        </w:tc>
        <w:tc>
          <w:tcPr>
            <w:tcW w:w="2538" w:type="dxa"/>
            <w:tcBorders>
              <w:bottom w:val="single" w:color="000000" w:themeColor="text1" w:sz="4" w:space="0"/>
            </w:tcBorders>
            <w:vAlign w:val="center"/>
          </w:tcPr>
          <w:p w14:paraId="74A487CC">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植入式脑机接口</w:t>
            </w:r>
          </w:p>
        </w:tc>
        <w:tc>
          <w:tcPr>
            <w:tcW w:w="4038" w:type="dxa"/>
            <w:vAlign w:val="center"/>
          </w:tcPr>
          <w:p w14:paraId="66FA8435">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通过手术将电极/器件植入颅内、皮层或脑深部组织的脑机接口，包含全侵入式、半侵入式，信号精度高、临床治疗属性强</w:t>
            </w:r>
          </w:p>
        </w:tc>
      </w:tr>
      <w:tr w14:paraId="3D74CA69">
        <w:trPr>
          <w:trHeight w:val="290" w:hRule="atLeast"/>
        </w:trPr>
        <w:tc>
          <w:tcPr>
            <w:tcW w:w="1570" w:type="dxa"/>
            <w:vAlign w:val="center"/>
          </w:tcPr>
          <w:p w14:paraId="57498F50">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非侵入式BCI</w:t>
            </w:r>
          </w:p>
        </w:tc>
        <w:tc>
          <w:tcPr>
            <w:tcW w:w="2538" w:type="dxa"/>
            <w:tcBorders>
              <w:bottom w:val="single" w:color="000000" w:themeColor="text1" w:sz="4" w:space="0"/>
            </w:tcBorders>
            <w:vAlign w:val="center"/>
          </w:tcPr>
          <w:p w14:paraId="3C0BDA3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无创脑机接口</w:t>
            </w:r>
          </w:p>
        </w:tc>
        <w:tc>
          <w:tcPr>
            <w:tcW w:w="4038" w:type="dxa"/>
            <w:vAlign w:val="center"/>
          </w:tcPr>
          <w:p w14:paraId="2DC01866">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无需手术植入，通过头皮电极采集脑电信号，多用于消费级、康复监测、人机娱乐场景</w:t>
            </w:r>
          </w:p>
        </w:tc>
      </w:tr>
      <w:tr w14:paraId="65B41179">
        <w:trPr>
          <w:trHeight w:val="233" w:hRule="atLeast"/>
        </w:trPr>
        <w:tc>
          <w:tcPr>
            <w:tcW w:w="1570" w:type="dxa"/>
            <w:vAlign w:val="center"/>
          </w:tcPr>
          <w:p w14:paraId="4485F151">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闭环神经调控</w:t>
            </w:r>
          </w:p>
        </w:tc>
        <w:tc>
          <w:tcPr>
            <w:tcW w:w="2538" w:type="dxa"/>
            <w:tcBorders>
              <w:bottom w:val="single" w:color="000000" w:themeColor="text1" w:sz="4" w:space="0"/>
            </w:tcBorders>
            <w:vAlign w:val="center"/>
          </w:tcPr>
          <w:p w14:paraId="61877BB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响应式实时神经调控</w:t>
            </w:r>
          </w:p>
        </w:tc>
        <w:tc>
          <w:tcPr>
            <w:tcW w:w="4038" w:type="dxa"/>
            <w:vAlign w:val="center"/>
          </w:tcPr>
          <w:p w14:paraId="25A27D7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实时监测脑电信号，自动识别异常神经电活动并按需释放电刺激，双向反馈、智能适配治疗参数</w:t>
            </w:r>
          </w:p>
        </w:tc>
      </w:tr>
      <w:tr w14:paraId="12012AED">
        <w:trPr>
          <w:trHeight w:val="233" w:hRule="atLeast"/>
        </w:trPr>
        <w:tc>
          <w:tcPr>
            <w:tcW w:w="1570" w:type="dxa"/>
            <w:vAlign w:val="center"/>
          </w:tcPr>
          <w:p w14:paraId="480F479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开环神经调控</w:t>
            </w:r>
          </w:p>
        </w:tc>
        <w:tc>
          <w:tcPr>
            <w:tcW w:w="2538" w:type="dxa"/>
            <w:tcBorders>
              <w:bottom w:val="single" w:color="000000" w:themeColor="text1" w:sz="4" w:space="0"/>
            </w:tcBorders>
            <w:vAlign w:val="center"/>
          </w:tcPr>
          <w:p w14:paraId="0D3A56A2">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固定式神经刺激</w:t>
            </w:r>
          </w:p>
        </w:tc>
        <w:tc>
          <w:tcPr>
            <w:tcW w:w="4038" w:type="dxa"/>
            <w:vAlign w:val="center"/>
          </w:tcPr>
          <w:p w14:paraId="121A321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无实时脑电信号反馈，按固定频率、固定参数持续电刺激，无法自适应病情变化</w:t>
            </w:r>
          </w:p>
        </w:tc>
      </w:tr>
      <w:tr w14:paraId="04F0198A">
        <w:trPr>
          <w:trHeight w:val="289" w:hRule="atLeast"/>
        </w:trPr>
        <w:tc>
          <w:tcPr>
            <w:tcW w:w="1570" w:type="dxa"/>
            <w:vAlign w:val="center"/>
          </w:tcPr>
          <w:p w14:paraId="51D875E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RNS</w:t>
            </w:r>
          </w:p>
        </w:tc>
        <w:tc>
          <w:tcPr>
            <w:tcW w:w="2538" w:type="dxa"/>
            <w:tcBorders>
              <w:bottom w:val="single" w:color="000000" w:themeColor="text1" w:sz="4" w:space="0"/>
            </w:tcBorders>
            <w:vAlign w:val="center"/>
          </w:tcPr>
          <w:p w14:paraId="782FF468">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反应性神经刺激系统</w:t>
            </w:r>
          </w:p>
        </w:tc>
        <w:tc>
          <w:tcPr>
            <w:tcW w:w="4038" w:type="dxa"/>
            <w:vAlign w:val="center"/>
          </w:tcPr>
          <w:p w14:paraId="62C043A6">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闭环植入式神经调控设备，实时监测并按需抑制癫痫异常放电，主要用于药物难治性癫痫</w:t>
            </w:r>
          </w:p>
        </w:tc>
      </w:tr>
      <w:tr w14:paraId="54B66A3B">
        <w:trPr>
          <w:trHeight w:val="289" w:hRule="atLeast"/>
        </w:trPr>
        <w:tc>
          <w:tcPr>
            <w:tcW w:w="1570" w:type="dxa"/>
            <w:vAlign w:val="center"/>
          </w:tcPr>
          <w:p w14:paraId="0A107BA2">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Epilcure™</w:t>
            </w:r>
          </w:p>
        </w:tc>
        <w:tc>
          <w:tcPr>
            <w:tcW w:w="2538" w:type="dxa"/>
            <w:tcBorders>
              <w:bottom w:val="single" w:color="000000" w:themeColor="text1" w:sz="4" w:space="0"/>
            </w:tcBorders>
            <w:vAlign w:val="center"/>
          </w:tcPr>
          <w:p w14:paraId="3563A7AE">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公司自研闭环RNS产品</w:t>
            </w:r>
          </w:p>
        </w:tc>
        <w:tc>
          <w:tcPr>
            <w:tcW w:w="4038" w:type="dxa"/>
            <w:vAlign w:val="center"/>
          </w:tcPr>
          <w:p w14:paraId="4B249008">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佳量脑科学自主研发的植入式神经刺激系统，亚洲首款闭环反应性神经调控产品，纳入NMPA创新医疗器械通道</w:t>
            </w:r>
          </w:p>
        </w:tc>
      </w:tr>
      <w:tr w14:paraId="31012DFF">
        <w:trPr>
          <w:trHeight w:val="289" w:hRule="atLeast"/>
        </w:trPr>
        <w:tc>
          <w:tcPr>
            <w:tcW w:w="1570" w:type="dxa"/>
            <w:vAlign w:val="center"/>
          </w:tcPr>
          <w:p w14:paraId="751645C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MRgLITT/LITT</w:t>
            </w:r>
          </w:p>
        </w:tc>
        <w:tc>
          <w:tcPr>
            <w:tcW w:w="2538" w:type="dxa"/>
            <w:tcBorders>
              <w:bottom w:val="single" w:color="000000" w:themeColor="text1" w:sz="4" w:space="0"/>
            </w:tcBorders>
            <w:vAlign w:val="center"/>
          </w:tcPr>
          <w:p w14:paraId="727FD628">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磁共振监测激光间质热疗</w:t>
            </w:r>
          </w:p>
        </w:tc>
        <w:tc>
          <w:tcPr>
            <w:tcW w:w="4038" w:type="dxa"/>
            <w:vAlign w:val="center"/>
          </w:tcPr>
          <w:p w14:paraId="2D47A7E8">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在MRI实时测温导航下，通过微创植入激光光纤，靶向消融颅内病灶的微创神经外科治疗技术</w:t>
            </w:r>
          </w:p>
        </w:tc>
      </w:tr>
      <w:tr w14:paraId="62BBEE6E">
        <w:trPr>
          <w:trHeight w:val="289" w:hRule="atLeast"/>
        </w:trPr>
        <w:tc>
          <w:tcPr>
            <w:tcW w:w="1570" w:type="dxa"/>
            <w:vAlign w:val="center"/>
          </w:tcPr>
          <w:p w14:paraId="154E6AC1">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LaserRO™</w:t>
            </w:r>
          </w:p>
        </w:tc>
        <w:tc>
          <w:tcPr>
            <w:tcW w:w="2538" w:type="dxa"/>
            <w:tcBorders>
              <w:bottom w:val="single" w:color="000000" w:themeColor="text1" w:sz="4" w:space="0"/>
            </w:tcBorders>
            <w:vAlign w:val="center"/>
          </w:tcPr>
          <w:p w14:paraId="7C621CC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公司自研LITT系统</w:t>
            </w:r>
          </w:p>
        </w:tc>
        <w:tc>
          <w:tcPr>
            <w:tcW w:w="4038" w:type="dxa"/>
            <w:vAlign w:val="center"/>
          </w:tcPr>
          <w:p w14:paraId="5AF777CE">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佳量脑科学双波长磁共振监测半导体激光治疗系统，含激光设备、消融光纤、手术规划软件整套解决方案</w:t>
            </w:r>
          </w:p>
        </w:tc>
      </w:tr>
      <w:tr w14:paraId="0EF5F61C">
        <w:trPr>
          <w:trHeight w:val="289" w:hRule="atLeast"/>
        </w:trPr>
        <w:tc>
          <w:tcPr>
            <w:tcW w:w="1570" w:type="dxa"/>
            <w:vAlign w:val="center"/>
          </w:tcPr>
          <w:p w14:paraId="5EB6CE92">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SEEG</w:t>
            </w:r>
          </w:p>
        </w:tc>
        <w:tc>
          <w:tcPr>
            <w:tcW w:w="2538" w:type="dxa"/>
            <w:tcBorders>
              <w:bottom w:val="single" w:color="000000" w:themeColor="text1" w:sz="4" w:space="0"/>
            </w:tcBorders>
            <w:vAlign w:val="center"/>
          </w:tcPr>
          <w:p w14:paraId="261FA45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立体定向脑电图</w:t>
            </w:r>
          </w:p>
        </w:tc>
        <w:tc>
          <w:tcPr>
            <w:tcW w:w="4038" w:type="dxa"/>
            <w:vAlign w:val="center"/>
          </w:tcPr>
          <w:p w14:paraId="26F137C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通过立体定向技术植入脑深部电极，采集颅内脑电信号，为癫痫致痫灶定位、脑功能区测绘的临床金标准</w:t>
            </w:r>
          </w:p>
        </w:tc>
      </w:tr>
      <w:tr w14:paraId="1C972661">
        <w:trPr>
          <w:trHeight w:val="289" w:hRule="atLeast"/>
        </w:trPr>
        <w:tc>
          <w:tcPr>
            <w:tcW w:w="1570" w:type="dxa"/>
            <w:vAlign w:val="center"/>
          </w:tcPr>
          <w:p w14:paraId="0CEF4CB8">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S-DEEP™</w:t>
            </w:r>
          </w:p>
        </w:tc>
        <w:tc>
          <w:tcPr>
            <w:tcW w:w="2538" w:type="dxa"/>
            <w:tcBorders>
              <w:bottom w:val="single" w:color="000000" w:themeColor="text1" w:sz="4" w:space="0"/>
            </w:tcBorders>
            <w:vAlign w:val="center"/>
          </w:tcPr>
          <w:p w14:paraId="535ED954">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公司自研脑深部电极系统</w:t>
            </w:r>
          </w:p>
        </w:tc>
        <w:tc>
          <w:tcPr>
            <w:tcW w:w="4038" w:type="dxa"/>
            <w:vAlign w:val="center"/>
          </w:tcPr>
          <w:p w14:paraId="78C444F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佳量脑科学自主研发的SEEG深部电极及配套耗材、手术工具套装，用于癫痫术前精准定位</w:t>
            </w:r>
          </w:p>
        </w:tc>
      </w:tr>
      <w:tr w14:paraId="2625FFEC">
        <w:trPr>
          <w:trHeight w:val="289" w:hRule="atLeast"/>
        </w:trPr>
        <w:tc>
          <w:tcPr>
            <w:tcW w:w="1570" w:type="dxa"/>
            <w:vAlign w:val="center"/>
          </w:tcPr>
          <w:p w14:paraId="6DA81EF1">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DBS</w:t>
            </w:r>
          </w:p>
        </w:tc>
        <w:tc>
          <w:tcPr>
            <w:tcW w:w="2538" w:type="dxa"/>
            <w:tcBorders>
              <w:bottom w:val="single" w:color="000000" w:themeColor="text1" w:sz="4" w:space="0"/>
            </w:tcBorders>
            <w:vAlign w:val="center"/>
          </w:tcPr>
          <w:p w14:paraId="65B7FD3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脑深部电刺激</w:t>
            </w:r>
          </w:p>
        </w:tc>
        <w:tc>
          <w:tcPr>
            <w:tcW w:w="4038" w:type="dxa"/>
            <w:vAlign w:val="center"/>
          </w:tcPr>
          <w:p w14:paraId="5E7AC009">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向大脑深部核团植入电极，通过电调控改善神经环路异常，主要用于帕金森、特发性震颤等运动障碍疾病</w:t>
            </w:r>
          </w:p>
        </w:tc>
      </w:tr>
      <w:tr w14:paraId="090FE8A9">
        <w:trPr>
          <w:trHeight w:val="289" w:hRule="atLeast"/>
        </w:trPr>
        <w:tc>
          <w:tcPr>
            <w:tcW w:w="1570" w:type="dxa"/>
            <w:vAlign w:val="center"/>
          </w:tcPr>
          <w:p w14:paraId="1AD7D4B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iSBS</w:t>
            </w:r>
          </w:p>
        </w:tc>
        <w:tc>
          <w:tcPr>
            <w:tcW w:w="2538" w:type="dxa"/>
            <w:tcBorders>
              <w:bottom w:val="single" w:color="000000" w:themeColor="text1" w:sz="4" w:space="0"/>
            </w:tcBorders>
            <w:vAlign w:val="center"/>
          </w:tcPr>
          <w:p w14:paraId="6508D529">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公司自研闭环DBS产品</w:t>
            </w:r>
          </w:p>
        </w:tc>
        <w:tc>
          <w:tcPr>
            <w:tcW w:w="4038" w:type="dxa"/>
            <w:vAlign w:val="center"/>
          </w:tcPr>
          <w:p w14:paraId="1EE66DD3">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佳量脑科学智能脑深部电刺激系统，采用颅内植入、闭环自适应调控架构，对标下一代DBS技术</w:t>
            </w:r>
          </w:p>
        </w:tc>
      </w:tr>
      <w:tr w14:paraId="1FD1C877">
        <w:trPr>
          <w:trHeight w:val="289" w:hRule="atLeast"/>
        </w:trPr>
        <w:tc>
          <w:tcPr>
            <w:tcW w:w="1570" w:type="dxa"/>
            <w:vAlign w:val="center"/>
          </w:tcPr>
          <w:p w14:paraId="425D46EE">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EES</w:t>
            </w:r>
          </w:p>
        </w:tc>
        <w:tc>
          <w:tcPr>
            <w:tcW w:w="2538" w:type="dxa"/>
            <w:tcBorders>
              <w:bottom w:val="single" w:color="000000" w:themeColor="text1" w:sz="4" w:space="0"/>
            </w:tcBorders>
            <w:vAlign w:val="center"/>
          </w:tcPr>
          <w:p w14:paraId="0F76E065">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硬膜外脊髓电刺激</w:t>
            </w:r>
          </w:p>
        </w:tc>
        <w:tc>
          <w:tcPr>
            <w:tcW w:w="4038" w:type="dxa"/>
            <w:vAlign w:val="center"/>
          </w:tcPr>
          <w:p w14:paraId="5E8B448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向脊髓硬膜外植入电极阵列，通过时序电刺激激活神经环路，用于脊髓损伤截瘫患者站立行走功能康复</w:t>
            </w:r>
          </w:p>
        </w:tc>
      </w:tr>
      <w:tr w14:paraId="28F0DCDA">
        <w:trPr>
          <w:trHeight w:val="289" w:hRule="atLeast"/>
        </w:trPr>
        <w:tc>
          <w:tcPr>
            <w:tcW w:w="1570" w:type="dxa"/>
            <w:vAlign w:val="center"/>
          </w:tcPr>
          <w:p w14:paraId="4E043EA4">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耐药性癫痫/DRE</w:t>
            </w:r>
          </w:p>
        </w:tc>
        <w:tc>
          <w:tcPr>
            <w:tcW w:w="2538" w:type="dxa"/>
            <w:tcBorders>
              <w:bottom w:val="single" w:color="000000" w:themeColor="text1" w:sz="4" w:space="0"/>
            </w:tcBorders>
            <w:vAlign w:val="center"/>
          </w:tcPr>
          <w:p w14:paraId="13E40960">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药物难治性癫痫</w:t>
            </w:r>
          </w:p>
        </w:tc>
        <w:tc>
          <w:tcPr>
            <w:tcW w:w="4038" w:type="dxa"/>
            <w:vAlign w:val="center"/>
          </w:tcPr>
          <w:p w14:paraId="2E485BA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经2种及以上足量、耐受抗癫痫药物规范治疗后，仍无法实现长期无发作的局灶性/全面性癫痫</w:t>
            </w:r>
          </w:p>
        </w:tc>
      </w:tr>
      <w:tr w14:paraId="6C33AAF3">
        <w:trPr>
          <w:trHeight w:val="289" w:hRule="atLeast"/>
        </w:trPr>
        <w:tc>
          <w:tcPr>
            <w:tcW w:w="1570" w:type="dxa"/>
            <w:vAlign w:val="center"/>
          </w:tcPr>
          <w:p w14:paraId="3B55601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胶质瘤</w:t>
            </w:r>
          </w:p>
        </w:tc>
        <w:tc>
          <w:tcPr>
            <w:tcW w:w="2538" w:type="dxa"/>
            <w:tcBorders>
              <w:bottom w:val="single" w:color="000000" w:themeColor="text1" w:sz="4" w:space="0"/>
            </w:tcBorders>
            <w:vAlign w:val="center"/>
          </w:tcPr>
          <w:p w14:paraId="5554952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颅内胶质源性恶性肿瘤</w:t>
            </w:r>
          </w:p>
        </w:tc>
        <w:tc>
          <w:tcPr>
            <w:tcW w:w="4038" w:type="dxa"/>
            <w:vAlign w:val="center"/>
          </w:tcPr>
          <w:p w14:paraId="28EB76A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最常见原发性脑肿瘤，恶性程度高、复发率高，传统开颅手术风险大，适配LITT微创消融治疗</w:t>
            </w:r>
          </w:p>
        </w:tc>
      </w:tr>
      <w:tr w14:paraId="35C3FB6A">
        <w:trPr>
          <w:trHeight w:val="289" w:hRule="atLeast"/>
        </w:trPr>
        <w:tc>
          <w:tcPr>
            <w:tcW w:w="1570" w:type="dxa"/>
            <w:vAlign w:val="center"/>
          </w:tcPr>
          <w:p w14:paraId="153214A8">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脑转移瘤</w:t>
            </w:r>
          </w:p>
        </w:tc>
        <w:tc>
          <w:tcPr>
            <w:tcW w:w="2538" w:type="dxa"/>
            <w:tcBorders>
              <w:bottom w:val="single" w:color="000000" w:themeColor="text1" w:sz="4" w:space="0"/>
            </w:tcBorders>
            <w:vAlign w:val="center"/>
          </w:tcPr>
          <w:p w14:paraId="3D4F258E">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继发性颅内肿瘤</w:t>
            </w:r>
          </w:p>
        </w:tc>
        <w:tc>
          <w:tcPr>
            <w:tcW w:w="4038" w:type="dxa"/>
            <w:vAlign w:val="center"/>
          </w:tcPr>
          <w:p w14:paraId="20609F1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全身恶性肿瘤（肺癌、乳腺癌等）转移至颅内形成的病灶，是LITT核心临床适应症之一</w:t>
            </w:r>
          </w:p>
        </w:tc>
      </w:tr>
      <w:tr w14:paraId="40E3BB1B">
        <w:trPr>
          <w:trHeight w:val="289" w:hRule="atLeast"/>
        </w:trPr>
        <w:tc>
          <w:tcPr>
            <w:tcW w:w="1570" w:type="dxa"/>
            <w:vAlign w:val="center"/>
          </w:tcPr>
          <w:p w14:paraId="3A90E4F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SCI</w:t>
            </w:r>
          </w:p>
        </w:tc>
        <w:tc>
          <w:tcPr>
            <w:tcW w:w="2538" w:type="dxa"/>
            <w:tcBorders>
              <w:bottom w:val="single" w:color="000000" w:themeColor="text1" w:sz="4" w:space="0"/>
            </w:tcBorders>
            <w:vAlign w:val="center"/>
          </w:tcPr>
          <w:p w14:paraId="63AD31FF">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脊髓损伤</w:t>
            </w:r>
          </w:p>
        </w:tc>
        <w:tc>
          <w:tcPr>
            <w:tcW w:w="4038" w:type="dxa"/>
            <w:vAlign w:val="center"/>
          </w:tcPr>
          <w:p w14:paraId="0663E20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因外伤、肿瘤、炎症等导致脊髓神经通路受损，引发肢体瘫痪、感觉缺失、运动功能障碍等病症</w:t>
            </w:r>
          </w:p>
        </w:tc>
      </w:tr>
      <w:tr w14:paraId="61C2681D">
        <w:trPr>
          <w:trHeight w:val="289" w:hRule="atLeast"/>
        </w:trPr>
        <w:tc>
          <w:tcPr>
            <w:tcW w:w="1570" w:type="dxa"/>
            <w:vAlign w:val="center"/>
          </w:tcPr>
          <w:p w14:paraId="7B8DBEF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PD</w:t>
            </w:r>
          </w:p>
        </w:tc>
        <w:tc>
          <w:tcPr>
            <w:tcW w:w="2538" w:type="dxa"/>
            <w:tcBorders>
              <w:bottom w:val="single" w:color="000000" w:themeColor="text1" w:sz="4" w:space="0"/>
            </w:tcBorders>
            <w:vAlign w:val="center"/>
          </w:tcPr>
          <w:p w14:paraId="07E4FB5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帕金森病</w:t>
            </w:r>
          </w:p>
        </w:tc>
        <w:tc>
          <w:tcPr>
            <w:tcW w:w="4038" w:type="dxa"/>
            <w:vAlign w:val="center"/>
          </w:tcPr>
          <w:p w14:paraId="768B86E1">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中老年常见神经退行性疾病，以震颤、肌强直、运动迟缓、步态异常为核心症状，中晚期主要依赖DBS治疗</w:t>
            </w:r>
          </w:p>
        </w:tc>
      </w:tr>
      <w:tr w14:paraId="35E5E527">
        <w:trPr>
          <w:trHeight w:val="187" w:hRule="atLeast"/>
        </w:trPr>
        <w:tc>
          <w:tcPr>
            <w:tcW w:w="1570" w:type="dxa"/>
            <w:vAlign w:val="center"/>
          </w:tcPr>
          <w:p w14:paraId="7A20FC78">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NMPA</w:t>
            </w:r>
          </w:p>
        </w:tc>
        <w:tc>
          <w:tcPr>
            <w:tcW w:w="2538" w:type="dxa"/>
            <w:tcBorders>
              <w:bottom w:val="single" w:color="000000" w:themeColor="text1" w:sz="4" w:space="0"/>
            </w:tcBorders>
            <w:vAlign w:val="center"/>
          </w:tcPr>
          <w:p w14:paraId="5E8282E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国家药品监督管理局</w:t>
            </w:r>
          </w:p>
        </w:tc>
        <w:tc>
          <w:tcPr>
            <w:tcW w:w="4038" w:type="dxa"/>
            <w:vAlign w:val="center"/>
          </w:tcPr>
          <w:p w14:paraId="4FE59730">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负责国内医疗器械审批、注册、监管的官方机构，三类有源植入医械需经NMPA严格注册审批</w:t>
            </w:r>
          </w:p>
        </w:tc>
      </w:tr>
      <w:tr w14:paraId="519F4121">
        <w:trPr>
          <w:trHeight w:val="289" w:hRule="atLeast"/>
        </w:trPr>
        <w:tc>
          <w:tcPr>
            <w:tcW w:w="1570" w:type="dxa"/>
            <w:vAlign w:val="center"/>
          </w:tcPr>
          <w:p w14:paraId="4F94E56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创新医疗器械通道</w:t>
            </w:r>
          </w:p>
        </w:tc>
        <w:tc>
          <w:tcPr>
            <w:tcW w:w="2538" w:type="dxa"/>
            <w:tcBorders>
              <w:bottom w:val="single" w:color="000000" w:themeColor="text1" w:sz="4" w:space="0"/>
            </w:tcBorders>
            <w:vAlign w:val="center"/>
          </w:tcPr>
          <w:p w14:paraId="1E319143">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NMPA特殊审批通道</w:t>
            </w:r>
          </w:p>
        </w:tc>
        <w:tc>
          <w:tcPr>
            <w:tcW w:w="4038" w:type="dxa"/>
            <w:vAlign w:val="center"/>
          </w:tcPr>
          <w:p w14:paraId="6E9E7FF1">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针对具备重大临床价值、国内首创、技术领先的医疗器械，享受优先审评、审批加速政策通道</w:t>
            </w:r>
          </w:p>
        </w:tc>
      </w:tr>
      <w:tr w14:paraId="082A081D">
        <w:trPr>
          <w:trHeight w:val="289" w:hRule="atLeast"/>
        </w:trPr>
        <w:tc>
          <w:tcPr>
            <w:tcW w:w="1570" w:type="dxa"/>
            <w:vAlign w:val="center"/>
          </w:tcPr>
          <w:p w14:paraId="65925D23">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三类有源植入医疗器械</w:t>
            </w:r>
          </w:p>
        </w:tc>
        <w:tc>
          <w:tcPr>
            <w:tcW w:w="2538" w:type="dxa"/>
            <w:tcBorders>
              <w:bottom w:val="single" w:color="000000" w:themeColor="text1" w:sz="4" w:space="0"/>
            </w:tcBorders>
            <w:vAlign w:val="center"/>
          </w:tcPr>
          <w:p w14:paraId="3B0BF2D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最高风险等级医械</w:t>
            </w:r>
          </w:p>
        </w:tc>
        <w:tc>
          <w:tcPr>
            <w:tcW w:w="4038" w:type="dxa"/>
            <w:vAlign w:val="center"/>
          </w:tcPr>
          <w:p w14:paraId="5470D862">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植入人体、长期留存、有源工作的高风险医疗器械，监管标准最严格，需多中心三期临床试验</w:t>
            </w:r>
          </w:p>
        </w:tc>
      </w:tr>
      <w:tr w14:paraId="7DBED2CA">
        <w:trPr>
          <w:trHeight w:val="289" w:hRule="atLeast"/>
        </w:trPr>
        <w:tc>
          <w:tcPr>
            <w:tcW w:w="1570" w:type="dxa"/>
            <w:vAlign w:val="center"/>
          </w:tcPr>
          <w:p w14:paraId="4F85F236">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港股18A</w:t>
            </w:r>
          </w:p>
        </w:tc>
        <w:tc>
          <w:tcPr>
            <w:tcW w:w="2538" w:type="dxa"/>
            <w:tcBorders>
              <w:bottom w:val="single" w:color="000000" w:themeColor="text1" w:sz="4" w:space="0"/>
            </w:tcBorders>
            <w:vAlign w:val="center"/>
          </w:tcPr>
          <w:p w14:paraId="60A9EBD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港交所第18A章上市规则</w:t>
            </w:r>
          </w:p>
        </w:tc>
        <w:tc>
          <w:tcPr>
            <w:tcW w:w="4038" w:type="dxa"/>
            <w:vAlign w:val="center"/>
          </w:tcPr>
          <w:p w14:paraId="71CA6CD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针对未盈利生物科技企业的港股上市制度，允许无商业化盈利、核心管线具备临床价值的生物医药/医械企业申报上市</w:t>
            </w:r>
          </w:p>
        </w:tc>
      </w:tr>
      <w:tr w14:paraId="17885264">
        <w:trPr>
          <w:trHeight w:val="289" w:hRule="atLeast"/>
        </w:trPr>
        <w:tc>
          <w:tcPr>
            <w:tcW w:w="1570" w:type="dxa"/>
            <w:vAlign w:val="center"/>
          </w:tcPr>
          <w:p w14:paraId="1CA9894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投后估值</w:t>
            </w:r>
          </w:p>
        </w:tc>
        <w:tc>
          <w:tcPr>
            <w:tcW w:w="2538" w:type="dxa"/>
            <w:tcBorders>
              <w:bottom w:val="single" w:color="000000" w:themeColor="text1" w:sz="4" w:space="0"/>
            </w:tcBorders>
            <w:vAlign w:val="center"/>
          </w:tcPr>
          <w:p w14:paraId="2F04CA1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融资完成后企业整体估值</w:t>
            </w:r>
          </w:p>
        </w:tc>
        <w:tc>
          <w:tcPr>
            <w:tcW w:w="4038" w:type="dxa"/>
            <w:vAlign w:val="center"/>
          </w:tcPr>
          <w:p w14:paraId="65CA28B3">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本轮融资资金到位、股权稀释完成后，公司整体市场价值</w:t>
            </w:r>
          </w:p>
        </w:tc>
      </w:tr>
      <w:tr w14:paraId="32184153">
        <w:trPr>
          <w:trHeight w:val="289" w:hRule="atLeast"/>
        </w:trPr>
        <w:tc>
          <w:tcPr>
            <w:tcW w:w="1570" w:type="dxa"/>
            <w:vAlign w:val="center"/>
          </w:tcPr>
          <w:p w14:paraId="63CD875D">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老股转让</w:t>
            </w:r>
          </w:p>
        </w:tc>
        <w:tc>
          <w:tcPr>
            <w:tcW w:w="2538" w:type="dxa"/>
            <w:tcBorders>
              <w:bottom w:val="single" w:color="000000" w:themeColor="text1" w:sz="4" w:space="0"/>
            </w:tcBorders>
            <w:vAlign w:val="center"/>
          </w:tcPr>
          <w:p w14:paraId="5ECEEE19">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存量股权转让</w:t>
            </w:r>
          </w:p>
        </w:tc>
        <w:tc>
          <w:tcPr>
            <w:tcW w:w="4038" w:type="dxa"/>
            <w:vAlign w:val="center"/>
          </w:tcPr>
          <w:p w14:paraId="439123D3">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现有股东对外转让所持公司股权，不新增注册资本、不稀释创始及原有股东股本总额</w:t>
            </w:r>
          </w:p>
        </w:tc>
      </w:tr>
      <w:tr w14:paraId="69770062">
        <w:trPr>
          <w:trHeight w:val="53" w:hRule="atLeast"/>
        </w:trPr>
        <w:tc>
          <w:tcPr>
            <w:tcW w:w="1570" w:type="dxa"/>
            <w:vAlign w:val="center"/>
          </w:tcPr>
          <w:p w14:paraId="678EE7A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员工持股平台</w:t>
            </w:r>
          </w:p>
        </w:tc>
        <w:tc>
          <w:tcPr>
            <w:tcW w:w="2538" w:type="dxa"/>
            <w:tcBorders>
              <w:bottom w:val="single" w:color="000000" w:themeColor="text1" w:sz="4" w:space="0"/>
            </w:tcBorders>
            <w:vAlign w:val="center"/>
          </w:tcPr>
          <w:p w14:paraId="705A4EC7">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有限合伙制股权激励平台</w:t>
            </w:r>
          </w:p>
        </w:tc>
        <w:tc>
          <w:tcPr>
            <w:tcW w:w="4038" w:type="dxa"/>
            <w:vAlign w:val="center"/>
          </w:tcPr>
          <w:p w14:paraId="538D2952">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以有限合伙企业形式设立，用于授予核心员工股权、绑定团队利益，集中持股统一管理</w:t>
            </w:r>
          </w:p>
        </w:tc>
      </w:tr>
      <w:tr w14:paraId="427E968D">
        <w:trPr>
          <w:trHeight w:val="290" w:hRule="atLeast"/>
        </w:trPr>
        <w:tc>
          <w:tcPr>
            <w:tcW w:w="1570" w:type="dxa"/>
            <w:vAlign w:val="center"/>
          </w:tcPr>
          <w:p w14:paraId="1556A864">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多中心临床试验</w:t>
            </w:r>
          </w:p>
        </w:tc>
        <w:tc>
          <w:tcPr>
            <w:tcW w:w="2538" w:type="dxa"/>
            <w:tcBorders>
              <w:bottom w:val="single" w:color="000000" w:themeColor="text1" w:sz="4" w:space="0"/>
            </w:tcBorders>
            <w:vAlign w:val="center"/>
          </w:tcPr>
          <w:p w14:paraId="3886B050">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多医院联合临床研究</w:t>
            </w:r>
          </w:p>
        </w:tc>
        <w:tc>
          <w:tcPr>
            <w:tcW w:w="4038" w:type="dxa"/>
            <w:vAlign w:val="center"/>
          </w:tcPr>
          <w:p w14:paraId="2226B871">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由国内多家三甲顶级临床中心共同开展的医疗器械确证性试验，数据权威性高、获批认可度高</w:t>
            </w:r>
          </w:p>
        </w:tc>
      </w:tr>
      <w:tr w14:paraId="383D4BEB">
        <w:trPr>
          <w:trHeight w:val="185" w:hRule="atLeast"/>
        </w:trPr>
        <w:tc>
          <w:tcPr>
            <w:tcW w:w="1570" w:type="dxa"/>
            <w:vAlign w:val="center"/>
          </w:tcPr>
          <w:p w14:paraId="0D626E5A">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PI/Co-PI</w:t>
            </w:r>
          </w:p>
        </w:tc>
        <w:tc>
          <w:tcPr>
            <w:tcW w:w="2538" w:type="dxa"/>
            <w:tcBorders>
              <w:bottom w:val="single" w:color="000000" w:themeColor="text1" w:sz="4" w:space="0"/>
            </w:tcBorders>
            <w:vAlign w:val="center"/>
          </w:tcPr>
          <w:p w14:paraId="14301EFB">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临床试验牵头研究者</w:t>
            </w:r>
          </w:p>
        </w:tc>
        <w:tc>
          <w:tcPr>
            <w:tcW w:w="4038" w:type="dxa"/>
            <w:vAlign w:val="center"/>
          </w:tcPr>
          <w:p w14:paraId="15214413">
            <w:pPr>
              <w:keepNext w:val="0"/>
              <w:keepLines w:val="0"/>
              <w:widowControl/>
              <w:suppressLineNumbers w:val="0"/>
              <w:jc w:val="left"/>
              <w:textAlignment w:val="center"/>
              <w:rPr>
                <w:rFonts w:hint="eastAsia" w:ascii="仿宋" w:hAnsi="仿宋" w:eastAsia="仿宋" w:cs="仿宋"/>
                <w:color w:val="0000FF"/>
                <w:sz w:val="21"/>
                <w:szCs w:val="21"/>
              </w:rPr>
            </w:pPr>
            <w:r>
              <w:rPr>
                <w:rFonts w:hint="eastAsia" w:ascii="仿宋" w:hAnsi="仿宋" w:eastAsia="仿宋" w:cs="仿宋"/>
                <w:i w:val="0"/>
                <w:iCs w:val="0"/>
                <w:color w:val="000000"/>
                <w:kern w:val="0"/>
                <w:sz w:val="22"/>
                <w:szCs w:val="22"/>
                <w:u w:val="none"/>
                <w:lang w:val="en-US" w:eastAsia="zh-CN" w:bidi="ar"/>
              </w:rPr>
              <w:t>多中心临床试验总负责人/联合牵头专家，为国内神经外科、癫痫领域顶尖学科带头人</w:t>
            </w:r>
          </w:p>
        </w:tc>
      </w:tr>
    </w:tbl>
    <w:p w14:paraId="6493A47C">
      <w:pPr>
        <w:shd w:val="clear" w:color="000000" w:fill="FFFFFF"/>
        <w:rPr>
          <w:rFonts w:ascii="黑体" w:hAnsi="黑体" w:eastAsia="黑体" w:cs="Arial"/>
          <w:b/>
          <w:bCs/>
          <w:color w:val="0000FF"/>
          <w:sz w:val="28"/>
          <w:szCs w:val="28"/>
        </w:rPr>
      </w:pPr>
      <w:r>
        <w:rPr>
          <w:color w:val="0000FF"/>
        </w:rPr>
        <w:br w:type="page"/>
      </w:r>
    </w:p>
    <w:p w14:paraId="17C099E4">
      <w:pPr>
        <w:pStyle w:val="79"/>
        <w:numPr>
          <w:ilvl w:val="0"/>
          <w:numId w:val="7"/>
        </w:numPr>
        <w:ind w:firstLine="0"/>
        <w:rPr>
          <w:color w:val="auto"/>
        </w:rPr>
      </w:pPr>
      <w:bookmarkStart w:id="2" w:name="_Toc1483624341"/>
      <w:r>
        <w:rPr>
          <w:rFonts w:hint="eastAsia"/>
          <w:color w:val="auto"/>
          <w:lang w:val="en-US" w:eastAsia="zh-CN"/>
        </w:rPr>
        <w:t>杭州佳量脑科学股份有限公司</w:t>
      </w:r>
      <w:bookmarkEnd w:id="2"/>
    </w:p>
    <w:p w14:paraId="748BA905">
      <w:pPr>
        <w:pStyle w:val="86"/>
        <w:numPr>
          <w:ilvl w:val="0"/>
          <w:numId w:val="8"/>
        </w:numPr>
        <w:rPr>
          <w:rStyle w:val="44"/>
          <w:rFonts w:ascii="楷体" w:hAnsi="楷体"/>
          <w:b/>
          <w:bCs/>
          <w:color w:val="auto"/>
        </w:rPr>
      </w:pPr>
      <w:bookmarkStart w:id="3" w:name="_Toc841673870"/>
      <w:r>
        <w:rPr>
          <w:rFonts w:hint="eastAsia"/>
          <w:color w:val="auto"/>
        </w:rPr>
        <w:t>公司介绍</w:t>
      </w:r>
      <w:bookmarkEnd w:id="3"/>
    </w:p>
    <w:p w14:paraId="1D1A08FC">
      <w:pPr>
        <w:pStyle w:val="91"/>
        <w:rPr>
          <w:rFonts w:hint="eastAsia"/>
          <w:color w:val="auto"/>
          <w:lang w:eastAsia="zh-CN"/>
        </w:rPr>
      </w:pPr>
      <w:r>
        <w:rPr>
          <w:rFonts w:hint="eastAsia"/>
          <w:color w:val="auto"/>
        </w:rPr>
        <w:t>杭州佳量脑科学股份有限公司</w:t>
      </w:r>
      <w:r>
        <w:rPr>
          <w:rFonts w:hint="eastAsia"/>
          <w:color w:val="auto"/>
          <w:lang w:eastAsia="zh-CN"/>
        </w:rPr>
        <w:t>（</w:t>
      </w:r>
      <w:r>
        <w:rPr>
          <w:rFonts w:hint="eastAsia"/>
          <w:color w:val="auto"/>
          <w:lang w:val="en-US" w:eastAsia="zh-CN"/>
        </w:rPr>
        <w:t>下称“佳量脑科学”</w:t>
      </w:r>
      <w:r>
        <w:rPr>
          <w:rFonts w:hint="eastAsia"/>
          <w:color w:val="auto"/>
          <w:lang w:eastAsia="zh-CN"/>
        </w:rPr>
        <w:t>）</w:t>
      </w:r>
      <w:r>
        <w:rPr>
          <w:rFonts w:hint="eastAsia"/>
          <w:color w:val="auto"/>
        </w:rPr>
        <w:t>2020年4月成立于杭州，是专注脑科学与神经外科前沿技术产业化的高科技平台型企业，定位数据驱动的下一代脑机接口平台，聚焦侵入式脑机接口与神经调控，覆盖临床治疗、功能修复与人机共融，为癫痫、帕金森、脊髓损伤等神经系统疾病提供创新医疗器械解决方案</w:t>
      </w:r>
      <w:r>
        <w:rPr>
          <w:rFonts w:hint="eastAsia"/>
          <w:color w:val="auto"/>
          <w:lang w:eastAsia="zh-CN"/>
        </w:rPr>
        <w:t>。</w:t>
      </w:r>
    </w:p>
    <w:p w14:paraId="462E817C">
      <w:pPr>
        <w:pStyle w:val="91"/>
        <w:rPr>
          <w:rFonts w:hint="eastAsia"/>
          <w:color w:val="auto"/>
          <w:lang w:eastAsia="zh-CN"/>
        </w:rPr>
      </w:pPr>
      <w:r>
        <w:rPr>
          <w:rFonts w:hint="eastAsia"/>
          <w:color w:val="auto"/>
          <w:lang w:eastAsia="zh-CN"/>
        </w:rPr>
        <w:t>佳量</w:t>
      </w:r>
      <w:r>
        <w:rPr>
          <w:rFonts w:hint="eastAsia"/>
          <w:color w:val="auto"/>
          <w:lang w:val="en-US" w:eastAsia="zh-CN"/>
        </w:rPr>
        <w:t>脑科学</w:t>
      </w:r>
      <w:r>
        <w:rPr>
          <w:rFonts w:hint="eastAsia"/>
          <w:color w:val="auto"/>
          <w:lang w:eastAsia="zh-CN"/>
        </w:rPr>
        <w:t>以BCMod一体化脑机接口平台为技术底座，构建侵入式神经信号采集、闭环神经刺激、AI智能解码、颅骨植入式微创设计等全栈技术能力，依托110+例临床植入积累海量高保真颅内脑电数据，形成行业稀缺的数据飞轮与技术壁垒，支撑多产品线快速迭代与临床落地。</w:t>
      </w:r>
    </w:p>
    <w:p w14:paraId="1ED02939">
      <w:pPr>
        <w:pStyle w:val="91"/>
        <w:rPr>
          <w:rFonts w:hint="eastAsia"/>
          <w:color w:val="auto"/>
          <w:lang w:eastAsia="zh-CN"/>
        </w:rPr>
      </w:pPr>
      <w:r>
        <w:rPr>
          <w:rFonts w:hint="eastAsia"/>
          <w:color w:val="auto"/>
          <w:lang w:eastAsia="zh-CN"/>
        </w:rPr>
        <w:t>核心产品矩阵聚焦重大神经疾病刚需，形成完整治疗布局：Epilcure作为亚洲首款闭环反应性神经刺激系统，用于难治性癫痫，已进入NMPA创新通道；iSBS智能脑深部电刺激针对帕金森等运动障碍，实现自适应精准调控；EES闭环脊髓神经接口用于脊髓损伤康复，已实现患者自主站立行走；同时布局LaserRO激光消融系统与S-DEEP深部电极，覆盖诊断、治疗、康复全场景。</w:t>
      </w:r>
    </w:p>
    <w:p w14:paraId="279F8231">
      <w:pPr>
        <w:pStyle w:val="91"/>
        <w:rPr>
          <w:rFonts w:hint="eastAsia"/>
          <w:color w:val="auto"/>
          <w:lang w:eastAsia="zh-CN"/>
        </w:rPr>
      </w:pPr>
      <w:r>
        <w:rPr>
          <w:rFonts w:hint="eastAsia"/>
          <w:color w:val="auto"/>
          <w:lang w:eastAsia="zh-CN"/>
        </w:rPr>
        <w:t>融资方面，佳量</w:t>
      </w:r>
      <w:r>
        <w:rPr>
          <w:rFonts w:hint="eastAsia"/>
          <w:color w:val="auto"/>
          <w:lang w:val="en-US" w:eastAsia="zh-CN"/>
        </w:rPr>
        <w:t>脑科学</w:t>
      </w:r>
      <w:r>
        <w:rPr>
          <w:rFonts w:hint="eastAsia"/>
          <w:color w:val="auto"/>
          <w:lang w:eastAsia="zh-CN"/>
        </w:rPr>
        <w:t>已完成种子轮、天使轮、Pre-A、Pre-A+、A、B、C共7轮融资，累计融资额超十亿元人民币；其中B轮、C轮均为数亿元级别，2026年完成的C轮系列融资后投后估值</w:t>
      </w:r>
      <w:r>
        <w:rPr>
          <w:rFonts w:hint="eastAsia"/>
          <w:color w:val="auto"/>
          <w:lang w:val="en-US" w:eastAsia="zh-CN"/>
        </w:rPr>
        <w:t>30亿元人民币</w:t>
      </w:r>
      <w:r>
        <w:rPr>
          <w:rFonts w:hint="eastAsia"/>
          <w:color w:val="auto"/>
          <w:lang w:eastAsia="zh-CN"/>
        </w:rPr>
        <w:t>。投资方包括启明创投、辰德资本、元璟资本、中金资本、海邦资本、火山石资本、渝富基金等一线医疗与硬科技机构及政府引导基金，资金主要用于临床推进、产品研发、产能建设与全球化布局，公司已完成股改并规划港股18A上市，退出路径清晰。</w:t>
      </w:r>
    </w:p>
    <w:p w14:paraId="0AD77DAC">
      <w:pPr>
        <w:pStyle w:val="86"/>
        <w:shd w:val="clear" w:color="auto" w:fill="FFFFFF"/>
        <w:rPr>
          <w:color w:val="auto"/>
          <w:lang w:eastAsia="zh-Hans"/>
        </w:rPr>
      </w:pPr>
      <w:bookmarkStart w:id="4" w:name="_Toc22491"/>
      <w:bookmarkStart w:id="5" w:name="_Toc537950301"/>
      <w:r>
        <w:rPr>
          <w:rFonts w:hint="eastAsia"/>
          <w:color w:val="auto"/>
        </w:rPr>
        <w:t>公司的</w:t>
      </w:r>
      <w:bookmarkEnd w:id="4"/>
      <w:bookmarkStart w:id="6" w:name="_Toc4667"/>
      <w:r>
        <w:rPr>
          <w:rFonts w:hint="eastAsia"/>
          <w:color w:val="auto"/>
        </w:rPr>
        <w:t>基本信息与股权架构</w:t>
      </w:r>
      <w:bookmarkEnd w:id="5"/>
    </w:p>
    <w:p w14:paraId="07FCE5F6">
      <w:pPr>
        <w:pStyle w:val="91"/>
        <w:rPr>
          <w:rFonts w:hint="eastAsia"/>
          <w:color w:val="auto"/>
        </w:rPr>
      </w:pPr>
      <w:r>
        <w:rPr>
          <w:rFonts w:hint="eastAsia"/>
          <w:color w:val="auto"/>
          <w:lang w:val="en-US" w:eastAsia="zh-CN"/>
        </w:rPr>
        <w:t>佳量脑科学</w:t>
      </w:r>
      <w:r>
        <w:rPr>
          <w:rFonts w:hint="eastAsia"/>
          <w:color w:val="auto"/>
        </w:rPr>
        <w:t>的基本信息如下：</w:t>
      </w:r>
    </w:p>
    <w:tbl>
      <w:tblPr>
        <w:tblStyle w:val="43"/>
        <w:tblW w:w="501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63"/>
        <w:gridCol w:w="6586"/>
      </w:tblGrid>
      <w:tr w14:paraId="306D3844">
        <w:trPr>
          <w:trHeight w:val="465" w:hRule="atLeast"/>
        </w:trPr>
        <w:tc>
          <w:tcPr>
            <w:tcW w:w="1056" w:type="pct"/>
            <w:shd w:val="clear" w:color="auto" w:fill="D7D7D7" w:themeFill="background1" w:themeFillShade="D8"/>
            <w:vAlign w:val="center"/>
          </w:tcPr>
          <w:p w14:paraId="723466C3">
            <w:pPr>
              <w:pStyle w:val="99"/>
              <w:rPr>
                <w:color w:val="auto"/>
              </w:rPr>
            </w:pPr>
            <w:r>
              <w:rPr>
                <w:color w:val="auto"/>
              </w:rPr>
              <w:t>公司全称</w:t>
            </w:r>
          </w:p>
        </w:tc>
        <w:tc>
          <w:tcPr>
            <w:tcW w:w="3943" w:type="pct"/>
            <w:vAlign w:val="center"/>
          </w:tcPr>
          <w:p w14:paraId="5F573A87">
            <w:pPr>
              <w:pStyle w:val="99"/>
              <w:rPr>
                <w:color w:val="auto"/>
              </w:rPr>
            </w:pPr>
            <w:r>
              <w:rPr>
                <w:rFonts w:hint="eastAsia"/>
                <w:color w:val="auto"/>
                <w:lang w:val="en-US" w:eastAsia="zh-CN"/>
              </w:rPr>
              <w:t>杭州佳量脑科学股份有限公司</w:t>
            </w:r>
          </w:p>
        </w:tc>
      </w:tr>
      <w:tr w14:paraId="301E3D0F">
        <w:trPr>
          <w:trHeight w:val="470" w:hRule="atLeast"/>
        </w:trPr>
        <w:tc>
          <w:tcPr>
            <w:tcW w:w="1056" w:type="pct"/>
            <w:shd w:val="clear" w:color="auto" w:fill="D7D7D7" w:themeFill="background1" w:themeFillShade="D8"/>
            <w:vAlign w:val="center"/>
          </w:tcPr>
          <w:p w14:paraId="69145FC5">
            <w:pPr>
              <w:pStyle w:val="99"/>
              <w:rPr>
                <w:color w:val="auto"/>
              </w:rPr>
            </w:pPr>
            <w:r>
              <w:rPr>
                <w:color w:val="auto"/>
              </w:rPr>
              <w:t>注册资本</w:t>
            </w:r>
          </w:p>
        </w:tc>
        <w:tc>
          <w:tcPr>
            <w:tcW w:w="3943" w:type="pct"/>
            <w:tcBorders>
              <w:bottom w:val="single" w:color="auto" w:sz="4" w:space="0"/>
            </w:tcBorders>
            <w:vAlign w:val="center"/>
          </w:tcPr>
          <w:p w14:paraId="4DAAE4F4">
            <w:pPr>
              <w:pStyle w:val="99"/>
              <w:rPr>
                <w:rFonts w:hint="eastAsia" w:eastAsia="仿宋"/>
                <w:color w:val="auto"/>
                <w:lang w:val="en-US" w:eastAsia="zh-CN"/>
              </w:rPr>
            </w:pPr>
            <w:r>
              <w:rPr>
                <w:rFonts w:hint="eastAsia" w:eastAsia="仿宋"/>
                <w:color w:val="auto"/>
                <w:lang w:val="en-US" w:eastAsia="zh-CN"/>
              </w:rPr>
              <w:t>3558.6901万元</w:t>
            </w:r>
          </w:p>
        </w:tc>
      </w:tr>
      <w:tr w14:paraId="6C4B9826">
        <w:trPr>
          <w:trHeight w:val="465" w:hRule="atLeast"/>
        </w:trPr>
        <w:tc>
          <w:tcPr>
            <w:tcW w:w="1056" w:type="pct"/>
            <w:shd w:val="clear" w:color="auto" w:fill="D7D7D7" w:themeFill="background1" w:themeFillShade="D8"/>
            <w:vAlign w:val="center"/>
          </w:tcPr>
          <w:p w14:paraId="131928D1">
            <w:pPr>
              <w:pStyle w:val="99"/>
              <w:rPr>
                <w:color w:val="auto"/>
              </w:rPr>
            </w:pPr>
            <w:r>
              <w:rPr>
                <w:color w:val="auto"/>
              </w:rPr>
              <w:t>统一信用代码</w:t>
            </w:r>
          </w:p>
        </w:tc>
        <w:tc>
          <w:tcPr>
            <w:tcW w:w="3943" w:type="pct"/>
            <w:vAlign w:val="center"/>
          </w:tcPr>
          <w:p w14:paraId="473F8E86">
            <w:pPr>
              <w:pStyle w:val="99"/>
              <w:rPr>
                <w:color w:val="auto"/>
              </w:rPr>
            </w:pPr>
            <w:r>
              <w:rPr>
                <w:rFonts w:hint="eastAsia"/>
                <w:color w:val="auto"/>
              </w:rPr>
              <w:t>91330110MA2H3DLL3Q</w:t>
            </w:r>
          </w:p>
        </w:tc>
      </w:tr>
      <w:tr w14:paraId="48E7CF53">
        <w:trPr>
          <w:trHeight w:val="470" w:hRule="atLeast"/>
        </w:trPr>
        <w:tc>
          <w:tcPr>
            <w:tcW w:w="1056" w:type="pct"/>
            <w:shd w:val="clear" w:color="auto" w:fill="D7D7D7" w:themeFill="background1" w:themeFillShade="D8"/>
            <w:vAlign w:val="center"/>
          </w:tcPr>
          <w:p w14:paraId="2B18D21B">
            <w:pPr>
              <w:pStyle w:val="99"/>
              <w:rPr>
                <w:color w:val="auto"/>
              </w:rPr>
            </w:pPr>
            <w:r>
              <w:rPr>
                <w:color w:val="auto"/>
              </w:rPr>
              <w:t>法定代表人</w:t>
            </w:r>
          </w:p>
        </w:tc>
        <w:tc>
          <w:tcPr>
            <w:tcW w:w="3943" w:type="pct"/>
            <w:vAlign w:val="center"/>
          </w:tcPr>
          <w:p w14:paraId="724129A7">
            <w:pPr>
              <w:pStyle w:val="99"/>
              <w:rPr>
                <w:color w:val="auto"/>
              </w:rPr>
            </w:pPr>
            <w:r>
              <w:rPr>
                <w:rFonts w:hint="eastAsia"/>
                <w:color w:val="auto"/>
              </w:rPr>
              <w:t>曹鹏</w:t>
            </w:r>
          </w:p>
        </w:tc>
      </w:tr>
      <w:tr w14:paraId="6734B1B3">
        <w:trPr>
          <w:trHeight w:val="470" w:hRule="atLeast"/>
        </w:trPr>
        <w:tc>
          <w:tcPr>
            <w:tcW w:w="1056" w:type="pct"/>
            <w:shd w:val="clear" w:color="auto" w:fill="D7D7D7" w:themeFill="background1" w:themeFillShade="D8"/>
            <w:vAlign w:val="center"/>
          </w:tcPr>
          <w:p w14:paraId="00096CF6">
            <w:pPr>
              <w:pStyle w:val="99"/>
              <w:rPr>
                <w:color w:val="auto"/>
              </w:rPr>
            </w:pPr>
            <w:r>
              <w:rPr>
                <w:color w:val="auto"/>
              </w:rPr>
              <w:t>营业期限</w:t>
            </w:r>
          </w:p>
        </w:tc>
        <w:tc>
          <w:tcPr>
            <w:tcW w:w="3943" w:type="pct"/>
            <w:vAlign w:val="center"/>
          </w:tcPr>
          <w:p w14:paraId="04A5C9A0">
            <w:pPr>
              <w:pStyle w:val="99"/>
              <w:rPr>
                <w:color w:val="auto"/>
              </w:rPr>
            </w:pPr>
            <w:r>
              <w:rPr>
                <w:rFonts w:hint="eastAsia"/>
                <w:color w:val="auto"/>
              </w:rPr>
              <w:t>2020年4月8日至无固定期限</w:t>
            </w:r>
          </w:p>
        </w:tc>
      </w:tr>
      <w:tr w14:paraId="4CB770C8">
        <w:trPr>
          <w:trHeight w:val="465" w:hRule="atLeast"/>
        </w:trPr>
        <w:tc>
          <w:tcPr>
            <w:tcW w:w="1056" w:type="pct"/>
            <w:shd w:val="clear" w:color="auto" w:fill="D7D7D7" w:themeFill="background1" w:themeFillShade="D8"/>
            <w:vAlign w:val="center"/>
          </w:tcPr>
          <w:p w14:paraId="6B921ED3">
            <w:pPr>
              <w:pStyle w:val="99"/>
              <w:rPr>
                <w:color w:val="auto"/>
              </w:rPr>
            </w:pPr>
            <w:r>
              <w:rPr>
                <w:color w:val="auto"/>
              </w:rPr>
              <w:t>注册地址</w:t>
            </w:r>
          </w:p>
        </w:tc>
        <w:tc>
          <w:tcPr>
            <w:tcW w:w="3943" w:type="pct"/>
            <w:vAlign w:val="center"/>
          </w:tcPr>
          <w:p w14:paraId="5FB56383">
            <w:pPr>
              <w:pStyle w:val="99"/>
              <w:rPr>
                <w:color w:val="auto"/>
              </w:rPr>
            </w:pPr>
            <w:r>
              <w:rPr>
                <w:rFonts w:hint="eastAsia"/>
                <w:color w:val="auto"/>
              </w:rPr>
              <w:t>浙江省杭州市余杭区仓前街道龙泉路20号3号楼1-101室</w:t>
            </w:r>
          </w:p>
        </w:tc>
      </w:tr>
      <w:tr w14:paraId="57438349">
        <w:trPr>
          <w:trHeight w:val="90" w:hRule="atLeast"/>
        </w:trPr>
        <w:tc>
          <w:tcPr>
            <w:tcW w:w="1056" w:type="pct"/>
            <w:shd w:val="clear" w:color="auto" w:fill="D7D7D7" w:themeFill="background1" w:themeFillShade="D8"/>
            <w:vAlign w:val="center"/>
          </w:tcPr>
          <w:p w14:paraId="346E7A7B">
            <w:pPr>
              <w:pStyle w:val="99"/>
              <w:rPr>
                <w:color w:val="auto"/>
              </w:rPr>
            </w:pPr>
            <w:r>
              <w:rPr>
                <w:color w:val="auto"/>
              </w:rPr>
              <w:t>经营范围</w:t>
            </w:r>
          </w:p>
        </w:tc>
        <w:tc>
          <w:tcPr>
            <w:tcW w:w="3943" w:type="pct"/>
            <w:vAlign w:val="center"/>
          </w:tcPr>
          <w:p w14:paraId="533A8055">
            <w:pPr>
              <w:pStyle w:val="99"/>
              <w:rPr>
                <w:rFonts w:hint="eastAsia"/>
                <w:color w:val="auto"/>
              </w:rPr>
            </w:pPr>
            <w:r>
              <w:rPr>
                <w:rFonts w:hint="eastAsia"/>
                <w:color w:val="auto"/>
              </w:rPr>
              <w:t>一般项目：软件开发；网络与信息安全软件开发；物联网技术服务；信息系统运行维护服务；光电子器件制造；电子专用设备制造；通信设备制造；光通信设备制造；光学仪器制造；第一类医疗器械生产；服务消费机器人制造；第一类医疗器械销售；第二类医疗器械销售；光通信设备销售；信息安全设备销售；专用化学产品销售（不含危险化学品）；货物进出口；技术进出口（除依法须经批准的项目外，凭营业执照依法自主开展经营活动）。许可项目：第二类医疗器械生产；第三类医疗器械生产；第三类医疗器械经营（依法须经批准的项目，经相关部门批准后方可开展经营活动，具体经营项目以审批结果为准）。</w:t>
            </w:r>
          </w:p>
        </w:tc>
      </w:tr>
    </w:tbl>
    <w:p w14:paraId="2947F032">
      <w:pPr>
        <w:pStyle w:val="101"/>
        <w:shd w:val="clear" w:color="auto" w:fill="FFFFFF"/>
        <w:rPr>
          <w:color w:val="auto"/>
        </w:rPr>
      </w:pPr>
      <w:r>
        <w:rPr>
          <w:color w:val="auto"/>
        </w:rPr>
        <w:t>资料来源：</w:t>
      </w:r>
      <w:r>
        <w:rPr>
          <w:rFonts w:hint="eastAsia"/>
          <w:color w:val="auto"/>
          <w:lang w:val="en-US" w:eastAsia="zh-CN"/>
        </w:rPr>
        <w:t>佳量脑科学</w:t>
      </w:r>
      <w:r>
        <w:rPr>
          <w:rFonts w:hint="eastAsia"/>
          <w:color w:val="auto"/>
        </w:rPr>
        <w:t>提供</w:t>
      </w:r>
    </w:p>
    <w:bookmarkEnd w:id="6"/>
    <w:p w14:paraId="47D679FE">
      <w:pPr>
        <w:pStyle w:val="86"/>
        <w:shd w:val="clear" w:color="auto" w:fill="FFFFFF"/>
        <w:rPr>
          <w:color w:val="auto"/>
        </w:rPr>
      </w:pPr>
      <w:bookmarkStart w:id="7" w:name="_Toc424555037"/>
      <w:r>
        <w:rPr>
          <w:rFonts w:hint="eastAsia"/>
          <w:color w:val="auto"/>
        </w:rPr>
        <w:t>股权架构</w:t>
      </w:r>
      <w:bookmarkEnd w:id="7"/>
    </w:p>
    <w:p w14:paraId="5D19E960">
      <w:pPr>
        <w:pStyle w:val="91"/>
        <w:rPr>
          <w:rFonts w:hint="eastAsia"/>
          <w:color w:val="auto"/>
        </w:rPr>
      </w:pPr>
      <w:r>
        <w:rPr>
          <w:rFonts w:hint="eastAsia"/>
          <w:color w:val="auto"/>
        </w:rPr>
        <w:t>佳量脑科学的股权结构相对集中，公司前三大股东分别为曹鹏（持股10.9294%）、杭州佳诺智光企业管理合伙企业（有限合伙）（持股9.5984%）、杭州海创光影企业管理合伙企业（有限合伙）（持股6.3603%）</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2951"/>
        <w:gridCol w:w="2403"/>
        <w:gridCol w:w="2361"/>
      </w:tblGrid>
      <w:tr w14:paraId="71C89628">
        <w:trPr>
          <w:trHeight w:val="454" w:hRule="atLeast"/>
          <w:tblHeader/>
          <w:jc w:val="center"/>
        </w:trPr>
        <w:tc>
          <w:tcPr>
            <w:tcW w:w="477" w:type="pct"/>
            <w:shd w:val="clear" w:color="auto" w:fill="C0C0C0"/>
            <w:vAlign w:val="center"/>
          </w:tcPr>
          <w:p w14:paraId="5B6864A6">
            <w:pPr>
              <w:adjustRightInd w:val="0"/>
              <w:snapToGrid w:val="0"/>
              <w:jc w:val="center"/>
              <w:rPr>
                <w:rFonts w:eastAsiaTheme="minorEastAsia"/>
                <w:b/>
                <w:szCs w:val="21"/>
                <w:highlight w:val="none"/>
              </w:rPr>
            </w:pPr>
            <w:r>
              <w:rPr>
                <w:rFonts w:eastAsiaTheme="minorEastAsia"/>
                <w:b/>
                <w:szCs w:val="21"/>
                <w:highlight w:val="none"/>
              </w:rPr>
              <w:t>序号</w:t>
            </w:r>
          </w:p>
        </w:tc>
        <w:tc>
          <w:tcPr>
            <w:tcW w:w="1730" w:type="pct"/>
            <w:shd w:val="clear" w:color="auto" w:fill="C0C0C0"/>
            <w:vAlign w:val="center"/>
          </w:tcPr>
          <w:p w14:paraId="4EEA2A2B">
            <w:pPr>
              <w:adjustRightInd w:val="0"/>
              <w:snapToGrid w:val="0"/>
              <w:jc w:val="center"/>
              <w:rPr>
                <w:rFonts w:eastAsiaTheme="minorEastAsia"/>
                <w:b/>
                <w:szCs w:val="21"/>
                <w:highlight w:val="none"/>
              </w:rPr>
            </w:pPr>
            <w:r>
              <w:rPr>
                <w:rFonts w:eastAsiaTheme="minorEastAsia"/>
                <w:b/>
                <w:szCs w:val="21"/>
                <w:highlight w:val="none"/>
              </w:rPr>
              <w:t>股东姓名/名称</w:t>
            </w:r>
          </w:p>
        </w:tc>
        <w:tc>
          <w:tcPr>
            <w:tcW w:w="1409" w:type="pct"/>
            <w:shd w:val="clear" w:color="auto" w:fill="C0C0C0"/>
            <w:vAlign w:val="center"/>
          </w:tcPr>
          <w:p w14:paraId="086082C0">
            <w:pPr>
              <w:adjustRightInd w:val="0"/>
              <w:snapToGrid w:val="0"/>
              <w:jc w:val="center"/>
              <w:rPr>
                <w:rFonts w:eastAsiaTheme="minorEastAsia"/>
                <w:b/>
                <w:szCs w:val="21"/>
                <w:highlight w:val="none"/>
              </w:rPr>
            </w:pPr>
            <w:r>
              <w:rPr>
                <w:rFonts w:eastAsiaTheme="minorEastAsia"/>
                <w:b/>
                <w:color w:val="000000"/>
                <w:szCs w:val="21"/>
                <w:highlight w:val="none"/>
              </w:rPr>
              <w:t>认缴出资额/人民币元</w:t>
            </w:r>
          </w:p>
        </w:tc>
        <w:tc>
          <w:tcPr>
            <w:tcW w:w="1384" w:type="pct"/>
            <w:shd w:val="clear" w:color="auto" w:fill="C0C0C0"/>
            <w:vAlign w:val="center"/>
          </w:tcPr>
          <w:p w14:paraId="7984AC08">
            <w:pPr>
              <w:adjustRightInd w:val="0"/>
              <w:snapToGrid w:val="0"/>
              <w:jc w:val="center"/>
              <w:rPr>
                <w:rFonts w:eastAsiaTheme="minorEastAsia"/>
                <w:b/>
                <w:szCs w:val="21"/>
                <w:highlight w:val="none"/>
              </w:rPr>
            </w:pPr>
            <w:r>
              <w:rPr>
                <w:rFonts w:eastAsiaTheme="minorEastAsia"/>
                <w:b/>
                <w:szCs w:val="21"/>
                <w:highlight w:val="none"/>
              </w:rPr>
              <w:t>持股比例</w:t>
            </w:r>
          </w:p>
        </w:tc>
      </w:tr>
      <w:tr w14:paraId="194F9906">
        <w:trPr>
          <w:trHeight w:val="454" w:hRule="atLeast"/>
          <w:jc w:val="center"/>
        </w:trPr>
        <w:tc>
          <w:tcPr>
            <w:tcW w:w="477" w:type="pct"/>
            <w:vAlign w:val="center"/>
          </w:tcPr>
          <w:p w14:paraId="3735620F">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15FFB816">
            <w:pPr>
              <w:adjustRightInd w:val="0"/>
              <w:snapToGrid w:val="0"/>
              <w:jc w:val="center"/>
              <w:rPr>
                <w:rFonts w:eastAsiaTheme="minorEastAsia"/>
                <w:szCs w:val="21"/>
                <w:highlight w:val="none"/>
              </w:rPr>
            </w:pPr>
            <w:r>
              <w:rPr>
                <w:rFonts w:eastAsiaTheme="minorEastAsia"/>
                <w:szCs w:val="21"/>
                <w:highlight w:val="none"/>
              </w:rPr>
              <w:t>曹鹏</w:t>
            </w:r>
          </w:p>
        </w:tc>
        <w:tc>
          <w:tcPr>
            <w:tcW w:w="1409" w:type="pct"/>
            <w:vAlign w:val="center"/>
          </w:tcPr>
          <w:p w14:paraId="0E45E748">
            <w:pPr>
              <w:adjustRightInd w:val="0"/>
              <w:snapToGrid w:val="0"/>
              <w:jc w:val="right"/>
              <w:rPr>
                <w:szCs w:val="21"/>
                <w:highlight w:val="none"/>
              </w:rPr>
            </w:pPr>
            <w:r>
              <w:rPr>
                <w:color w:val="000000"/>
                <w:sz w:val="22"/>
                <w:szCs w:val="22"/>
                <w:highlight w:val="none"/>
              </w:rPr>
              <w:t>3,889,446</w:t>
            </w:r>
          </w:p>
        </w:tc>
        <w:tc>
          <w:tcPr>
            <w:tcW w:w="1384" w:type="pct"/>
            <w:vAlign w:val="center"/>
          </w:tcPr>
          <w:p w14:paraId="2AC66CFB">
            <w:pPr>
              <w:adjustRightInd w:val="0"/>
              <w:snapToGrid w:val="0"/>
              <w:jc w:val="right"/>
              <w:rPr>
                <w:highlight w:val="none"/>
              </w:rPr>
            </w:pPr>
            <w:r>
              <w:rPr>
                <w:color w:val="000000"/>
                <w:sz w:val="22"/>
                <w:szCs w:val="22"/>
                <w:highlight w:val="none"/>
              </w:rPr>
              <w:t>10.9294%</w:t>
            </w:r>
          </w:p>
        </w:tc>
      </w:tr>
      <w:tr w14:paraId="65146906">
        <w:trPr>
          <w:trHeight w:val="454" w:hRule="atLeast"/>
          <w:jc w:val="center"/>
        </w:trPr>
        <w:tc>
          <w:tcPr>
            <w:tcW w:w="477" w:type="pct"/>
            <w:vAlign w:val="center"/>
          </w:tcPr>
          <w:p w14:paraId="1DAE4BBB">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29C0286">
            <w:pPr>
              <w:adjustRightInd w:val="0"/>
              <w:snapToGrid w:val="0"/>
              <w:jc w:val="center"/>
              <w:rPr>
                <w:rFonts w:eastAsiaTheme="minorEastAsia"/>
                <w:szCs w:val="21"/>
                <w:highlight w:val="none"/>
              </w:rPr>
            </w:pPr>
            <w:r>
              <w:rPr>
                <w:rFonts w:eastAsiaTheme="minorEastAsia"/>
                <w:szCs w:val="21"/>
                <w:highlight w:val="none"/>
              </w:rPr>
              <w:t>杭州佳诺智光企业管理合伙企业（有限合伙）</w:t>
            </w:r>
          </w:p>
        </w:tc>
        <w:tc>
          <w:tcPr>
            <w:tcW w:w="1409" w:type="pct"/>
            <w:vAlign w:val="center"/>
          </w:tcPr>
          <w:p w14:paraId="7619B45B">
            <w:pPr>
              <w:adjustRightInd w:val="0"/>
              <w:snapToGrid w:val="0"/>
              <w:jc w:val="right"/>
              <w:rPr>
                <w:szCs w:val="21"/>
                <w:highlight w:val="none"/>
              </w:rPr>
            </w:pPr>
            <w:r>
              <w:rPr>
                <w:color w:val="000000"/>
                <w:sz w:val="22"/>
                <w:szCs w:val="22"/>
                <w:highlight w:val="none"/>
              </w:rPr>
              <w:t>3,415,800</w:t>
            </w:r>
          </w:p>
        </w:tc>
        <w:tc>
          <w:tcPr>
            <w:tcW w:w="1384" w:type="pct"/>
            <w:vAlign w:val="center"/>
          </w:tcPr>
          <w:p w14:paraId="5328F38E">
            <w:pPr>
              <w:adjustRightInd w:val="0"/>
              <w:snapToGrid w:val="0"/>
              <w:jc w:val="right"/>
              <w:rPr>
                <w:highlight w:val="none"/>
              </w:rPr>
            </w:pPr>
            <w:r>
              <w:rPr>
                <w:color w:val="000000"/>
                <w:sz w:val="22"/>
                <w:szCs w:val="22"/>
                <w:highlight w:val="none"/>
              </w:rPr>
              <w:t>9.5984%</w:t>
            </w:r>
          </w:p>
        </w:tc>
      </w:tr>
      <w:tr w14:paraId="5838C52A">
        <w:trPr>
          <w:trHeight w:val="454" w:hRule="atLeast"/>
          <w:jc w:val="center"/>
        </w:trPr>
        <w:tc>
          <w:tcPr>
            <w:tcW w:w="477" w:type="pct"/>
            <w:vAlign w:val="center"/>
          </w:tcPr>
          <w:p w14:paraId="5B0DEE3C">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0795295">
            <w:pPr>
              <w:adjustRightInd w:val="0"/>
              <w:snapToGrid w:val="0"/>
              <w:jc w:val="center"/>
              <w:rPr>
                <w:rFonts w:eastAsiaTheme="minorEastAsia"/>
                <w:szCs w:val="21"/>
                <w:highlight w:val="none"/>
              </w:rPr>
            </w:pPr>
            <w:r>
              <w:rPr>
                <w:rFonts w:eastAsiaTheme="minorEastAsia"/>
                <w:szCs w:val="21"/>
                <w:highlight w:val="none"/>
              </w:rPr>
              <w:t>杭州海创光影企业管理合伙企业（有限合伙）</w:t>
            </w:r>
          </w:p>
        </w:tc>
        <w:tc>
          <w:tcPr>
            <w:tcW w:w="1409" w:type="pct"/>
            <w:vAlign w:val="center"/>
          </w:tcPr>
          <w:p w14:paraId="0961EF5B">
            <w:pPr>
              <w:adjustRightInd w:val="0"/>
              <w:snapToGrid w:val="0"/>
              <w:jc w:val="right"/>
              <w:rPr>
                <w:szCs w:val="21"/>
                <w:highlight w:val="none"/>
              </w:rPr>
            </w:pPr>
            <w:r>
              <w:rPr>
                <w:color w:val="000000"/>
                <w:sz w:val="22"/>
                <w:szCs w:val="22"/>
                <w:highlight w:val="none"/>
              </w:rPr>
              <w:t>2,263,416</w:t>
            </w:r>
          </w:p>
        </w:tc>
        <w:tc>
          <w:tcPr>
            <w:tcW w:w="1384" w:type="pct"/>
            <w:vAlign w:val="center"/>
          </w:tcPr>
          <w:p w14:paraId="0D2825A4">
            <w:pPr>
              <w:adjustRightInd w:val="0"/>
              <w:snapToGrid w:val="0"/>
              <w:jc w:val="right"/>
              <w:rPr>
                <w:highlight w:val="none"/>
              </w:rPr>
            </w:pPr>
            <w:r>
              <w:rPr>
                <w:color w:val="000000"/>
                <w:sz w:val="22"/>
                <w:szCs w:val="22"/>
                <w:highlight w:val="none"/>
              </w:rPr>
              <w:t>6.3603%</w:t>
            </w:r>
          </w:p>
        </w:tc>
      </w:tr>
      <w:tr w14:paraId="56773E8A">
        <w:trPr>
          <w:trHeight w:val="454" w:hRule="atLeast"/>
          <w:jc w:val="center"/>
        </w:trPr>
        <w:tc>
          <w:tcPr>
            <w:tcW w:w="477" w:type="pct"/>
            <w:vAlign w:val="center"/>
          </w:tcPr>
          <w:p w14:paraId="14F0CC21">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4D3C8BB">
            <w:pPr>
              <w:adjustRightInd w:val="0"/>
              <w:snapToGrid w:val="0"/>
              <w:jc w:val="center"/>
              <w:rPr>
                <w:rFonts w:eastAsiaTheme="minorEastAsia"/>
                <w:szCs w:val="21"/>
                <w:highlight w:val="none"/>
              </w:rPr>
            </w:pPr>
            <w:r>
              <w:rPr>
                <w:rFonts w:eastAsiaTheme="minorEastAsia"/>
                <w:kern w:val="1"/>
                <w:szCs w:val="21"/>
                <w:highlight w:val="none"/>
              </w:rPr>
              <w:t>杭州锦嵘企业管理合伙企业（有限合伙）</w:t>
            </w:r>
          </w:p>
        </w:tc>
        <w:tc>
          <w:tcPr>
            <w:tcW w:w="1409" w:type="pct"/>
            <w:vAlign w:val="center"/>
          </w:tcPr>
          <w:p w14:paraId="7BC8975B">
            <w:pPr>
              <w:adjustRightInd w:val="0"/>
              <w:snapToGrid w:val="0"/>
              <w:jc w:val="right"/>
              <w:rPr>
                <w:szCs w:val="21"/>
                <w:highlight w:val="none"/>
              </w:rPr>
            </w:pPr>
            <w:r>
              <w:rPr>
                <w:color w:val="000000"/>
                <w:sz w:val="22"/>
                <w:szCs w:val="22"/>
                <w:highlight w:val="none"/>
              </w:rPr>
              <w:t>2,146,163</w:t>
            </w:r>
          </w:p>
        </w:tc>
        <w:tc>
          <w:tcPr>
            <w:tcW w:w="1384" w:type="pct"/>
            <w:vAlign w:val="center"/>
          </w:tcPr>
          <w:p w14:paraId="59636DC7">
            <w:pPr>
              <w:adjustRightInd w:val="0"/>
              <w:snapToGrid w:val="0"/>
              <w:jc w:val="right"/>
              <w:rPr>
                <w:highlight w:val="none"/>
              </w:rPr>
            </w:pPr>
            <w:r>
              <w:rPr>
                <w:color w:val="000000"/>
                <w:sz w:val="22"/>
                <w:szCs w:val="22"/>
                <w:highlight w:val="none"/>
              </w:rPr>
              <w:t>6.0308%</w:t>
            </w:r>
          </w:p>
        </w:tc>
      </w:tr>
      <w:tr w14:paraId="3C80EDB7">
        <w:trPr>
          <w:trHeight w:val="454" w:hRule="atLeast"/>
          <w:jc w:val="center"/>
        </w:trPr>
        <w:tc>
          <w:tcPr>
            <w:tcW w:w="477" w:type="pct"/>
            <w:vAlign w:val="center"/>
          </w:tcPr>
          <w:p w14:paraId="37A70668">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1DAD8831">
            <w:pPr>
              <w:adjustRightInd w:val="0"/>
              <w:snapToGrid w:val="0"/>
              <w:jc w:val="center"/>
              <w:rPr>
                <w:rFonts w:eastAsiaTheme="minorEastAsia"/>
                <w:szCs w:val="21"/>
                <w:highlight w:val="none"/>
              </w:rPr>
            </w:pPr>
            <w:r>
              <w:rPr>
                <w:rFonts w:eastAsiaTheme="minorEastAsia"/>
                <w:kern w:val="1"/>
                <w:szCs w:val="21"/>
                <w:highlight w:val="none"/>
              </w:rPr>
              <w:t>杭州裕荣惠华企业管理合伙企业（有限合伙）</w:t>
            </w:r>
          </w:p>
        </w:tc>
        <w:tc>
          <w:tcPr>
            <w:tcW w:w="1409" w:type="pct"/>
            <w:vAlign w:val="center"/>
          </w:tcPr>
          <w:p w14:paraId="254E936C">
            <w:pPr>
              <w:adjustRightInd w:val="0"/>
              <w:snapToGrid w:val="0"/>
              <w:jc w:val="right"/>
              <w:rPr>
                <w:szCs w:val="21"/>
                <w:highlight w:val="none"/>
              </w:rPr>
            </w:pPr>
            <w:r>
              <w:rPr>
                <w:color w:val="000000"/>
                <w:sz w:val="22"/>
                <w:szCs w:val="22"/>
                <w:highlight w:val="none"/>
              </w:rPr>
              <w:t>880,000</w:t>
            </w:r>
          </w:p>
        </w:tc>
        <w:tc>
          <w:tcPr>
            <w:tcW w:w="1384" w:type="pct"/>
            <w:vAlign w:val="center"/>
          </w:tcPr>
          <w:p w14:paraId="527A64FC">
            <w:pPr>
              <w:adjustRightInd w:val="0"/>
              <w:snapToGrid w:val="0"/>
              <w:jc w:val="right"/>
              <w:rPr>
                <w:highlight w:val="none"/>
              </w:rPr>
            </w:pPr>
            <w:r>
              <w:rPr>
                <w:color w:val="000000"/>
                <w:sz w:val="22"/>
                <w:szCs w:val="22"/>
                <w:highlight w:val="none"/>
              </w:rPr>
              <w:t>2.4728%</w:t>
            </w:r>
          </w:p>
        </w:tc>
      </w:tr>
      <w:tr w14:paraId="6ABA331C">
        <w:trPr>
          <w:trHeight w:val="454" w:hRule="atLeast"/>
          <w:jc w:val="center"/>
        </w:trPr>
        <w:tc>
          <w:tcPr>
            <w:tcW w:w="477" w:type="pct"/>
            <w:vAlign w:val="center"/>
          </w:tcPr>
          <w:p w14:paraId="392C5AF9">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5AAE5F5">
            <w:pPr>
              <w:adjustRightInd w:val="0"/>
              <w:snapToGrid w:val="0"/>
              <w:jc w:val="center"/>
              <w:rPr>
                <w:rFonts w:eastAsiaTheme="minorEastAsia"/>
                <w:kern w:val="1"/>
                <w:szCs w:val="21"/>
                <w:highlight w:val="none"/>
              </w:rPr>
            </w:pPr>
            <w:r>
              <w:rPr>
                <w:rFonts w:eastAsiaTheme="minorEastAsia"/>
                <w:szCs w:val="21"/>
                <w:highlight w:val="none"/>
              </w:rPr>
              <w:t>杭州锦逸融光企业管理合伙企业（有限合伙）</w:t>
            </w:r>
          </w:p>
        </w:tc>
        <w:tc>
          <w:tcPr>
            <w:tcW w:w="1409" w:type="pct"/>
            <w:vAlign w:val="center"/>
          </w:tcPr>
          <w:p w14:paraId="3844F099">
            <w:pPr>
              <w:adjustRightInd w:val="0"/>
              <w:snapToGrid w:val="0"/>
              <w:jc w:val="right"/>
              <w:rPr>
                <w:szCs w:val="21"/>
                <w:highlight w:val="none"/>
              </w:rPr>
            </w:pPr>
            <w:r>
              <w:rPr>
                <w:color w:val="000000"/>
                <w:sz w:val="22"/>
                <w:szCs w:val="22"/>
                <w:highlight w:val="none"/>
              </w:rPr>
              <w:t>558,300</w:t>
            </w:r>
          </w:p>
        </w:tc>
        <w:tc>
          <w:tcPr>
            <w:tcW w:w="1384" w:type="pct"/>
            <w:vAlign w:val="center"/>
          </w:tcPr>
          <w:p w14:paraId="47CEFC84">
            <w:pPr>
              <w:adjustRightInd w:val="0"/>
              <w:snapToGrid w:val="0"/>
              <w:jc w:val="right"/>
              <w:rPr>
                <w:highlight w:val="none"/>
              </w:rPr>
            </w:pPr>
            <w:r>
              <w:rPr>
                <w:color w:val="000000"/>
                <w:sz w:val="22"/>
                <w:szCs w:val="22"/>
                <w:highlight w:val="none"/>
              </w:rPr>
              <w:t>1.5688%</w:t>
            </w:r>
          </w:p>
        </w:tc>
      </w:tr>
      <w:tr w14:paraId="5B26E7A4">
        <w:trPr>
          <w:trHeight w:val="454" w:hRule="atLeast"/>
          <w:jc w:val="center"/>
        </w:trPr>
        <w:tc>
          <w:tcPr>
            <w:tcW w:w="477" w:type="pct"/>
            <w:vAlign w:val="center"/>
          </w:tcPr>
          <w:p w14:paraId="5590CBEB">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EEBE019">
            <w:pPr>
              <w:adjustRightInd w:val="0"/>
              <w:snapToGrid w:val="0"/>
              <w:jc w:val="center"/>
              <w:rPr>
                <w:rFonts w:eastAsiaTheme="minorEastAsia"/>
                <w:szCs w:val="21"/>
                <w:highlight w:val="none"/>
              </w:rPr>
            </w:pPr>
            <w:r>
              <w:rPr>
                <w:rFonts w:eastAsiaTheme="minorEastAsia"/>
                <w:szCs w:val="21"/>
                <w:highlight w:val="none"/>
              </w:rPr>
              <w:t>杭州启明融晶股权投资合伙企业（有限合伙）</w:t>
            </w:r>
          </w:p>
        </w:tc>
        <w:tc>
          <w:tcPr>
            <w:tcW w:w="1409" w:type="pct"/>
            <w:vAlign w:val="center"/>
          </w:tcPr>
          <w:p w14:paraId="2A00DDE0">
            <w:pPr>
              <w:adjustRightInd w:val="0"/>
              <w:snapToGrid w:val="0"/>
              <w:jc w:val="right"/>
              <w:rPr>
                <w:szCs w:val="21"/>
                <w:highlight w:val="none"/>
              </w:rPr>
            </w:pPr>
            <w:r>
              <w:rPr>
                <w:color w:val="000000"/>
                <w:sz w:val="22"/>
                <w:szCs w:val="22"/>
                <w:highlight w:val="none"/>
              </w:rPr>
              <w:t>2,449,143</w:t>
            </w:r>
          </w:p>
        </w:tc>
        <w:tc>
          <w:tcPr>
            <w:tcW w:w="1384" w:type="pct"/>
            <w:vAlign w:val="center"/>
          </w:tcPr>
          <w:p w14:paraId="7E4C9617">
            <w:pPr>
              <w:adjustRightInd w:val="0"/>
              <w:snapToGrid w:val="0"/>
              <w:jc w:val="right"/>
              <w:rPr>
                <w:highlight w:val="none"/>
              </w:rPr>
            </w:pPr>
            <w:r>
              <w:rPr>
                <w:color w:val="000000"/>
                <w:sz w:val="22"/>
                <w:szCs w:val="22"/>
                <w:highlight w:val="none"/>
              </w:rPr>
              <w:t>6.8821%</w:t>
            </w:r>
          </w:p>
        </w:tc>
      </w:tr>
      <w:tr w14:paraId="5E476774">
        <w:trPr>
          <w:trHeight w:val="454" w:hRule="atLeast"/>
          <w:jc w:val="center"/>
        </w:trPr>
        <w:tc>
          <w:tcPr>
            <w:tcW w:w="477" w:type="pct"/>
            <w:vAlign w:val="center"/>
          </w:tcPr>
          <w:p w14:paraId="7E915F02">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9F6C72A">
            <w:pPr>
              <w:adjustRightInd w:val="0"/>
              <w:snapToGrid w:val="0"/>
              <w:jc w:val="center"/>
              <w:rPr>
                <w:rFonts w:eastAsiaTheme="minorEastAsia"/>
                <w:szCs w:val="21"/>
                <w:highlight w:val="none"/>
              </w:rPr>
            </w:pPr>
            <w:r>
              <w:rPr>
                <w:rFonts w:eastAsiaTheme="minorEastAsia"/>
                <w:szCs w:val="21"/>
                <w:highlight w:val="none"/>
              </w:rPr>
              <w:t>苏州启明融乾股权投资合伙企业（有限合伙）</w:t>
            </w:r>
          </w:p>
        </w:tc>
        <w:tc>
          <w:tcPr>
            <w:tcW w:w="1409" w:type="pct"/>
            <w:vAlign w:val="center"/>
          </w:tcPr>
          <w:p w14:paraId="7B435E69">
            <w:pPr>
              <w:adjustRightInd w:val="0"/>
              <w:snapToGrid w:val="0"/>
              <w:jc w:val="right"/>
              <w:rPr>
                <w:szCs w:val="21"/>
                <w:highlight w:val="none"/>
              </w:rPr>
            </w:pPr>
            <w:r>
              <w:rPr>
                <w:color w:val="000000"/>
                <w:sz w:val="22"/>
                <w:szCs w:val="22"/>
                <w:highlight w:val="none"/>
              </w:rPr>
              <w:t>1,268,233</w:t>
            </w:r>
          </w:p>
        </w:tc>
        <w:tc>
          <w:tcPr>
            <w:tcW w:w="1384" w:type="pct"/>
            <w:vAlign w:val="center"/>
          </w:tcPr>
          <w:p w14:paraId="6289DF46">
            <w:pPr>
              <w:adjustRightInd w:val="0"/>
              <w:snapToGrid w:val="0"/>
              <w:jc w:val="right"/>
              <w:rPr>
                <w:highlight w:val="none"/>
              </w:rPr>
            </w:pPr>
            <w:r>
              <w:rPr>
                <w:color w:val="000000"/>
                <w:sz w:val="22"/>
                <w:szCs w:val="22"/>
                <w:highlight w:val="none"/>
              </w:rPr>
              <w:t>3.5638%</w:t>
            </w:r>
          </w:p>
        </w:tc>
      </w:tr>
      <w:tr w14:paraId="24AFFC4C">
        <w:trPr>
          <w:trHeight w:val="454" w:hRule="atLeast"/>
          <w:jc w:val="center"/>
        </w:trPr>
        <w:tc>
          <w:tcPr>
            <w:tcW w:w="477" w:type="pct"/>
            <w:vAlign w:val="center"/>
          </w:tcPr>
          <w:p w14:paraId="0447AD3D">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CCDBE7F">
            <w:pPr>
              <w:adjustRightInd w:val="0"/>
              <w:snapToGrid w:val="0"/>
              <w:jc w:val="center"/>
              <w:rPr>
                <w:rFonts w:eastAsiaTheme="minorEastAsia"/>
                <w:kern w:val="1"/>
                <w:szCs w:val="21"/>
                <w:highlight w:val="none"/>
              </w:rPr>
            </w:pPr>
            <w:r>
              <w:rPr>
                <w:rFonts w:eastAsiaTheme="minorEastAsia"/>
                <w:szCs w:val="21"/>
                <w:highlight w:val="none"/>
              </w:rPr>
              <w:t>杭州海邦数瑞股权投资合伙企业（有限合伙）</w:t>
            </w:r>
          </w:p>
        </w:tc>
        <w:tc>
          <w:tcPr>
            <w:tcW w:w="1409" w:type="pct"/>
            <w:vAlign w:val="center"/>
          </w:tcPr>
          <w:p w14:paraId="0C11F6F7">
            <w:pPr>
              <w:adjustRightInd w:val="0"/>
              <w:snapToGrid w:val="0"/>
              <w:jc w:val="right"/>
              <w:rPr>
                <w:szCs w:val="21"/>
                <w:highlight w:val="none"/>
              </w:rPr>
            </w:pPr>
            <w:r>
              <w:rPr>
                <w:color w:val="000000"/>
                <w:sz w:val="22"/>
                <w:szCs w:val="22"/>
                <w:highlight w:val="none"/>
              </w:rPr>
              <w:t>1,286,100</w:t>
            </w:r>
          </w:p>
        </w:tc>
        <w:tc>
          <w:tcPr>
            <w:tcW w:w="1384" w:type="pct"/>
            <w:vAlign w:val="center"/>
          </w:tcPr>
          <w:p w14:paraId="283C19A1">
            <w:pPr>
              <w:adjustRightInd w:val="0"/>
              <w:snapToGrid w:val="0"/>
              <w:jc w:val="right"/>
              <w:rPr>
                <w:highlight w:val="none"/>
              </w:rPr>
            </w:pPr>
            <w:r>
              <w:rPr>
                <w:color w:val="000000"/>
                <w:sz w:val="22"/>
                <w:szCs w:val="22"/>
                <w:highlight w:val="none"/>
              </w:rPr>
              <w:t>3.6140%</w:t>
            </w:r>
          </w:p>
        </w:tc>
      </w:tr>
      <w:tr w14:paraId="093D738A">
        <w:trPr>
          <w:trHeight w:val="454" w:hRule="atLeast"/>
          <w:jc w:val="center"/>
        </w:trPr>
        <w:tc>
          <w:tcPr>
            <w:tcW w:w="477" w:type="pct"/>
            <w:vAlign w:val="center"/>
          </w:tcPr>
          <w:p w14:paraId="0E6EBC0A">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9308999">
            <w:pPr>
              <w:adjustRightInd w:val="0"/>
              <w:snapToGrid w:val="0"/>
              <w:jc w:val="center"/>
              <w:rPr>
                <w:rFonts w:eastAsiaTheme="minorEastAsia"/>
                <w:kern w:val="1"/>
                <w:szCs w:val="21"/>
                <w:highlight w:val="none"/>
              </w:rPr>
            </w:pPr>
            <w:r>
              <w:rPr>
                <w:rFonts w:eastAsiaTheme="minorEastAsia"/>
                <w:szCs w:val="21"/>
                <w:highlight w:val="none"/>
              </w:rPr>
              <w:t>杭州海邦羿谷创业投资合伙企业（有限合伙）</w:t>
            </w:r>
          </w:p>
        </w:tc>
        <w:tc>
          <w:tcPr>
            <w:tcW w:w="1409" w:type="pct"/>
            <w:vAlign w:val="center"/>
          </w:tcPr>
          <w:p w14:paraId="661B94BC">
            <w:pPr>
              <w:adjustRightInd w:val="0"/>
              <w:snapToGrid w:val="0"/>
              <w:jc w:val="right"/>
              <w:rPr>
                <w:szCs w:val="21"/>
                <w:highlight w:val="none"/>
              </w:rPr>
            </w:pPr>
            <w:r>
              <w:rPr>
                <w:color w:val="000000"/>
                <w:sz w:val="22"/>
                <w:szCs w:val="22"/>
                <w:highlight w:val="none"/>
              </w:rPr>
              <w:t>609,700</w:t>
            </w:r>
          </w:p>
        </w:tc>
        <w:tc>
          <w:tcPr>
            <w:tcW w:w="1384" w:type="pct"/>
            <w:vAlign w:val="center"/>
          </w:tcPr>
          <w:p w14:paraId="4B25EE8D">
            <w:pPr>
              <w:adjustRightInd w:val="0"/>
              <w:snapToGrid w:val="0"/>
              <w:jc w:val="right"/>
              <w:rPr>
                <w:highlight w:val="none"/>
              </w:rPr>
            </w:pPr>
            <w:r>
              <w:rPr>
                <w:color w:val="000000"/>
                <w:sz w:val="22"/>
                <w:szCs w:val="22"/>
                <w:highlight w:val="none"/>
              </w:rPr>
              <w:t>1.7133%</w:t>
            </w:r>
          </w:p>
        </w:tc>
      </w:tr>
      <w:tr w14:paraId="485400BB">
        <w:trPr>
          <w:trHeight w:val="454" w:hRule="atLeast"/>
          <w:jc w:val="center"/>
        </w:trPr>
        <w:tc>
          <w:tcPr>
            <w:tcW w:w="477" w:type="pct"/>
            <w:vAlign w:val="center"/>
          </w:tcPr>
          <w:p w14:paraId="15862038">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58EC8D4">
            <w:pPr>
              <w:adjustRightInd w:val="0"/>
              <w:snapToGrid w:val="0"/>
              <w:jc w:val="center"/>
              <w:rPr>
                <w:rFonts w:eastAsiaTheme="minorEastAsia"/>
                <w:szCs w:val="21"/>
                <w:highlight w:val="none"/>
              </w:rPr>
            </w:pPr>
            <w:r>
              <w:rPr>
                <w:rFonts w:eastAsiaTheme="minorEastAsia"/>
                <w:szCs w:val="21"/>
                <w:highlight w:val="none"/>
              </w:rPr>
              <w:t>杭州海邦沣华数智股权投资合伙企业（有限合伙）</w:t>
            </w:r>
          </w:p>
        </w:tc>
        <w:tc>
          <w:tcPr>
            <w:tcW w:w="1409" w:type="pct"/>
            <w:vAlign w:val="center"/>
          </w:tcPr>
          <w:p w14:paraId="61BB479A">
            <w:pPr>
              <w:adjustRightInd w:val="0"/>
              <w:snapToGrid w:val="0"/>
              <w:jc w:val="right"/>
              <w:rPr>
                <w:szCs w:val="21"/>
                <w:highlight w:val="none"/>
              </w:rPr>
            </w:pPr>
            <w:r>
              <w:rPr>
                <w:color w:val="000000"/>
                <w:sz w:val="22"/>
                <w:szCs w:val="22"/>
                <w:highlight w:val="none"/>
              </w:rPr>
              <w:t>515,900</w:t>
            </w:r>
          </w:p>
        </w:tc>
        <w:tc>
          <w:tcPr>
            <w:tcW w:w="1384" w:type="pct"/>
            <w:vAlign w:val="center"/>
          </w:tcPr>
          <w:p w14:paraId="68B6CFEF">
            <w:pPr>
              <w:adjustRightInd w:val="0"/>
              <w:snapToGrid w:val="0"/>
              <w:jc w:val="right"/>
              <w:rPr>
                <w:highlight w:val="none"/>
              </w:rPr>
            </w:pPr>
            <w:r>
              <w:rPr>
                <w:color w:val="000000"/>
                <w:sz w:val="22"/>
                <w:szCs w:val="22"/>
                <w:highlight w:val="none"/>
              </w:rPr>
              <w:t>1.4497%</w:t>
            </w:r>
          </w:p>
        </w:tc>
      </w:tr>
      <w:tr w14:paraId="184753AE">
        <w:trPr>
          <w:trHeight w:val="454" w:hRule="atLeast"/>
          <w:jc w:val="center"/>
        </w:trPr>
        <w:tc>
          <w:tcPr>
            <w:tcW w:w="477" w:type="pct"/>
            <w:vAlign w:val="center"/>
          </w:tcPr>
          <w:p w14:paraId="59ACD7E7">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6E3AE2E">
            <w:pPr>
              <w:adjustRightInd w:val="0"/>
              <w:snapToGrid w:val="0"/>
              <w:jc w:val="center"/>
              <w:rPr>
                <w:rFonts w:eastAsiaTheme="minorEastAsia"/>
                <w:szCs w:val="21"/>
                <w:highlight w:val="none"/>
              </w:rPr>
            </w:pPr>
            <w:r>
              <w:rPr>
                <w:rFonts w:eastAsiaTheme="minorEastAsia"/>
                <w:szCs w:val="21"/>
                <w:highlight w:val="none"/>
              </w:rPr>
              <w:t>张丁</w:t>
            </w:r>
          </w:p>
        </w:tc>
        <w:tc>
          <w:tcPr>
            <w:tcW w:w="1409" w:type="pct"/>
            <w:vAlign w:val="center"/>
          </w:tcPr>
          <w:p w14:paraId="779DFED0">
            <w:pPr>
              <w:adjustRightInd w:val="0"/>
              <w:snapToGrid w:val="0"/>
              <w:jc w:val="right"/>
              <w:rPr>
                <w:szCs w:val="21"/>
                <w:highlight w:val="none"/>
              </w:rPr>
            </w:pPr>
            <w:r>
              <w:rPr>
                <w:color w:val="000000"/>
                <w:sz w:val="22"/>
                <w:szCs w:val="22"/>
                <w:highlight w:val="none"/>
              </w:rPr>
              <w:t>519,192</w:t>
            </w:r>
          </w:p>
        </w:tc>
        <w:tc>
          <w:tcPr>
            <w:tcW w:w="1384" w:type="pct"/>
            <w:vAlign w:val="center"/>
          </w:tcPr>
          <w:p w14:paraId="0345652E">
            <w:pPr>
              <w:adjustRightInd w:val="0"/>
              <w:snapToGrid w:val="0"/>
              <w:jc w:val="right"/>
              <w:rPr>
                <w:highlight w:val="none"/>
              </w:rPr>
            </w:pPr>
            <w:r>
              <w:rPr>
                <w:color w:val="000000"/>
                <w:sz w:val="22"/>
                <w:szCs w:val="22"/>
                <w:highlight w:val="none"/>
              </w:rPr>
              <w:t>1.4589%</w:t>
            </w:r>
          </w:p>
        </w:tc>
      </w:tr>
      <w:tr w14:paraId="7EF2B59D">
        <w:trPr>
          <w:trHeight w:val="454" w:hRule="atLeast"/>
          <w:jc w:val="center"/>
        </w:trPr>
        <w:tc>
          <w:tcPr>
            <w:tcW w:w="477" w:type="pct"/>
            <w:vAlign w:val="center"/>
          </w:tcPr>
          <w:p w14:paraId="16585FC1">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75E2476">
            <w:pPr>
              <w:adjustRightInd w:val="0"/>
              <w:snapToGrid w:val="0"/>
              <w:jc w:val="center"/>
              <w:rPr>
                <w:rFonts w:eastAsiaTheme="minorEastAsia"/>
                <w:szCs w:val="21"/>
                <w:highlight w:val="none"/>
              </w:rPr>
            </w:pPr>
            <w:r>
              <w:rPr>
                <w:rFonts w:eastAsiaTheme="minorEastAsia"/>
                <w:szCs w:val="21"/>
                <w:highlight w:val="none"/>
              </w:rPr>
              <w:t>苏州辰知德投资合伙企业（有限合伙）</w:t>
            </w:r>
          </w:p>
        </w:tc>
        <w:tc>
          <w:tcPr>
            <w:tcW w:w="1409" w:type="pct"/>
            <w:vAlign w:val="center"/>
          </w:tcPr>
          <w:p w14:paraId="51A9A94B">
            <w:pPr>
              <w:adjustRightInd w:val="0"/>
              <w:snapToGrid w:val="0"/>
              <w:jc w:val="right"/>
              <w:rPr>
                <w:szCs w:val="21"/>
                <w:highlight w:val="none"/>
              </w:rPr>
            </w:pPr>
            <w:r>
              <w:rPr>
                <w:color w:val="000000"/>
                <w:sz w:val="22"/>
                <w:szCs w:val="22"/>
                <w:highlight w:val="none"/>
              </w:rPr>
              <w:t>1,912,011</w:t>
            </w:r>
          </w:p>
        </w:tc>
        <w:tc>
          <w:tcPr>
            <w:tcW w:w="1384" w:type="pct"/>
            <w:vAlign w:val="center"/>
          </w:tcPr>
          <w:p w14:paraId="74D087B2">
            <w:pPr>
              <w:adjustRightInd w:val="0"/>
              <w:snapToGrid w:val="0"/>
              <w:jc w:val="right"/>
              <w:rPr>
                <w:highlight w:val="none"/>
              </w:rPr>
            </w:pPr>
            <w:r>
              <w:rPr>
                <w:color w:val="000000"/>
                <w:sz w:val="22"/>
                <w:szCs w:val="22"/>
                <w:highlight w:val="none"/>
              </w:rPr>
              <w:t>5.3728%</w:t>
            </w:r>
          </w:p>
        </w:tc>
      </w:tr>
      <w:tr w14:paraId="2876B432">
        <w:trPr>
          <w:trHeight w:val="454" w:hRule="atLeast"/>
          <w:jc w:val="center"/>
        </w:trPr>
        <w:tc>
          <w:tcPr>
            <w:tcW w:w="477" w:type="pct"/>
            <w:vAlign w:val="center"/>
          </w:tcPr>
          <w:p w14:paraId="202F9C4F">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tcPr>
          <w:p w14:paraId="5D8C545F">
            <w:pPr>
              <w:adjustRightInd w:val="0"/>
              <w:snapToGrid w:val="0"/>
              <w:jc w:val="center"/>
              <w:rPr>
                <w:rFonts w:eastAsiaTheme="minorEastAsia"/>
                <w:szCs w:val="21"/>
                <w:highlight w:val="none"/>
              </w:rPr>
            </w:pPr>
            <w:r>
              <w:rPr>
                <w:highlight w:val="none"/>
              </w:rPr>
              <w:t>苏州辰嘉德股权投资合伙企业（有限合伙）</w:t>
            </w:r>
          </w:p>
        </w:tc>
        <w:tc>
          <w:tcPr>
            <w:tcW w:w="1409" w:type="pct"/>
            <w:vAlign w:val="center"/>
          </w:tcPr>
          <w:p w14:paraId="6B8D99E6">
            <w:pPr>
              <w:adjustRightInd w:val="0"/>
              <w:snapToGrid w:val="0"/>
              <w:jc w:val="right"/>
              <w:rPr>
                <w:highlight w:val="none"/>
              </w:rPr>
            </w:pPr>
            <w:r>
              <w:rPr>
                <w:color w:val="000000"/>
                <w:sz w:val="22"/>
                <w:szCs w:val="22"/>
                <w:highlight w:val="none"/>
              </w:rPr>
              <w:t>200,942</w:t>
            </w:r>
          </w:p>
        </w:tc>
        <w:tc>
          <w:tcPr>
            <w:tcW w:w="1384" w:type="pct"/>
            <w:vAlign w:val="center"/>
          </w:tcPr>
          <w:p w14:paraId="32560125">
            <w:pPr>
              <w:adjustRightInd w:val="0"/>
              <w:snapToGrid w:val="0"/>
              <w:jc w:val="right"/>
              <w:rPr>
                <w:highlight w:val="none"/>
              </w:rPr>
            </w:pPr>
            <w:r>
              <w:rPr>
                <w:color w:val="000000"/>
                <w:sz w:val="22"/>
                <w:szCs w:val="22"/>
                <w:highlight w:val="none"/>
              </w:rPr>
              <w:t>0.5647%</w:t>
            </w:r>
          </w:p>
        </w:tc>
      </w:tr>
      <w:tr w14:paraId="07EC85FC">
        <w:trPr>
          <w:trHeight w:val="454" w:hRule="atLeast"/>
          <w:jc w:val="center"/>
        </w:trPr>
        <w:tc>
          <w:tcPr>
            <w:tcW w:w="477" w:type="pct"/>
            <w:vAlign w:val="center"/>
          </w:tcPr>
          <w:p w14:paraId="402E5546">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C8A4767">
            <w:pPr>
              <w:adjustRightInd w:val="0"/>
              <w:snapToGrid w:val="0"/>
              <w:jc w:val="center"/>
              <w:rPr>
                <w:rFonts w:eastAsiaTheme="minorEastAsia"/>
                <w:szCs w:val="21"/>
                <w:highlight w:val="none"/>
              </w:rPr>
            </w:pPr>
            <w:r>
              <w:rPr>
                <w:rFonts w:eastAsiaTheme="minorEastAsia"/>
                <w:szCs w:val="21"/>
                <w:highlight w:val="none"/>
              </w:rPr>
              <w:t>CDHealthHKIIILimited</w:t>
            </w:r>
          </w:p>
        </w:tc>
        <w:tc>
          <w:tcPr>
            <w:tcW w:w="1409" w:type="pct"/>
            <w:vAlign w:val="center"/>
          </w:tcPr>
          <w:p w14:paraId="6FE2269D">
            <w:pPr>
              <w:adjustRightInd w:val="0"/>
              <w:snapToGrid w:val="0"/>
              <w:jc w:val="right"/>
              <w:rPr>
                <w:szCs w:val="21"/>
                <w:highlight w:val="none"/>
              </w:rPr>
            </w:pPr>
            <w:r>
              <w:rPr>
                <w:color w:val="000000"/>
                <w:sz w:val="22"/>
                <w:szCs w:val="22"/>
                <w:highlight w:val="none"/>
              </w:rPr>
              <w:t>416,799</w:t>
            </w:r>
          </w:p>
        </w:tc>
        <w:tc>
          <w:tcPr>
            <w:tcW w:w="1384" w:type="pct"/>
            <w:vAlign w:val="center"/>
          </w:tcPr>
          <w:p w14:paraId="51F039F6">
            <w:pPr>
              <w:adjustRightInd w:val="0"/>
              <w:snapToGrid w:val="0"/>
              <w:jc w:val="right"/>
              <w:rPr>
                <w:highlight w:val="none"/>
              </w:rPr>
            </w:pPr>
            <w:r>
              <w:rPr>
                <w:color w:val="000000"/>
                <w:sz w:val="22"/>
                <w:szCs w:val="22"/>
                <w:highlight w:val="none"/>
              </w:rPr>
              <w:t>1.1712%</w:t>
            </w:r>
          </w:p>
        </w:tc>
      </w:tr>
      <w:tr w14:paraId="1D22F5E4">
        <w:trPr>
          <w:trHeight w:val="454" w:hRule="atLeast"/>
          <w:jc w:val="center"/>
        </w:trPr>
        <w:tc>
          <w:tcPr>
            <w:tcW w:w="477" w:type="pct"/>
            <w:vAlign w:val="center"/>
          </w:tcPr>
          <w:p w14:paraId="17DCD271">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D81EDE1">
            <w:pPr>
              <w:adjustRightInd w:val="0"/>
              <w:snapToGrid w:val="0"/>
              <w:jc w:val="center"/>
              <w:rPr>
                <w:rFonts w:eastAsiaTheme="minorEastAsia"/>
                <w:szCs w:val="21"/>
                <w:highlight w:val="none"/>
              </w:rPr>
            </w:pPr>
            <w:r>
              <w:rPr>
                <w:rFonts w:eastAsiaTheme="minorEastAsia"/>
                <w:szCs w:val="21"/>
                <w:highlight w:val="none"/>
              </w:rPr>
              <w:t>杭州元璟中小企业发展股权投资基金合伙企业（有限合伙）</w:t>
            </w:r>
          </w:p>
        </w:tc>
        <w:tc>
          <w:tcPr>
            <w:tcW w:w="1409" w:type="pct"/>
            <w:vAlign w:val="center"/>
          </w:tcPr>
          <w:p w14:paraId="4C8F8663">
            <w:pPr>
              <w:adjustRightInd w:val="0"/>
              <w:snapToGrid w:val="0"/>
              <w:jc w:val="right"/>
              <w:rPr>
                <w:szCs w:val="21"/>
                <w:highlight w:val="none"/>
              </w:rPr>
            </w:pPr>
            <w:r>
              <w:rPr>
                <w:color w:val="000000"/>
                <w:sz w:val="22"/>
                <w:szCs w:val="22"/>
                <w:highlight w:val="none"/>
              </w:rPr>
              <w:t>944,743</w:t>
            </w:r>
          </w:p>
        </w:tc>
        <w:tc>
          <w:tcPr>
            <w:tcW w:w="1384" w:type="pct"/>
            <w:vAlign w:val="center"/>
          </w:tcPr>
          <w:p w14:paraId="39235FE7">
            <w:pPr>
              <w:adjustRightInd w:val="0"/>
              <w:snapToGrid w:val="0"/>
              <w:jc w:val="right"/>
              <w:rPr>
                <w:highlight w:val="none"/>
              </w:rPr>
            </w:pPr>
            <w:r>
              <w:rPr>
                <w:color w:val="000000"/>
                <w:sz w:val="22"/>
                <w:szCs w:val="22"/>
                <w:highlight w:val="none"/>
              </w:rPr>
              <w:t>2.6547%</w:t>
            </w:r>
          </w:p>
        </w:tc>
      </w:tr>
      <w:tr w14:paraId="56C995B0">
        <w:trPr>
          <w:trHeight w:val="454" w:hRule="atLeast"/>
          <w:jc w:val="center"/>
        </w:trPr>
        <w:tc>
          <w:tcPr>
            <w:tcW w:w="477" w:type="pct"/>
            <w:vAlign w:val="center"/>
          </w:tcPr>
          <w:p w14:paraId="613FDE8E">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A49C64C">
            <w:pPr>
              <w:adjustRightInd w:val="0"/>
              <w:snapToGrid w:val="0"/>
              <w:jc w:val="center"/>
              <w:rPr>
                <w:rFonts w:eastAsiaTheme="minorEastAsia"/>
                <w:szCs w:val="21"/>
                <w:highlight w:val="none"/>
              </w:rPr>
            </w:pPr>
            <w:r>
              <w:rPr>
                <w:rFonts w:eastAsiaTheme="minorEastAsia"/>
                <w:szCs w:val="21"/>
                <w:highlight w:val="none"/>
              </w:rPr>
              <w:t>BrightGalaxyLimited</w:t>
            </w:r>
          </w:p>
        </w:tc>
        <w:tc>
          <w:tcPr>
            <w:tcW w:w="1409" w:type="pct"/>
            <w:vAlign w:val="center"/>
          </w:tcPr>
          <w:p w14:paraId="2B495436">
            <w:pPr>
              <w:adjustRightInd w:val="0"/>
              <w:snapToGrid w:val="0"/>
              <w:jc w:val="right"/>
              <w:rPr>
                <w:szCs w:val="21"/>
                <w:highlight w:val="none"/>
              </w:rPr>
            </w:pPr>
            <w:r>
              <w:rPr>
                <w:color w:val="000000"/>
                <w:sz w:val="22"/>
                <w:szCs w:val="22"/>
                <w:highlight w:val="none"/>
              </w:rPr>
              <w:t>1,111,463</w:t>
            </w:r>
          </w:p>
        </w:tc>
        <w:tc>
          <w:tcPr>
            <w:tcW w:w="1384" w:type="pct"/>
            <w:vAlign w:val="center"/>
          </w:tcPr>
          <w:p w14:paraId="37306619">
            <w:pPr>
              <w:adjustRightInd w:val="0"/>
              <w:snapToGrid w:val="0"/>
              <w:jc w:val="right"/>
              <w:rPr>
                <w:highlight w:val="none"/>
              </w:rPr>
            </w:pPr>
            <w:r>
              <w:rPr>
                <w:color w:val="000000"/>
                <w:sz w:val="22"/>
                <w:szCs w:val="22"/>
                <w:highlight w:val="none"/>
              </w:rPr>
              <w:t>3.1232%</w:t>
            </w:r>
          </w:p>
        </w:tc>
      </w:tr>
      <w:tr w14:paraId="3EBA6AAF">
        <w:trPr>
          <w:trHeight w:val="454" w:hRule="atLeast"/>
          <w:jc w:val="center"/>
        </w:trPr>
        <w:tc>
          <w:tcPr>
            <w:tcW w:w="477" w:type="pct"/>
            <w:vAlign w:val="center"/>
          </w:tcPr>
          <w:p w14:paraId="2556B0B1">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9C537DE">
            <w:pPr>
              <w:adjustRightInd w:val="0"/>
              <w:snapToGrid w:val="0"/>
              <w:jc w:val="center"/>
              <w:rPr>
                <w:rFonts w:eastAsiaTheme="minorEastAsia"/>
                <w:szCs w:val="21"/>
                <w:highlight w:val="none"/>
              </w:rPr>
            </w:pPr>
            <w:r>
              <w:rPr>
                <w:rFonts w:eastAsiaTheme="minorEastAsia"/>
                <w:szCs w:val="21"/>
                <w:highlight w:val="none"/>
              </w:rPr>
              <w:t>浙江余杭转型升级产业投资有限公司</w:t>
            </w:r>
          </w:p>
        </w:tc>
        <w:tc>
          <w:tcPr>
            <w:tcW w:w="1409" w:type="pct"/>
            <w:vAlign w:val="center"/>
          </w:tcPr>
          <w:p w14:paraId="6DFCF0A6">
            <w:pPr>
              <w:adjustRightInd w:val="0"/>
              <w:snapToGrid w:val="0"/>
              <w:jc w:val="right"/>
              <w:rPr>
                <w:highlight w:val="none"/>
              </w:rPr>
            </w:pPr>
            <w:r>
              <w:rPr>
                <w:color w:val="000000"/>
                <w:sz w:val="22"/>
                <w:szCs w:val="22"/>
                <w:highlight w:val="none"/>
              </w:rPr>
              <w:t>428,677</w:t>
            </w:r>
          </w:p>
        </w:tc>
        <w:tc>
          <w:tcPr>
            <w:tcW w:w="1384" w:type="pct"/>
            <w:vAlign w:val="center"/>
          </w:tcPr>
          <w:p w14:paraId="1BA90891">
            <w:pPr>
              <w:adjustRightInd w:val="0"/>
              <w:snapToGrid w:val="0"/>
              <w:jc w:val="right"/>
              <w:rPr>
                <w:highlight w:val="none"/>
              </w:rPr>
            </w:pPr>
            <w:r>
              <w:rPr>
                <w:color w:val="000000"/>
                <w:sz w:val="22"/>
                <w:szCs w:val="22"/>
                <w:highlight w:val="none"/>
              </w:rPr>
              <w:t>1.2046%</w:t>
            </w:r>
          </w:p>
        </w:tc>
      </w:tr>
      <w:tr w14:paraId="6A15A0F8">
        <w:trPr>
          <w:trHeight w:val="454" w:hRule="atLeast"/>
          <w:jc w:val="center"/>
        </w:trPr>
        <w:tc>
          <w:tcPr>
            <w:tcW w:w="477" w:type="pct"/>
            <w:vAlign w:val="center"/>
          </w:tcPr>
          <w:p w14:paraId="447DD7D7">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ACE28C0">
            <w:pPr>
              <w:adjustRightInd w:val="0"/>
              <w:snapToGrid w:val="0"/>
              <w:jc w:val="center"/>
              <w:rPr>
                <w:rFonts w:eastAsiaTheme="minorEastAsia"/>
                <w:szCs w:val="21"/>
                <w:highlight w:val="none"/>
              </w:rPr>
            </w:pPr>
            <w:r>
              <w:rPr>
                <w:rFonts w:eastAsiaTheme="minorEastAsia"/>
                <w:szCs w:val="21"/>
                <w:highlight w:val="none"/>
              </w:rPr>
              <w:t>杭州余杭景仓丹穴科技合伙企业（有限合伙）</w:t>
            </w:r>
          </w:p>
        </w:tc>
        <w:tc>
          <w:tcPr>
            <w:tcW w:w="1409" w:type="pct"/>
            <w:vAlign w:val="center"/>
          </w:tcPr>
          <w:p w14:paraId="41FE18D4">
            <w:pPr>
              <w:adjustRightInd w:val="0"/>
              <w:snapToGrid w:val="0"/>
              <w:jc w:val="right"/>
              <w:rPr>
                <w:highlight w:val="none"/>
              </w:rPr>
            </w:pPr>
            <w:r>
              <w:rPr>
                <w:color w:val="000000"/>
                <w:sz w:val="22"/>
                <w:szCs w:val="22"/>
                <w:highlight w:val="none"/>
              </w:rPr>
              <w:t>1,426,691</w:t>
            </w:r>
          </w:p>
        </w:tc>
        <w:tc>
          <w:tcPr>
            <w:tcW w:w="1384" w:type="pct"/>
            <w:vAlign w:val="center"/>
          </w:tcPr>
          <w:p w14:paraId="4C0B5701">
            <w:pPr>
              <w:adjustRightInd w:val="0"/>
              <w:snapToGrid w:val="0"/>
              <w:jc w:val="right"/>
              <w:rPr>
                <w:highlight w:val="none"/>
              </w:rPr>
            </w:pPr>
            <w:r>
              <w:rPr>
                <w:color w:val="000000"/>
                <w:sz w:val="22"/>
                <w:szCs w:val="22"/>
                <w:highlight w:val="none"/>
              </w:rPr>
              <w:t>4.0090%</w:t>
            </w:r>
          </w:p>
        </w:tc>
      </w:tr>
      <w:tr w14:paraId="212E70C0">
        <w:trPr>
          <w:trHeight w:val="454" w:hRule="atLeast"/>
          <w:jc w:val="center"/>
        </w:trPr>
        <w:tc>
          <w:tcPr>
            <w:tcW w:w="477" w:type="pct"/>
            <w:vAlign w:val="center"/>
          </w:tcPr>
          <w:p w14:paraId="0E805B28">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D35B551">
            <w:pPr>
              <w:adjustRightInd w:val="0"/>
              <w:snapToGrid w:val="0"/>
              <w:jc w:val="center"/>
              <w:rPr>
                <w:rFonts w:eastAsiaTheme="minorEastAsia"/>
                <w:szCs w:val="21"/>
                <w:highlight w:val="none"/>
              </w:rPr>
            </w:pPr>
            <w:r>
              <w:rPr>
                <w:rFonts w:eastAsiaTheme="minorEastAsia"/>
                <w:szCs w:val="21"/>
                <w:highlight w:val="none"/>
              </w:rPr>
              <w:t>上海火山石二期创业投资合伙企业（有限合伙）</w:t>
            </w:r>
          </w:p>
        </w:tc>
        <w:tc>
          <w:tcPr>
            <w:tcW w:w="1409" w:type="pct"/>
            <w:vAlign w:val="center"/>
          </w:tcPr>
          <w:p w14:paraId="4079CF93">
            <w:pPr>
              <w:adjustRightInd w:val="0"/>
              <w:snapToGrid w:val="0"/>
              <w:jc w:val="right"/>
              <w:rPr>
                <w:highlight w:val="none"/>
              </w:rPr>
            </w:pPr>
            <w:r>
              <w:rPr>
                <w:color w:val="000000"/>
                <w:sz w:val="22"/>
                <w:szCs w:val="22"/>
                <w:highlight w:val="none"/>
              </w:rPr>
              <w:t>1,796,754</w:t>
            </w:r>
          </w:p>
        </w:tc>
        <w:tc>
          <w:tcPr>
            <w:tcW w:w="1384" w:type="pct"/>
            <w:vAlign w:val="center"/>
          </w:tcPr>
          <w:p w14:paraId="1C1D0AA7">
            <w:pPr>
              <w:adjustRightInd w:val="0"/>
              <w:snapToGrid w:val="0"/>
              <w:jc w:val="right"/>
              <w:rPr>
                <w:highlight w:val="none"/>
              </w:rPr>
            </w:pPr>
            <w:r>
              <w:rPr>
                <w:color w:val="000000"/>
                <w:sz w:val="22"/>
                <w:szCs w:val="22"/>
                <w:highlight w:val="none"/>
              </w:rPr>
              <w:t>5.0489%</w:t>
            </w:r>
          </w:p>
        </w:tc>
      </w:tr>
      <w:tr w14:paraId="7300B0F5">
        <w:trPr>
          <w:trHeight w:val="454" w:hRule="atLeast"/>
          <w:jc w:val="center"/>
        </w:trPr>
        <w:tc>
          <w:tcPr>
            <w:tcW w:w="477" w:type="pct"/>
            <w:vAlign w:val="center"/>
          </w:tcPr>
          <w:p w14:paraId="50273779">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B87F214">
            <w:pPr>
              <w:adjustRightInd w:val="0"/>
              <w:snapToGrid w:val="0"/>
              <w:jc w:val="center"/>
              <w:rPr>
                <w:rFonts w:eastAsiaTheme="minorEastAsia"/>
                <w:szCs w:val="21"/>
                <w:highlight w:val="none"/>
              </w:rPr>
            </w:pPr>
            <w:r>
              <w:rPr>
                <w:rFonts w:eastAsiaTheme="minorEastAsia"/>
                <w:szCs w:val="21"/>
                <w:highlight w:val="none"/>
              </w:rPr>
              <w:t>中金传誉凤凰（杭州）股权投资基金合伙企业（有限合伙）</w:t>
            </w:r>
          </w:p>
        </w:tc>
        <w:tc>
          <w:tcPr>
            <w:tcW w:w="1409" w:type="pct"/>
            <w:vAlign w:val="center"/>
          </w:tcPr>
          <w:p w14:paraId="795EA9ED">
            <w:pPr>
              <w:adjustRightInd w:val="0"/>
              <w:snapToGrid w:val="0"/>
              <w:jc w:val="right"/>
              <w:rPr>
                <w:highlight w:val="none"/>
              </w:rPr>
            </w:pPr>
            <w:r>
              <w:rPr>
                <w:color w:val="000000"/>
                <w:sz w:val="22"/>
                <w:szCs w:val="22"/>
                <w:highlight w:val="none"/>
              </w:rPr>
              <w:t>1,339,615</w:t>
            </w:r>
          </w:p>
        </w:tc>
        <w:tc>
          <w:tcPr>
            <w:tcW w:w="1384" w:type="pct"/>
            <w:vAlign w:val="center"/>
          </w:tcPr>
          <w:p w14:paraId="3FA9DFEF">
            <w:pPr>
              <w:adjustRightInd w:val="0"/>
              <w:snapToGrid w:val="0"/>
              <w:jc w:val="right"/>
              <w:rPr>
                <w:highlight w:val="none"/>
              </w:rPr>
            </w:pPr>
            <w:r>
              <w:rPr>
                <w:color w:val="000000"/>
                <w:sz w:val="22"/>
                <w:szCs w:val="22"/>
                <w:highlight w:val="none"/>
              </w:rPr>
              <w:t>3.7643%</w:t>
            </w:r>
          </w:p>
        </w:tc>
      </w:tr>
      <w:tr w14:paraId="6CF24EAD">
        <w:trPr>
          <w:trHeight w:val="454" w:hRule="atLeast"/>
          <w:jc w:val="center"/>
        </w:trPr>
        <w:tc>
          <w:tcPr>
            <w:tcW w:w="477" w:type="pct"/>
            <w:vAlign w:val="center"/>
          </w:tcPr>
          <w:p w14:paraId="0DA8458D">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B80F6DC">
            <w:pPr>
              <w:adjustRightInd w:val="0"/>
              <w:snapToGrid w:val="0"/>
              <w:jc w:val="center"/>
              <w:rPr>
                <w:rFonts w:eastAsiaTheme="minorEastAsia"/>
                <w:szCs w:val="21"/>
                <w:highlight w:val="none"/>
              </w:rPr>
            </w:pPr>
            <w:r>
              <w:rPr>
                <w:rFonts w:eastAsiaTheme="minorEastAsia"/>
                <w:szCs w:val="21"/>
                <w:highlight w:val="none"/>
              </w:rPr>
              <w:t>宁波衔领创业投资合伙企业（有限合伙）</w:t>
            </w:r>
          </w:p>
        </w:tc>
        <w:tc>
          <w:tcPr>
            <w:tcW w:w="1409" w:type="pct"/>
            <w:vAlign w:val="center"/>
          </w:tcPr>
          <w:p w14:paraId="6D8B1815">
            <w:pPr>
              <w:adjustRightInd w:val="0"/>
              <w:snapToGrid w:val="0"/>
              <w:jc w:val="right"/>
              <w:rPr>
                <w:highlight w:val="none"/>
              </w:rPr>
            </w:pPr>
            <w:r>
              <w:rPr>
                <w:color w:val="000000"/>
                <w:sz w:val="22"/>
                <w:szCs w:val="22"/>
                <w:highlight w:val="none"/>
              </w:rPr>
              <w:t>546,247</w:t>
            </w:r>
          </w:p>
        </w:tc>
        <w:tc>
          <w:tcPr>
            <w:tcW w:w="1384" w:type="pct"/>
            <w:vAlign w:val="center"/>
          </w:tcPr>
          <w:p w14:paraId="0C27C662">
            <w:pPr>
              <w:adjustRightInd w:val="0"/>
              <w:snapToGrid w:val="0"/>
              <w:jc w:val="right"/>
              <w:rPr>
                <w:highlight w:val="none"/>
              </w:rPr>
            </w:pPr>
            <w:r>
              <w:rPr>
                <w:color w:val="000000"/>
                <w:sz w:val="22"/>
                <w:szCs w:val="22"/>
                <w:highlight w:val="none"/>
              </w:rPr>
              <w:t>1.5350%</w:t>
            </w:r>
          </w:p>
        </w:tc>
      </w:tr>
      <w:tr w14:paraId="56A3F7EB">
        <w:trPr>
          <w:trHeight w:val="454" w:hRule="atLeast"/>
          <w:jc w:val="center"/>
        </w:trPr>
        <w:tc>
          <w:tcPr>
            <w:tcW w:w="477" w:type="pct"/>
            <w:vAlign w:val="center"/>
          </w:tcPr>
          <w:p w14:paraId="26C14214">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F10BD39">
            <w:pPr>
              <w:adjustRightInd w:val="0"/>
              <w:snapToGrid w:val="0"/>
              <w:jc w:val="center"/>
              <w:rPr>
                <w:rFonts w:eastAsiaTheme="minorEastAsia"/>
                <w:szCs w:val="21"/>
                <w:highlight w:val="none"/>
              </w:rPr>
            </w:pPr>
            <w:r>
              <w:rPr>
                <w:rFonts w:eastAsiaTheme="minorEastAsia"/>
                <w:szCs w:val="21"/>
                <w:highlight w:val="none"/>
              </w:rPr>
              <w:t>宁波领脉创业投资合伙企业（有限合伙）</w:t>
            </w:r>
          </w:p>
        </w:tc>
        <w:tc>
          <w:tcPr>
            <w:tcW w:w="1409" w:type="pct"/>
            <w:vAlign w:val="center"/>
          </w:tcPr>
          <w:p w14:paraId="20382A3F">
            <w:pPr>
              <w:adjustRightInd w:val="0"/>
              <w:snapToGrid w:val="0"/>
              <w:jc w:val="right"/>
              <w:rPr>
                <w:highlight w:val="none"/>
              </w:rPr>
            </w:pPr>
            <w:r>
              <w:rPr>
                <w:color w:val="000000"/>
                <w:sz w:val="22"/>
                <w:szCs w:val="22"/>
                <w:highlight w:val="none"/>
              </w:rPr>
              <w:t>651,132</w:t>
            </w:r>
          </w:p>
        </w:tc>
        <w:tc>
          <w:tcPr>
            <w:tcW w:w="1384" w:type="pct"/>
            <w:vAlign w:val="center"/>
          </w:tcPr>
          <w:p w14:paraId="25B97400">
            <w:pPr>
              <w:adjustRightInd w:val="0"/>
              <w:snapToGrid w:val="0"/>
              <w:jc w:val="right"/>
              <w:rPr>
                <w:highlight w:val="none"/>
              </w:rPr>
            </w:pPr>
            <w:r>
              <w:rPr>
                <w:color w:val="000000"/>
                <w:sz w:val="22"/>
                <w:szCs w:val="22"/>
                <w:highlight w:val="none"/>
              </w:rPr>
              <w:t>1.8297%</w:t>
            </w:r>
          </w:p>
        </w:tc>
      </w:tr>
      <w:tr w14:paraId="25BAE72B">
        <w:trPr>
          <w:trHeight w:val="454" w:hRule="atLeast"/>
          <w:jc w:val="center"/>
        </w:trPr>
        <w:tc>
          <w:tcPr>
            <w:tcW w:w="477" w:type="pct"/>
            <w:vAlign w:val="center"/>
          </w:tcPr>
          <w:p w14:paraId="6B6ADCFE">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DACE851">
            <w:pPr>
              <w:adjustRightInd w:val="0"/>
              <w:snapToGrid w:val="0"/>
              <w:jc w:val="center"/>
              <w:rPr>
                <w:rFonts w:eastAsiaTheme="minorEastAsia"/>
                <w:szCs w:val="21"/>
                <w:highlight w:val="none"/>
              </w:rPr>
            </w:pPr>
            <w:r>
              <w:rPr>
                <w:rFonts w:eastAsiaTheme="minorEastAsia"/>
                <w:szCs w:val="21"/>
                <w:highlight w:val="none"/>
              </w:rPr>
              <w:t>平潭综合实验区沃生慧嘉股权投资合伙企业（有限合伙）</w:t>
            </w:r>
          </w:p>
        </w:tc>
        <w:tc>
          <w:tcPr>
            <w:tcW w:w="1409" w:type="pct"/>
            <w:vAlign w:val="center"/>
          </w:tcPr>
          <w:p w14:paraId="6D5968EE">
            <w:pPr>
              <w:adjustRightInd w:val="0"/>
              <w:snapToGrid w:val="0"/>
              <w:jc w:val="right"/>
              <w:rPr>
                <w:highlight w:val="none"/>
              </w:rPr>
            </w:pPr>
            <w:r>
              <w:rPr>
                <w:color w:val="000000"/>
                <w:sz w:val="22"/>
                <w:szCs w:val="22"/>
                <w:highlight w:val="none"/>
              </w:rPr>
              <w:t>960,506</w:t>
            </w:r>
          </w:p>
        </w:tc>
        <w:tc>
          <w:tcPr>
            <w:tcW w:w="1384" w:type="pct"/>
            <w:vAlign w:val="center"/>
          </w:tcPr>
          <w:p w14:paraId="1A1B55E5">
            <w:pPr>
              <w:adjustRightInd w:val="0"/>
              <w:snapToGrid w:val="0"/>
              <w:jc w:val="right"/>
              <w:rPr>
                <w:highlight w:val="none"/>
              </w:rPr>
            </w:pPr>
            <w:r>
              <w:rPr>
                <w:color w:val="000000"/>
                <w:sz w:val="22"/>
                <w:szCs w:val="22"/>
                <w:highlight w:val="none"/>
              </w:rPr>
              <w:t>2.6990%</w:t>
            </w:r>
          </w:p>
        </w:tc>
      </w:tr>
      <w:tr w14:paraId="39436271">
        <w:trPr>
          <w:trHeight w:val="454" w:hRule="atLeast"/>
          <w:jc w:val="center"/>
        </w:trPr>
        <w:tc>
          <w:tcPr>
            <w:tcW w:w="477" w:type="pct"/>
            <w:vAlign w:val="center"/>
          </w:tcPr>
          <w:p w14:paraId="0E432036">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03764F3">
            <w:pPr>
              <w:adjustRightInd w:val="0"/>
              <w:snapToGrid w:val="0"/>
              <w:jc w:val="center"/>
              <w:rPr>
                <w:rFonts w:eastAsiaTheme="minorEastAsia"/>
                <w:szCs w:val="21"/>
                <w:highlight w:val="none"/>
              </w:rPr>
            </w:pPr>
            <w:r>
              <w:rPr>
                <w:rFonts w:eastAsiaTheme="minorEastAsia"/>
                <w:szCs w:val="21"/>
                <w:highlight w:val="none"/>
              </w:rPr>
              <w:t>上海智鼎博能投资合伙企业（有限合伙）</w:t>
            </w:r>
          </w:p>
        </w:tc>
        <w:tc>
          <w:tcPr>
            <w:tcW w:w="1409" w:type="pct"/>
            <w:vAlign w:val="center"/>
          </w:tcPr>
          <w:p w14:paraId="282893FF">
            <w:pPr>
              <w:adjustRightInd w:val="0"/>
              <w:snapToGrid w:val="0"/>
              <w:jc w:val="right"/>
              <w:rPr>
                <w:highlight w:val="none"/>
              </w:rPr>
            </w:pPr>
            <w:r>
              <w:rPr>
                <w:color w:val="000000"/>
                <w:sz w:val="22"/>
                <w:szCs w:val="22"/>
                <w:highlight w:val="none"/>
              </w:rPr>
              <w:t>690,171</w:t>
            </w:r>
          </w:p>
        </w:tc>
        <w:tc>
          <w:tcPr>
            <w:tcW w:w="1384" w:type="pct"/>
            <w:vAlign w:val="center"/>
          </w:tcPr>
          <w:p w14:paraId="37C26FAF">
            <w:pPr>
              <w:adjustRightInd w:val="0"/>
              <w:snapToGrid w:val="0"/>
              <w:jc w:val="right"/>
              <w:rPr>
                <w:highlight w:val="none"/>
              </w:rPr>
            </w:pPr>
            <w:r>
              <w:rPr>
                <w:color w:val="000000"/>
                <w:sz w:val="22"/>
                <w:szCs w:val="22"/>
                <w:highlight w:val="none"/>
              </w:rPr>
              <w:t>1.9394%</w:t>
            </w:r>
          </w:p>
        </w:tc>
      </w:tr>
      <w:tr w14:paraId="726C6E15">
        <w:trPr>
          <w:trHeight w:val="454" w:hRule="atLeast"/>
          <w:jc w:val="center"/>
        </w:trPr>
        <w:tc>
          <w:tcPr>
            <w:tcW w:w="477" w:type="pct"/>
            <w:vAlign w:val="center"/>
          </w:tcPr>
          <w:p w14:paraId="310B27AB">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13FD96CD">
            <w:pPr>
              <w:adjustRightInd w:val="0"/>
              <w:snapToGrid w:val="0"/>
              <w:jc w:val="center"/>
              <w:rPr>
                <w:rFonts w:eastAsiaTheme="minorEastAsia"/>
                <w:szCs w:val="21"/>
                <w:highlight w:val="none"/>
              </w:rPr>
            </w:pPr>
            <w:r>
              <w:rPr>
                <w:color w:val="000000"/>
                <w:sz w:val="22"/>
                <w:szCs w:val="22"/>
                <w:highlight w:val="none"/>
              </w:rPr>
              <w:t>上海熠建投资管理合伙企业（有限合伙）</w:t>
            </w:r>
          </w:p>
        </w:tc>
        <w:tc>
          <w:tcPr>
            <w:tcW w:w="1409" w:type="pct"/>
            <w:vAlign w:val="center"/>
          </w:tcPr>
          <w:p w14:paraId="028EFB7C">
            <w:pPr>
              <w:adjustRightInd w:val="0"/>
              <w:snapToGrid w:val="0"/>
              <w:jc w:val="right"/>
              <w:rPr>
                <w:highlight w:val="none"/>
              </w:rPr>
            </w:pPr>
            <w:r>
              <w:rPr>
                <w:color w:val="000000"/>
                <w:sz w:val="22"/>
                <w:szCs w:val="22"/>
                <w:highlight w:val="none"/>
              </w:rPr>
              <w:t>602,827</w:t>
            </w:r>
          </w:p>
        </w:tc>
        <w:tc>
          <w:tcPr>
            <w:tcW w:w="1384" w:type="pct"/>
            <w:vAlign w:val="center"/>
          </w:tcPr>
          <w:p w14:paraId="425282B0">
            <w:pPr>
              <w:adjustRightInd w:val="0"/>
              <w:snapToGrid w:val="0"/>
              <w:jc w:val="right"/>
              <w:rPr>
                <w:highlight w:val="none"/>
              </w:rPr>
            </w:pPr>
            <w:r>
              <w:rPr>
                <w:color w:val="000000"/>
                <w:sz w:val="22"/>
                <w:szCs w:val="22"/>
                <w:highlight w:val="none"/>
              </w:rPr>
              <w:t>1.6940%</w:t>
            </w:r>
          </w:p>
        </w:tc>
      </w:tr>
      <w:tr w14:paraId="556D5613">
        <w:trPr>
          <w:trHeight w:val="454" w:hRule="atLeast"/>
          <w:jc w:val="center"/>
        </w:trPr>
        <w:tc>
          <w:tcPr>
            <w:tcW w:w="477" w:type="pct"/>
            <w:vAlign w:val="center"/>
          </w:tcPr>
          <w:p w14:paraId="3A542F57">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AA8DCAB">
            <w:pPr>
              <w:adjustRightInd w:val="0"/>
              <w:snapToGrid w:val="0"/>
              <w:jc w:val="center"/>
              <w:rPr>
                <w:rFonts w:eastAsiaTheme="minorEastAsia"/>
                <w:szCs w:val="21"/>
                <w:highlight w:val="none"/>
              </w:rPr>
            </w:pPr>
            <w:r>
              <w:rPr>
                <w:color w:val="000000"/>
                <w:sz w:val="22"/>
                <w:szCs w:val="22"/>
                <w:highlight w:val="none"/>
              </w:rPr>
              <w:t>杭州泰鲲股权投资基金合伙企业（有限合伙）</w:t>
            </w:r>
          </w:p>
        </w:tc>
        <w:tc>
          <w:tcPr>
            <w:tcW w:w="1409" w:type="pct"/>
            <w:vAlign w:val="center"/>
          </w:tcPr>
          <w:p w14:paraId="4B267193">
            <w:pPr>
              <w:adjustRightInd w:val="0"/>
              <w:snapToGrid w:val="0"/>
              <w:jc w:val="right"/>
              <w:rPr>
                <w:highlight w:val="none"/>
              </w:rPr>
            </w:pPr>
            <w:r>
              <w:rPr>
                <w:color w:val="000000"/>
                <w:sz w:val="22"/>
                <w:szCs w:val="22"/>
                <w:highlight w:val="none"/>
              </w:rPr>
              <w:t>602,827</w:t>
            </w:r>
          </w:p>
        </w:tc>
        <w:tc>
          <w:tcPr>
            <w:tcW w:w="1384" w:type="pct"/>
            <w:vAlign w:val="center"/>
          </w:tcPr>
          <w:p w14:paraId="1CDFEBFF">
            <w:pPr>
              <w:adjustRightInd w:val="0"/>
              <w:snapToGrid w:val="0"/>
              <w:jc w:val="right"/>
              <w:rPr>
                <w:highlight w:val="none"/>
              </w:rPr>
            </w:pPr>
            <w:r>
              <w:rPr>
                <w:color w:val="000000"/>
                <w:sz w:val="22"/>
                <w:szCs w:val="22"/>
                <w:highlight w:val="none"/>
              </w:rPr>
              <w:t>1.6940%</w:t>
            </w:r>
          </w:p>
        </w:tc>
      </w:tr>
      <w:tr w14:paraId="42365774">
        <w:trPr>
          <w:trHeight w:val="454" w:hRule="atLeast"/>
          <w:jc w:val="center"/>
        </w:trPr>
        <w:tc>
          <w:tcPr>
            <w:tcW w:w="477" w:type="pct"/>
            <w:vAlign w:val="center"/>
          </w:tcPr>
          <w:p w14:paraId="546D0454">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54BE507">
            <w:pPr>
              <w:adjustRightInd w:val="0"/>
              <w:snapToGrid w:val="0"/>
              <w:jc w:val="center"/>
              <w:rPr>
                <w:rFonts w:eastAsiaTheme="minorEastAsia"/>
                <w:szCs w:val="21"/>
                <w:highlight w:val="none"/>
              </w:rPr>
            </w:pPr>
            <w:r>
              <w:rPr>
                <w:color w:val="000000"/>
                <w:sz w:val="22"/>
                <w:szCs w:val="22"/>
                <w:highlight w:val="none"/>
              </w:rPr>
              <w:t>上海临港启创生科私募投资基金合伙企业（有限合伙）</w:t>
            </w:r>
          </w:p>
        </w:tc>
        <w:tc>
          <w:tcPr>
            <w:tcW w:w="1409" w:type="pct"/>
            <w:vAlign w:val="center"/>
          </w:tcPr>
          <w:p w14:paraId="7B9E3E91">
            <w:pPr>
              <w:adjustRightInd w:val="0"/>
              <w:snapToGrid w:val="0"/>
              <w:jc w:val="right"/>
              <w:rPr>
                <w:highlight w:val="none"/>
              </w:rPr>
            </w:pPr>
            <w:r>
              <w:rPr>
                <w:color w:val="000000"/>
                <w:sz w:val="22"/>
                <w:szCs w:val="22"/>
                <w:highlight w:val="none"/>
              </w:rPr>
              <w:t>602,827</w:t>
            </w:r>
          </w:p>
        </w:tc>
        <w:tc>
          <w:tcPr>
            <w:tcW w:w="1384" w:type="pct"/>
            <w:vAlign w:val="center"/>
          </w:tcPr>
          <w:p w14:paraId="00D338CA">
            <w:pPr>
              <w:adjustRightInd w:val="0"/>
              <w:snapToGrid w:val="0"/>
              <w:jc w:val="right"/>
              <w:rPr>
                <w:highlight w:val="none"/>
              </w:rPr>
            </w:pPr>
            <w:r>
              <w:rPr>
                <w:color w:val="000000"/>
                <w:sz w:val="22"/>
                <w:szCs w:val="22"/>
                <w:highlight w:val="none"/>
              </w:rPr>
              <w:t>1.6940%</w:t>
            </w:r>
          </w:p>
        </w:tc>
      </w:tr>
      <w:tr w14:paraId="3E2A7DAC">
        <w:trPr>
          <w:trHeight w:val="454" w:hRule="atLeast"/>
          <w:jc w:val="center"/>
        </w:trPr>
        <w:tc>
          <w:tcPr>
            <w:tcW w:w="477" w:type="pct"/>
            <w:vAlign w:val="center"/>
          </w:tcPr>
          <w:p w14:paraId="6970F3F0">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D4B3C38">
            <w:pPr>
              <w:adjustRightInd w:val="0"/>
              <w:snapToGrid w:val="0"/>
              <w:jc w:val="center"/>
              <w:rPr>
                <w:rFonts w:eastAsiaTheme="minorEastAsia"/>
                <w:szCs w:val="21"/>
                <w:highlight w:val="none"/>
              </w:rPr>
            </w:pPr>
            <w:r>
              <w:rPr>
                <w:color w:val="000000"/>
                <w:sz w:val="22"/>
                <w:szCs w:val="22"/>
                <w:highlight w:val="none"/>
              </w:rPr>
              <w:t>重庆建源西证私募股权投资基金合伙企业（有限合伙）</w:t>
            </w:r>
          </w:p>
        </w:tc>
        <w:tc>
          <w:tcPr>
            <w:tcW w:w="1409" w:type="pct"/>
            <w:vAlign w:val="center"/>
          </w:tcPr>
          <w:p w14:paraId="3A51F7C0">
            <w:pPr>
              <w:adjustRightInd w:val="0"/>
              <w:snapToGrid w:val="0"/>
              <w:jc w:val="right"/>
              <w:rPr>
                <w:highlight w:val="none"/>
              </w:rPr>
            </w:pPr>
            <w:r>
              <w:rPr>
                <w:color w:val="000000"/>
                <w:sz w:val="22"/>
                <w:szCs w:val="22"/>
                <w:highlight w:val="none"/>
              </w:rPr>
              <w:t>602,827</w:t>
            </w:r>
          </w:p>
        </w:tc>
        <w:tc>
          <w:tcPr>
            <w:tcW w:w="1384" w:type="pct"/>
            <w:vAlign w:val="center"/>
          </w:tcPr>
          <w:p w14:paraId="759A5E8F">
            <w:pPr>
              <w:adjustRightInd w:val="0"/>
              <w:snapToGrid w:val="0"/>
              <w:jc w:val="right"/>
              <w:rPr>
                <w:highlight w:val="none"/>
              </w:rPr>
            </w:pPr>
            <w:r>
              <w:rPr>
                <w:color w:val="000000"/>
                <w:sz w:val="22"/>
                <w:szCs w:val="22"/>
                <w:highlight w:val="none"/>
              </w:rPr>
              <w:t>1.6940%</w:t>
            </w:r>
          </w:p>
        </w:tc>
      </w:tr>
      <w:tr w14:paraId="71B4A4D0">
        <w:trPr>
          <w:trHeight w:val="454" w:hRule="atLeast"/>
          <w:jc w:val="center"/>
        </w:trPr>
        <w:tc>
          <w:tcPr>
            <w:tcW w:w="477" w:type="pct"/>
            <w:vAlign w:val="center"/>
          </w:tcPr>
          <w:p w14:paraId="518188DC">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16C4BBE">
            <w:pPr>
              <w:adjustRightInd w:val="0"/>
              <w:snapToGrid w:val="0"/>
              <w:jc w:val="center"/>
              <w:rPr>
                <w:rFonts w:eastAsiaTheme="minorEastAsia"/>
                <w:szCs w:val="21"/>
                <w:highlight w:val="none"/>
              </w:rPr>
            </w:pPr>
            <w:r>
              <w:rPr>
                <w:color w:val="000000"/>
                <w:sz w:val="22"/>
                <w:szCs w:val="22"/>
                <w:highlight w:val="none"/>
              </w:rPr>
              <w:t>杭州禾合园区引领股权投资合伙企业（有限合伙）</w:t>
            </w:r>
          </w:p>
        </w:tc>
        <w:tc>
          <w:tcPr>
            <w:tcW w:w="1409" w:type="pct"/>
            <w:vAlign w:val="center"/>
          </w:tcPr>
          <w:p w14:paraId="62A2A079">
            <w:pPr>
              <w:adjustRightInd w:val="0"/>
              <w:snapToGrid w:val="0"/>
              <w:jc w:val="right"/>
              <w:rPr>
                <w:highlight w:val="none"/>
              </w:rPr>
            </w:pPr>
            <w:r>
              <w:rPr>
                <w:color w:val="000000"/>
                <w:sz w:val="22"/>
                <w:szCs w:val="22"/>
                <w:highlight w:val="none"/>
              </w:rPr>
              <w:t>401,885</w:t>
            </w:r>
          </w:p>
        </w:tc>
        <w:tc>
          <w:tcPr>
            <w:tcW w:w="1384" w:type="pct"/>
            <w:vAlign w:val="center"/>
          </w:tcPr>
          <w:p w14:paraId="13F323E4">
            <w:pPr>
              <w:adjustRightInd w:val="0"/>
              <w:snapToGrid w:val="0"/>
              <w:jc w:val="right"/>
              <w:rPr>
                <w:highlight w:val="none"/>
              </w:rPr>
            </w:pPr>
            <w:r>
              <w:rPr>
                <w:color w:val="000000"/>
                <w:sz w:val="22"/>
                <w:szCs w:val="22"/>
                <w:highlight w:val="none"/>
              </w:rPr>
              <w:t>1.1293%</w:t>
            </w:r>
          </w:p>
        </w:tc>
      </w:tr>
      <w:tr w14:paraId="6CD49191">
        <w:trPr>
          <w:trHeight w:val="454" w:hRule="atLeast"/>
          <w:jc w:val="center"/>
        </w:trPr>
        <w:tc>
          <w:tcPr>
            <w:tcW w:w="477" w:type="pct"/>
            <w:vAlign w:val="center"/>
          </w:tcPr>
          <w:p w14:paraId="20DE01D5">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FF90E95">
            <w:pPr>
              <w:adjustRightInd w:val="0"/>
              <w:snapToGrid w:val="0"/>
              <w:jc w:val="center"/>
              <w:rPr>
                <w:rFonts w:eastAsiaTheme="minorEastAsia"/>
                <w:szCs w:val="21"/>
                <w:highlight w:val="none"/>
              </w:rPr>
            </w:pPr>
            <w:r>
              <w:rPr>
                <w:color w:val="000000"/>
                <w:sz w:val="22"/>
                <w:szCs w:val="22"/>
                <w:highlight w:val="none"/>
              </w:rPr>
              <w:t>重庆渝富高精尖产业私募股权投资基金合伙企业（有限合伙）</w:t>
            </w:r>
          </w:p>
        </w:tc>
        <w:tc>
          <w:tcPr>
            <w:tcW w:w="1409" w:type="pct"/>
            <w:vAlign w:val="center"/>
          </w:tcPr>
          <w:p w14:paraId="10B171E7">
            <w:pPr>
              <w:adjustRightInd w:val="0"/>
              <w:snapToGrid w:val="0"/>
              <w:jc w:val="right"/>
              <w:rPr>
                <w:highlight w:val="none"/>
              </w:rPr>
            </w:pPr>
            <w:r>
              <w:rPr>
                <w:color w:val="000000"/>
                <w:sz w:val="22"/>
                <w:szCs w:val="22"/>
                <w:highlight w:val="none"/>
              </w:rPr>
              <w:t>401,885</w:t>
            </w:r>
          </w:p>
        </w:tc>
        <w:tc>
          <w:tcPr>
            <w:tcW w:w="1384" w:type="pct"/>
            <w:vAlign w:val="center"/>
          </w:tcPr>
          <w:p w14:paraId="026B637E">
            <w:pPr>
              <w:adjustRightInd w:val="0"/>
              <w:snapToGrid w:val="0"/>
              <w:jc w:val="right"/>
              <w:rPr>
                <w:highlight w:val="none"/>
              </w:rPr>
            </w:pPr>
            <w:r>
              <w:rPr>
                <w:color w:val="000000"/>
                <w:sz w:val="22"/>
                <w:szCs w:val="22"/>
                <w:highlight w:val="none"/>
              </w:rPr>
              <w:t>1.1293%</w:t>
            </w:r>
          </w:p>
        </w:tc>
      </w:tr>
      <w:tr w14:paraId="3AC336EA">
        <w:trPr>
          <w:trHeight w:val="454" w:hRule="atLeast"/>
          <w:jc w:val="center"/>
        </w:trPr>
        <w:tc>
          <w:tcPr>
            <w:tcW w:w="477" w:type="pct"/>
            <w:vAlign w:val="center"/>
          </w:tcPr>
          <w:p w14:paraId="6D6B46B1">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783D45C">
            <w:pPr>
              <w:adjustRightInd w:val="0"/>
              <w:snapToGrid w:val="0"/>
              <w:jc w:val="center"/>
              <w:rPr>
                <w:rFonts w:eastAsiaTheme="minorEastAsia"/>
                <w:szCs w:val="21"/>
                <w:highlight w:val="none"/>
              </w:rPr>
            </w:pPr>
            <w:r>
              <w:rPr>
                <w:rFonts w:eastAsiaTheme="minorEastAsia"/>
                <w:szCs w:val="21"/>
                <w:highlight w:val="none"/>
              </w:rPr>
              <w:t>和瑞创业投资基金管理（深圳）有限公司</w:t>
            </w:r>
          </w:p>
        </w:tc>
        <w:tc>
          <w:tcPr>
            <w:tcW w:w="1409" w:type="pct"/>
            <w:vAlign w:val="center"/>
          </w:tcPr>
          <w:p w14:paraId="2776A22B">
            <w:pPr>
              <w:adjustRightInd w:val="0"/>
              <w:snapToGrid w:val="0"/>
              <w:jc w:val="right"/>
              <w:rPr>
                <w:highlight w:val="none"/>
              </w:rPr>
            </w:pPr>
            <w:r>
              <w:rPr>
                <w:color w:val="000000"/>
                <w:sz w:val="22"/>
                <w:szCs w:val="22"/>
                <w:highlight w:val="none"/>
              </w:rPr>
              <w:t>144,679</w:t>
            </w:r>
          </w:p>
        </w:tc>
        <w:tc>
          <w:tcPr>
            <w:tcW w:w="1384" w:type="pct"/>
            <w:vAlign w:val="center"/>
          </w:tcPr>
          <w:p w14:paraId="0D380FCF">
            <w:pPr>
              <w:adjustRightInd w:val="0"/>
              <w:snapToGrid w:val="0"/>
              <w:jc w:val="right"/>
              <w:rPr>
                <w:highlight w:val="none"/>
              </w:rPr>
            </w:pPr>
            <w:r>
              <w:rPr>
                <w:color w:val="000000"/>
                <w:sz w:val="22"/>
                <w:szCs w:val="22"/>
                <w:highlight w:val="none"/>
              </w:rPr>
              <w:t>0.4066%</w:t>
            </w:r>
          </w:p>
        </w:tc>
      </w:tr>
      <w:tr w14:paraId="4AD33CBB">
        <w:trPr>
          <w:trHeight w:val="454" w:hRule="atLeast"/>
          <w:jc w:val="center"/>
        </w:trPr>
        <w:tc>
          <w:tcPr>
            <w:tcW w:w="477" w:type="pct"/>
            <w:vAlign w:val="center"/>
          </w:tcPr>
          <w:p w14:paraId="38646069">
            <w:pPr>
              <w:adjustRightInd w:val="0"/>
              <w:snapToGrid w:val="0"/>
              <w:rPr>
                <w:rFonts w:eastAsiaTheme="minorEastAsia"/>
                <w:b/>
                <w:szCs w:val="21"/>
              </w:rPr>
            </w:pPr>
            <w:r>
              <w:rPr>
                <w:rFonts w:eastAsiaTheme="minorEastAsia"/>
                <w:b/>
                <w:szCs w:val="21"/>
              </w:rPr>
              <w:t>合计</w:t>
            </w:r>
          </w:p>
        </w:tc>
        <w:tc>
          <w:tcPr>
            <w:tcW w:w="1730" w:type="pct"/>
            <w:vAlign w:val="center"/>
          </w:tcPr>
          <w:p w14:paraId="7DD37D2C">
            <w:pPr>
              <w:adjustRightInd w:val="0"/>
              <w:snapToGrid w:val="0"/>
              <w:rPr>
                <w:rFonts w:eastAsiaTheme="minorEastAsia"/>
                <w:b/>
                <w:szCs w:val="21"/>
              </w:rPr>
            </w:pPr>
          </w:p>
        </w:tc>
        <w:tc>
          <w:tcPr>
            <w:tcW w:w="1409" w:type="pct"/>
            <w:vAlign w:val="center"/>
          </w:tcPr>
          <w:p w14:paraId="357609CE">
            <w:pPr>
              <w:adjustRightInd w:val="0"/>
              <w:snapToGrid w:val="0"/>
              <w:jc w:val="right"/>
              <w:rPr>
                <w:rFonts w:eastAsiaTheme="minorEastAsia"/>
                <w:b/>
                <w:bCs/>
                <w:szCs w:val="21"/>
              </w:rPr>
            </w:pPr>
            <w:r>
              <w:rPr>
                <w:rFonts w:eastAsiaTheme="minorEastAsia"/>
                <w:b/>
                <w:bCs/>
                <w:szCs w:val="21"/>
              </w:rPr>
              <w:fldChar w:fldCharType="begin"/>
            </w:r>
            <w:r>
              <w:rPr>
                <w:rFonts w:eastAsiaTheme="minorEastAsia"/>
                <w:b/>
                <w:bCs/>
                <w:szCs w:val="21"/>
              </w:rPr>
              <w:instrText xml:space="preserve"> =SUM(ABOVE) </w:instrText>
            </w:r>
            <w:r>
              <w:rPr>
                <w:rFonts w:eastAsiaTheme="minorEastAsia"/>
                <w:b/>
                <w:bCs/>
                <w:szCs w:val="21"/>
              </w:rPr>
              <w:fldChar w:fldCharType="separate"/>
            </w:r>
            <w:r>
              <w:rPr>
                <w:rFonts w:eastAsiaTheme="minorEastAsia"/>
                <w:b/>
                <w:bCs/>
                <w:szCs w:val="21"/>
              </w:rPr>
              <w:t>35,586,901</w:t>
            </w:r>
            <w:r>
              <w:rPr>
                <w:rFonts w:eastAsiaTheme="minorEastAsia"/>
                <w:b/>
                <w:bCs/>
                <w:szCs w:val="21"/>
              </w:rPr>
              <w:fldChar w:fldCharType="end"/>
            </w:r>
          </w:p>
        </w:tc>
        <w:tc>
          <w:tcPr>
            <w:tcW w:w="1384" w:type="pct"/>
            <w:vAlign w:val="center"/>
          </w:tcPr>
          <w:p w14:paraId="0C62F164">
            <w:pPr>
              <w:adjustRightInd w:val="0"/>
              <w:snapToGrid w:val="0"/>
              <w:jc w:val="right"/>
              <w:rPr>
                <w:rFonts w:eastAsiaTheme="minorEastAsia"/>
                <w:b/>
                <w:szCs w:val="21"/>
              </w:rPr>
            </w:pPr>
            <w:r>
              <w:rPr>
                <w:b/>
                <w:szCs w:val="21"/>
              </w:rPr>
              <w:fldChar w:fldCharType="begin"/>
            </w:r>
            <w:r>
              <w:rPr>
                <w:b/>
                <w:szCs w:val="21"/>
              </w:rPr>
              <w:instrText xml:space="preserve"> =SUM(ABOVE)*100 \# "0.00%" </w:instrText>
            </w:r>
            <w:r>
              <w:rPr>
                <w:b/>
                <w:szCs w:val="21"/>
              </w:rPr>
              <w:fldChar w:fldCharType="separate"/>
            </w:r>
            <w:r>
              <w:rPr>
                <w:b/>
                <w:szCs w:val="21"/>
              </w:rPr>
              <w:t>100.00%</w:t>
            </w:r>
            <w:r>
              <w:rPr>
                <w:b/>
                <w:szCs w:val="21"/>
              </w:rPr>
              <w:fldChar w:fldCharType="end"/>
            </w:r>
          </w:p>
        </w:tc>
      </w:tr>
    </w:tbl>
    <w:p w14:paraId="1DD2D341">
      <w:pPr>
        <w:pStyle w:val="91"/>
        <w:ind w:left="0" w:leftChars="0" w:firstLine="0" w:firstLineChars="0"/>
        <w:rPr>
          <w:rFonts w:hint="eastAsia" w:ascii="仿宋" w:hAnsi="仿宋" w:eastAsia="仿宋"/>
          <w:color w:val="auto"/>
          <w:sz w:val="21"/>
          <w:szCs w:val="21"/>
          <w:lang w:val="en-US" w:eastAsia="zh-CN"/>
        </w:rPr>
      </w:pPr>
      <w:r>
        <w:rPr>
          <w:rFonts w:hint="eastAsia" w:ascii="仿宋" w:hAnsi="仿宋" w:eastAsia="仿宋"/>
          <w:color w:val="auto"/>
          <w:sz w:val="21"/>
          <w:szCs w:val="21"/>
        </w:rPr>
        <w:t>数据来源：公司</w:t>
      </w:r>
      <w:r>
        <w:rPr>
          <w:rFonts w:hint="eastAsia" w:ascii="仿宋" w:hAnsi="仿宋" w:eastAsia="仿宋"/>
          <w:color w:val="auto"/>
          <w:sz w:val="21"/>
          <w:szCs w:val="21"/>
          <w:lang w:val="en-US" w:eastAsia="zh-CN"/>
        </w:rPr>
        <w:t>提供</w:t>
      </w:r>
    </w:p>
    <w:p w14:paraId="617FFD19">
      <w:pPr>
        <w:pStyle w:val="86"/>
        <w:rPr>
          <w:color w:val="000000" w:themeColor="text1"/>
          <w14:textFill>
            <w14:solidFill>
              <w14:schemeClr w14:val="tx1"/>
            </w14:solidFill>
          </w14:textFill>
        </w:rPr>
      </w:pPr>
      <w:bookmarkStart w:id="8" w:name="_Toc1555831525"/>
      <w:r>
        <w:rPr>
          <w:rFonts w:hint="eastAsia"/>
          <w:color w:val="000000" w:themeColor="text1"/>
          <w14:textFill>
            <w14:solidFill>
              <w14:schemeClr w14:val="tx1"/>
            </w14:solidFill>
          </w14:textFill>
        </w:rPr>
        <w:t>公司历史沿革</w:t>
      </w:r>
      <w:bookmarkEnd w:id="8"/>
    </w:p>
    <w:p w14:paraId="061D8838">
      <w:pPr>
        <w:pStyle w:val="88"/>
        <w:rPr>
          <w:color w:val="000000" w:themeColor="text1"/>
          <w14:textFill>
            <w14:solidFill>
              <w14:schemeClr w14:val="tx1"/>
            </w14:solidFill>
          </w14:textFill>
        </w:rPr>
      </w:pPr>
      <w:bookmarkStart w:id="9" w:name="_Toc1099554803"/>
      <w:r>
        <w:rPr>
          <w:rFonts w:hint="eastAsia"/>
          <w:color w:val="000000" w:themeColor="text1"/>
          <w14:textFill>
            <w14:solidFill>
              <w14:schemeClr w14:val="tx1"/>
            </w14:solidFill>
          </w14:textFill>
        </w:rPr>
        <w:t>公司设立(202</w:t>
      </w:r>
      <w:r>
        <w:rPr>
          <w:color w:val="000000" w:themeColor="text1"/>
          <w14:textFill>
            <w14:solidFill>
              <w14:schemeClr w14:val="tx1"/>
            </w14:solidFill>
          </w14:textFill>
        </w:rPr>
        <w:t>0</w:t>
      </w:r>
      <w:r>
        <w:rPr>
          <w:rFonts w:hint="eastAsia"/>
          <w:color w:val="000000" w:themeColor="text1"/>
          <w14:textFill>
            <w14:solidFill>
              <w14:schemeClr w14:val="tx1"/>
            </w14:solidFill>
          </w14:textFill>
        </w:rPr>
        <w:t>年4月8日)</w:t>
      </w:r>
      <w:bookmarkEnd w:id="9"/>
    </w:p>
    <w:p w14:paraId="30743259">
      <w:pPr>
        <w:pStyle w:val="91"/>
        <w:rPr>
          <w:color w:val="000000" w:themeColor="text1"/>
          <w14:textFill>
            <w14:solidFill>
              <w14:schemeClr w14:val="tx1"/>
            </w14:solidFill>
          </w14:textFill>
        </w:rPr>
      </w:pPr>
      <w:r>
        <w:rPr>
          <w:color w:val="000000" w:themeColor="text1"/>
          <w14:textFill>
            <w14:solidFill>
              <w14:schemeClr w14:val="tx1"/>
            </w14:solidFill>
          </w14:textFill>
        </w:rPr>
        <w:t>2020年04月08日，公司设立。本次为创始股东出资设立，无外部投资方。公司的注册资本为500万元人民币。</w:t>
      </w:r>
    </w:p>
    <w:p w14:paraId="261989FD">
      <w:pPr>
        <w:pStyle w:val="91"/>
        <w:rPr>
          <w:color w:val="000000" w:themeColor="text1"/>
          <w14:textFill>
            <w14:solidFill>
              <w14:schemeClr w14:val="tx1"/>
            </w14:solidFill>
          </w14:textFill>
        </w:rPr>
      </w:pPr>
      <w:r>
        <w:rPr>
          <w:color w:val="000000" w:themeColor="text1"/>
          <w14:textFill>
            <w14:solidFill>
              <w14:schemeClr w14:val="tx1"/>
            </w14:solidFill>
          </w14:textFill>
        </w:rPr>
        <w:t>本次工商设立完成后，公司的股权架构如下表所示：</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5A5E8353">
        <w:trPr>
          <w:jc w:val="center"/>
        </w:trPr>
        <w:tc>
          <w:tcPr>
            <w:tcW w:w="2767" w:type="dxa"/>
          </w:tcPr>
          <w:p w14:paraId="59A9C682">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6131557F">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3CA9D509">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59E8EAC6">
        <w:trPr>
          <w:jc w:val="center"/>
        </w:trPr>
        <w:tc>
          <w:tcPr>
            <w:tcW w:w="2767" w:type="dxa"/>
          </w:tcPr>
          <w:p w14:paraId="76E0E4CF">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曹鹏</w:t>
            </w:r>
          </w:p>
        </w:tc>
        <w:tc>
          <w:tcPr>
            <w:tcW w:w="2767" w:type="dxa"/>
          </w:tcPr>
          <w:p w14:paraId="2CB6DB5A">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155.00</w:t>
            </w:r>
          </w:p>
        </w:tc>
        <w:tc>
          <w:tcPr>
            <w:tcW w:w="2768" w:type="dxa"/>
          </w:tcPr>
          <w:p w14:paraId="7E09D2CC">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31.00%</w:t>
            </w:r>
          </w:p>
        </w:tc>
      </w:tr>
      <w:tr w14:paraId="6956BA4D">
        <w:trPr>
          <w:jc w:val="center"/>
        </w:trPr>
        <w:tc>
          <w:tcPr>
            <w:tcW w:w="2767" w:type="dxa"/>
          </w:tcPr>
          <w:p w14:paraId="578381C6">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上海锦嵘</w:t>
            </w:r>
          </w:p>
        </w:tc>
        <w:tc>
          <w:tcPr>
            <w:tcW w:w="2767" w:type="dxa"/>
          </w:tcPr>
          <w:p w14:paraId="6B166C95">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245.00</w:t>
            </w:r>
          </w:p>
        </w:tc>
        <w:tc>
          <w:tcPr>
            <w:tcW w:w="2768" w:type="dxa"/>
          </w:tcPr>
          <w:p w14:paraId="5650804C">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49.00%</w:t>
            </w:r>
          </w:p>
        </w:tc>
      </w:tr>
      <w:tr w14:paraId="1FDAE917">
        <w:trPr>
          <w:jc w:val="center"/>
        </w:trPr>
        <w:tc>
          <w:tcPr>
            <w:tcW w:w="2767" w:type="dxa"/>
          </w:tcPr>
          <w:p w14:paraId="3F35FBE2">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上海裕荣惠华</w:t>
            </w:r>
          </w:p>
        </w:tc>
        <w:tc>
          <w:tcPr>
            <w:tcW w:w="2767" w:type="dxa"/>
          </w:tcPr>
          <w:p w14:paraId="150CD3C3">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100.00</w:t>
            </w:r>
          </w:p>
        </w:tc>
        <w:tc>
          <w:tcPr>
            <w:tcW w:w="2768" w:type="dxa"/>
          </w:tcPr>
          <w:p w14:paraId="28249E55">
            <w:pPr>
              <w:pStyle w:val="91"/>
              <w:ind w:firstLine="0" w:firstLineChars="0"/>
              <w:jc w:val="center"/>
              <w:rPr>
                <w:rFonts w:cstheme="minorBidi"/>
                <w:color w:val="000000" w:themeColor="text1"/>
                <w14:textFill>
                  <w14:solidFill>
                    <w14:schemeClr w14:val="tx1"/>
                  </w14:solidFill>
                </w14:textFill>
              </w:rPr>
            </w:pPr>
            <w:r>
              <w:rPr>
                <w:rFonts w:cstheme="minorBidi"/>
                <w:color w:val="000000" w:themeColor="text1"/>
                <w14:textFill>
                  <w14:solidFill>
                    <w14:schemeClr w14:val="tx1"/>
                  </w14:solidFill>
                </w14:textFill>
              </w:rPr>
              <w:t>20.00%</w:t>
            </w:r>
          </w:p>
        </w:tc>
      </w:tr>
      <w:tr w14:paraId="282E3E3E">
        <w:trPr>
          <w:jc w:val="center"/>
        </w:trPr>
        <w:tc>
          <w:tcPr>
            <w:tcW w:w="2767" w:type="dxa"/>
          </w:tcPr>
          <w:p w14:paraId="2C2CD267">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合计</w:t>
            </w:r>
          </w:p>
        </w:tc>
        <w:tc>
          <w:tcPr>
            <w:tcW w:w="2767" w:type="dxa"/>
          </w:tcPr>
          <w:p w14:paraId="4E9071FD">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500.00</w:t>
            </w:r>
          </w:p>
        </w:tc>
        <w:tc>
          <w:tcPr>
            <w:tcW w:w="2768" w:type="dxa"/>
          </w:tcPr>
          <w:p w14:paraId="1671D612">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100.00%</w:t>
            </w:r>
          </w:p>
        </w:tc>
      </w:tr>
    </w:tbl>
    <w:p w14:paraId="2B6B494A">
      <w:pPr>
        <w:pStyle w:val="88"/>
        <w:rPr>
          <w:color w:val="000000" w:themeColor="text1"/>
          <w14:textFill>
            <w14:solidFill>
              <w14:schemeClr w14:val="tx1"/>
            </w14:solidFill>
          </w14:textFill>
        </w:rPr>
      </w:pPr>
      <w:bookmarkStart w:id="10" w:name="_Toc1120791586"/>
      <w:r>
        <w:rPr>
          <w:rFonts w:hint="eastAsia"/>
          <w:color w:val="000000" w:themeColor="text1"/>
          <w14:textFill>
            <w14:solidFill>
              <w14:schemeClr w14:val="tx1"/>
            </w14:solidFill>
          </w14:textFill>
        </w:rPr>
        <w:t>种子轮融资(2020年6月)</w:t>
      </w:r>
      <w:bookmarkEnd w:id="10"/>
    </w:p>
    <w:p w14:paraId="38BB9E34">
      <w:pPr>
        <w:pStyle w:val="91"/>
        <w:rPr>
          <w:color w:val="000000" w:themeColor="text1"/>
          <w14:textFill>
            <w14:solidFill>
              <w14:schemeClr w14:val="tx1"/>
            </w14:solidFill>
          </w14:textFill>
        </w:rPr>
      </w:pPr>
      <w:r>
        <w:rPr>
          <w:color w:val="000000" w:themeColor="text1"/>
          <w14:textFill>
            <w14:solidFill>
              <w14:schemeClr w14:val="tx1"/>
            </w14:solidFill>
          </w14:textFill>
        </w:rPr>
        <w:t>2020年06月，公司完成了种子轮融资。本轮融资引入了首个外部投资方——绍兴海邦人才基金、张丁。本次增资</w:t>
      </w:r>
      <w:r>
        <w:rPr>
          <w:rFonts w:hint="eastAsia"/>
          <w:color w:val="000000" w:themeColor="text1"/>
          <w:lang w:val="en-US" w:eastAsia="zh-CN"/>
          <w14:textFill>
            <w14:solidFill>
              <w14:schemeClr w14:val="tx1"/>
            </w14:solidFill>
          </w14:textFill>
        </w:rPr>
        <w:t>3500</w:t>
      </w:r>
      <w:r>
        <w:rPr>
          <w:color w:val="000000" w:themeColor="text1"/>
          <w14:textFill>
            <w14:solidFill>
              <w14:schemeClr w14:val="tx1"/>
            </w14:solidFill>
          </w14:textFill>
        </w:rPr>
        <w:t>万元人民币，公司的注册资本由设立时的500万元人民币增加至558.33万元人民币。</w:t>
      </w:r>
    </w:p>
    <w:p w14:paraId="41C797F6">
      <w:pPr>
        <w:pStyle w:val="91"/>
        <w:rPr>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4573B699">
        <w:tc>
          <w:tcPr>
            <w:tcW w:w="2767" w:type="dxa"/>
          </w:tcPr>
          <w:p w14:paraId="7C71EBB8">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396CFA10">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24C21A32">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0E08D2F2">
        <w:tc>
          <w:tcPr>
            <w:tcW w:w="2767" w:type="dxa"/>
          </w:tcPr>
          <w:p w14:paraId="0330DB8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0462C2F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155.00</w:t>
            </w:r>
          </w:p>
        </w:tc>
        <w:tc>
          <w:tcPr>
            <w:tcW w:w="2768" w:type="dxa"/>
          </w:tcPr>
          <w:p w14:paraId="5BDED11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27.76%</w:t>
            </w:r>
          </w:p>
        </w:tc>
      </w:tr>
      <w:tr w14:paraId="0B841334">
        <w:tc>
          <w:tcPr>
            <w:tcW w:w="2767" w:type="dxa"/>
          </w:tcPr>
          <w:p w14:paraId="03914D7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上海锦嵘</w:t>
            </w:r>
          </w:p>
        </w:tc>
        <w:tc>
          <w:tcPr>
            <w:tcW w:w="2767" w:type="dxa"/>
          </w:tcPr>
          <w:p w14:paraId="7855362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245.00</w:t>
            </w:r>
          </w:p>
        </w:tc>
        <w:tc>
          <w:tcPr>
            <w:tcW w:w="2768" w:type="dxa"/>
          </w:tcPr>
          <w:p w14:paraId="780C50C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43.88%</w:t>
            </w:r>
          </w:p>
        </w:tc>
      </w:tr>
      <w:tr w14:paraId="6630776E">
        <w:tc>
          <w:tcPr>
            <w:tcW w:w="2767" w:type="dxa"/>
          </w:tcPr>
          <w:p w14:paraId="64E15FD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上海裕荣惠华</w:t>
            </w:r>
          </w:p>
        </w:tc>
        <w:tc>
          <w:tcPr>
            <w:tcW w:w="2767" w:type="dxa"/>
          </w:tcPr>
          <w:p w14:paraId="3525E26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100.00</w:t>
            </w:r>
          </w:p>
        </w:tc>
        <w:tc>
          <w:tcPr>
            <w:tcW w:w="2768" w:type="dxa"/>
          </w:tcPr>
          <w:p w14:paraId="096AEDC6">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17.91%</w:t>
            </w:r>
          </w:p>
        </w:tc>
      </w:tr>
      <w:tr w14:paraId="1FEC3D01">
        <w:tc>
          <w:tcPr>
            <w:tcW w:w="2767" w:type="dxa"/>
          </w:tcPr>
          <w:p w14:paraId="2EF9CC0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绍兴海邦人才</w:t>
            </w:r>
          </w:p>
        </w:tc>
        <w:tc>
          <w:tcPr>
            <w:tcW w:w="2767" w:type="dxa"/>
          </w:tcPr>
          <w:p w14:paraId="4015CF2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50.00</w:t>
            </w:r>
          </w:p>
        </w:tc>
        <w:tc>
          <w:tcPr>
            <w:tcW w:w="2768" w:type="dxa"/>
          </w:tcPr>
          <w:p w14:paraId="1FB939D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8.96%</w:t>
            </w:r>
          </w:p>
        </w:tc>
      </w:tr>
      <w:tr w14:paraId="514149F2">
        <w:tc>
          <w:tcPr>
            <w:tcW w:w="2767" w:type="dxa"/>
          </w:tcPr>
          <w:p w14:paraId="44ED11A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张丁</w:t>
            </w:r>
          </w:p>
        </w:tc>
        <w:tc>
          <w:tcPr>
            <w:tcW w:w="2767" w:type="dxa"/>
          </w:tcPr>
          <w:p w14:paraId="55CBEA2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8.33</w:t>
            </w:r>
          </w:p>
        </w:tc>
        <w:tc>
          <w:tcPr>
            <w:tcW w:w="2768" w:type="dxa"/>
          </w:tcPr>
          <w:p w14:paraId="0AE3690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1.49%</w:t>
            </w:r>
          </w:p>
        </w:tc>
      </w:tr>
      <w:tr w14:paraId="392D83CF">
        <w:tc>
          <w:tcPr>
            <w:tcW w:w="2767" w:type="dxa"/>
          </w:tcPr>
          <w:p w14:paraId="6C62A122">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合计</w:t>
            </w:r>
          </w:p>
        </w:tc>
        <w:tc>
          <w:tcPr>
            <w:tcW w:w="2767" w:type="dxa"/>
          </w:tcPr>
          <w:p w14:paraId="1ECC7DF4">
            <w:pPr>
              <w:pStyle w:val="91"/>
              <w:ind w:firstLine="0" w:firstLineChars="0"/>
              <w:jc w:val="center"/>
              <w:rPr>
                <w:rFonts w:hint="eastAsia"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5</w:t>
            </w:r>
            <w:r>
              <w:rPr>
                <w:rFonts w:hint="eastAsia" w:cstheme="minorBidi"/>
                <w:b/>
                <w:bCs/>
                <w:color w:val="000000" w:themeColor="text1"/>
                <w14:textFill>
                  <w14:solidFill>
                    <w14:schemeClr w14:val="tx1"/>
                  </w14:solidFill>
                </w14:textFill>
              </w:rPr>
              <w:t>58</w:t>
            </w:r>
            <w:r>
              <w:rPr>
                <w:rFonts w:cstheme="minorBidi"/>
                <w:b/>
                <w:bCs/>
                <w:color w:val="000000" w:themeColor="text1"/>
                <w14:textFill>
                  <w14:solidFill>
                    <w14:schemeClr w14:val="tx1"/>
                  </w14:solidFill>
                </w14:textFill>
              </w:rPr>
              <w:t>.</w:t>
            </w:r>
            <w:r>
              <w:rPr>
                <w:rFonts w:hint="eastAsia" w:cstheme="minorBidi"/>
                <w:b/>
                <w:bCs/>
                <w:color w:val="000000" w:themeColor="text1"/>
                <w14:textFill>
                  <w14:solidFill>
                    <w14:schemeClr w14:val="tx1"/>
                  </w14:solidFill>
                </w14:textFill>
              </w:rPr>
              <w:t>33</w:t>
            </w:r>
          </w:p>
        </w:tc>
        <w:tc>
          <w:tcPr>
            <w:tcW w:w="2768" w:type="dxa"/>
          </w:tcPr>
          <w:p w14:paraId="2608C2FF">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100.00%</w:t>
            </w:r>
          </w:p>
        </w:tc>
      </w:tr>
    </w:tbl>
    <w:p w14:paraId="55E8B0AC">
      <w:pPr>
        <w:pStyle w:val="88"/>
        <w:rPr>
          <w:color w:val="000000" w:themeColor="text1"/>
          <w14:textFill>
            <w14:solidFill>
              <w14:schemeClr w14:val="tx1"/>
            </w14:solidFill>
          </w14:textFill>
        </w:rPr>
      </w:pPr>
      <w:bookmarkStart w:id="11" w:name="_Toc1565118065"/>
      <w:r>
        <w:rPr>
          <w:rFonts w:hint="eastAsia"/>
          <w:color w:val="000000" w:themeColor="text1"/>
          <w14:textFill>
            <w14:solidFill>
              <w14:schemeClr w14:val="tx1"/>
            </w14:solidFill>
          </w14:textFill>
        </w:rPr>
        <w:t>天使</w:t>
      </w:r>
      <w:r>
        <w:rPr>
          <w:color w:val="000000" w:themeColor="text1"/>
          <w14:textFill>
            <w14:solidFill>
              <w14:schemeClr w14:val="tx1"/>
            </w14:solidFill>
          </w14:textFill>
        </w:rPr>
        <w:t>轮融资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202</w:t>
      </w:r>
      <w:r>
        <w:rPr>
          <w:rFonts w:hint="eastAsia"/>
          <w:color w:val="000000" w:themeColor="text1"/>
          <w14:textFill>
            <w14:solidFill>
              <w14:schemeClr w14:val="tx1"/>
            </w14:solidFill>
          </w14:textFill>
        </w:rPr>
        <w:t>0</w:t>
      </w:r>
      <w:r>
        <w:rPr>
          <w:color w:val="000000" w:themeColor="text1"/>
          <w14:textFill>
            <w14:solidFill>
              <w14:schemeClr w14:val="tx1"/>
            </w14:solidFill>
          </w14:textFill>
        </w:rPr>
        <w:t>年1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月</w:t>
      </w:r>
      <w:r>
        <w:rPr>
          <w:rFonts w:hint="eastAsia"/>
          <w:color w:val="000000" w:themeColor="text1"/>
          <w14:textFill>
            <w14:solidFill>
              <w14:schemeClr w14:val="tx1"/>
            </w14:solidFill>
          </w14:textFill>
        </w:rPr>
        <w:t>)</w:t>
      </w:r>
      <w:bookmarkEnd w:id="11"/>
    </w:p>
    <w:p w14:paraId="6E85EF2D">
      <w:pPr>
        <w:pStyle w:val="91"/>
        <w:rPr>
          <w:color w:val="000000" w:themeColor="text1"/>
          <w14:textFill>
            <w14:solidFill>
              <w14:schemeClr w14:val="tx1"/>
            </w14:solidFill>
          </w14:textFill>
        </w:rPr>
      </w:pPr>
      <w:r>
        <w:rPr>
          <w:color w:val="000000" w:themeColor="text1"/>
          <w14:textFill>
            <w14:solidFill>
              <w14:schemeClr w14:val="tx1"/>
            </w14:solidFill>
          </w14:textFill>
        </w:rPr>
        <w:t>2020年11月，公司完成了天使轮融资。本轮融资引入了宁波衔领、杭州锦逸融光等外部投资方。本次增资</w:t>
      </w:r>
      <w:r>
        <w:rPr>
          <w:rFonts w:hint="eastAsia"/>
          <w:color w:val="000000" w:themeColor="text1"/>
          <w:lang w:val="en-US" w:eastAsia="zh-CN"/>
          <w14:textFill>
            <w14:solidFill>
              <w14:schemeClr w14:val="tx1"/>
            </w14:solidFill>
          </w14:textFill>
        </w:rPr>
        <w:t>1650</w:t>
      </w:r>
      <w:r>
        <w:rPr>
          <w:color w:val="000000" w:themeColor="text1"/>
          <w14:textFill>
            <w14:solidFill>
              <w14:schemeClr w14:val="tx1"/>
            </w14:solidFill>
          </w14:textFill>
        </w:rPr>
        <w:t>万元人民币，公司的注册资本由558.33万元人民币增加至742.58万元人民币。</w:t>
      </w:r>
    </w:p>
    <w:p w14:paraId="44D0ABCD">
      <w:pPr>
        <w:pStyle w:val="91"/>
        <w:rPr>
          <w:rFonts w:hint="eastAsia"/>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r>
        <w:rPr>
          <w:rFonts w:hint="eastAsia"/>
          <w:color w:val="000000" w:themeColor="text1"/>
          <w14:textFill>
            <w14:solidFill>
              <w14:schemeClr w14:val="tx1"/>
            </w14:solidFill>
          </w14:textFill>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61075FDC">
        <w:tc>
          <w:tcPr>
            <w:tcW w:w="2767" w:type="dxa"/>
          </w:tcPr>
          <w:p w14:paraId="282AE8A4">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112BA190">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51E1DDD0">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789AC6C3">
        <w:tc>
          <w:tcPr>
            <w:tcW w:w="2767" w:type="dxa"/>
          </w:tcPr>
          <w:p w14:paraId="72F558F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4962874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155.00</w:t>
            </w:r>
          </w:p>
        </w:tc>
        <w:tc>
          <w:tcPr>
            <w:tcW w:w="2768" w:type="dxa"/>
          </w:tcPr>
          <w:p w14:paraId="63EC3AD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20.87%</w:t>
            </w:r>
          </w:p>
        </w:tc>
      </w:tr>
      <w:tr w14:paraId="736C8BFC">
        <w:tc>
          <w:tcPr>
            <w:tcW w:w="2767" w:type="dxa"/>
          </w:tcPr>
          <w:p w14:paraId="64C8138F">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上海锦嵘</w:t>
            </w:r>
          </w:p>
        </w:tc>
        <w:tc>
          <w:tcPr>
            <w:tcW w:w="2767" w:type="dxa"/>
          </w:tcPr>
          <w:p w14:paraId="6AA3445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245.00</w:t>
            </w:r>
          </w:p>
        </w:tc>
        <w:tc>
          <w:tcPr>
            <w:tcW w:w="2768" w:type="dxa"/>
          </w:tcPr>
          <w:p w14:paraId="1482A7D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32.99%</w:t>
            </w:r>
          </w:p>
        </w:tc>
      </w:tr>
      <w:tr w14:paraId="6A10E674">
        <w:tc>
          <w:tcPr>
            <w:tcW w:w="2767" w:type="dxa"/>
          </w:tcPr>
          <w:p w14:paraId="26432FF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上海裕荣惠华</w:t>
            </w:r>
          </w:p>
        </w:tc>
        <w:tc>
          <w:tcPr>
            <w:tcW w:w="2767" w:type="dxa"/>
          </w:tcPr>
          <w:p w14:paraId="7A9311E1">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100.00</w:t>
            </w:r>
          </w:p>
        </w:tc>
        <w:tc>
          <w:tcPr>
            <w:tcW w:w="2768" w:type="dxa"/>
          </w:tcPr>
          <w:p w14:paraId="7721E31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13.47%</w:t>
            </w:r>
          </w:p>
        </w:tc>
      </w:tr>
      <w:tr w14:paraId="49FBABA9">
        <w:tc>
          <w:tcPr>
            <w:tcW w:w="2767" w:type="dxa"/>
          </w:tcPr>
          <w:p w14:paraId="2565E3E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绍兴海邦人才</w:t>
            </w:r>
          </w:p>
        </w:tc>
        <w:tc>
          <w:tcPr>
            <w:tcW w:w="2767" w:type="dxa"/>
          </w:tcPr>
          <w:p w14:paraId="50E5071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112.20</w:t>
            </w:r>
          </w:p>
        </w:tc>
        <w:tc>
          <w:tcPr>
            <w:tcW w:w="2768" w:type="dxa"/>
          </w:tcPr>
          <w:p w14:paraId="7D4E901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15.11%</w:t>
            </w:r>
          </w:p>
        </w:tc>
      </w:tr>
      <w:tr w14:paraId="784DEB63">
        <w:tc>
          <w:tcPr>
            <w:tcW w:w="2767" w:type="dxa"/>
          </w:tcPr>
          <w:p w14:paraId="56F5474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张丁</w:t>
            </w:r>
          </w:p>
        </w:tc>
        <w:tc>
          <w:tcPr>
            <w:tcW w:w="2767" w:type="dxa"/>
          </w:tcPr>
          <w:p w14:paraId="1ABCB40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18.72</w:t>
            </w:r>
          </w:p>
        </w:tc>
        <w:tc>
          <w:tcPr>
            <w:tcW w:w="2768" w:type="dxa"/>
          </w:tcPr>
          <w:p w14:paraId="54526733">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2.52%</w:t>
            </w:r>
          </w:p>
        </w:tc>
      </w:tr>
      <w:tr w14:paraId="730FC7FA">
        <w:tc>
          <w:tcPr>
            <w:tcW w:w="2767" w:type="dxa"/>
          </w:tcPr>
          <w:p w14:paraId="6480D53C">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宁波衔领</w:t>
            </w:r>
          </w:p>
        </w:tc>
        <w:tc>
          <w:tcPr>
            <w:tcW w:w="2767" w:type="dxa"/>
          </w:tcPr>
          <w:p w14:paraId="3D81555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55.83</w:t>
            </w:r>
          </w:p>
        </w:tc>
        <w:tc>
          <w:tcPr>
            <w:tcW w:w="2768" w:type="dxa"/>
          </w:tcPr>
          <w:p w14:paraId="25B3855B">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7.52%</w:t>
            </w:r>
          </w:p>
        </w:tc>
      </w:tr>
      <w:tr w14:paraId="0E76E537">
        <w:tc>
          <w:tcPr>
            <w:tcW w:w="2767" w:type="dxa"/>
          </w:tcPr>
          <w:p w14:paraId="3F77AC72">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杭州锦逸融光</w:t>
            </w:r>
          </w:p>
        </w:tc>
        <w:tc>
          <w:tcPr>
            <w:tcW w:w="2767" w:type="dxa"/>
          </w:tcPr>
          <w:p w14:paraId="6D1F572B">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55.83</w:t>
            </w:r>
          </w:p>
        </w:tc>
        <w:tc>
          <w:tcPr>
            <w:tcW w:w="2768" w:type="dxa"/>
          </w:tcPr>
          <w:p w14:paraId="666010F1">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7.52%</w:t>
            </w:r>
          </w:p>
        </w:tc>
      </w:tr>
      <w:tr w14:paraId="7CD1C74A">
        <w:tc>
          <w:tcPr>
            <w:tcW w:w="2767" w:type="dxa"/>
          </w:tcPr>
          <w:p w14:paraId="604C2954">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合计</w:t>
            </w:r>
          </w:p>
        </w:tc>
        <w:tc>
          <w:tcPr>
            <w:tcW w:w="2767" w:type="dxa"/>
          </w:tcPr>
          <w:p w14:paraId="64DA58CD">
            <w:pPr>
              <w:pStyle w:val="91"/>
              <w:ind w:firstLine="0" w:firstLineChars="0"/>
              <w:jc w:val="center"/>
              <w:rPr>
                <w:rFonts w:hint="eastAsia" w:cstheme="minorBidi"/>
                <w:b/>
                <w:bCs/>
                <w:color w:val="000000" w:themeColor="text1"/>
                <w14:textFill>
                  <w14:solidFill>
                    <w14:schemeClr w14:val="tx1"/>
                  </w14:solidFill>
                </w14:textFill>
              </w:rPr>
            </w:pPr>
            <w:r>
              <w:rPr>
                <w:rFonts w:hint="eastAsia" w:cstheme="minorBidi"/>
                <w:b/>
                <w:bCs/>
                <w:color w:val="000000" w:themeColor="text1"/>
                <w14:textFill>
                  <w14:solidFill>
                    <w14:schemeClr w14:val="tx1"/>
                  </w14:solidFill>
                </w14:textFill>
              </w:rPr>
              <w:t>742</w:t>
            </w:r>
            <w:r>
              <w:rPr>
                <w:rFonts w:cstheme="minorBidi"/>
                <w:b/>
                <w:bCs/>
                <w:color w:val="000000" w:themeColor="text1"/>
                <w14:textFill>
                  <w14:solidFill>
                    <w14:schemeClr w14:val="tx1"/>
                  </w14:solidFill>
                </w14:textFill>
              </w:rPr>
              <w:t>.</w:t>
            </w:r>
            <w:r>
              <w:rPr>
                <w:rFonts w:hint="eastAsia" w:cstheme="minorBidi"/>
                <w:b/>
                <w:bCs/>
                <w:color w:val="000000" w:themeColor="text1"/>
                <w14:textFill>
                  <w14:solidFill>
                    <w14:schemeClr w14:val="tx1"/>
                  </w14:solidFill>
                </w14:textFill>
              </w:rPr>
              <w:t>58</w:t>
            </w:r>
          </w:p>
        </w:tc>
        <w:tc>
          <w:tcPr>
            <w:tcW w:w="2768" w:type="dxa"/>
          </w:tcPr>
          <w:p w14:paraId="278D8FC9">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100.00%</w:t>
            </w:r>
          </w:p>
        </w:tc>
      </w:tr>
    </w:tbl>
    <w:p w14:paraId="3DA83250">
      <w:pPr>
        <w:pStyle w:val="88"/>
        <w:rPr>
          <w:color w:val="000000" w:themeColor="text1"/>
          <w14:textFill>
            <w14:solidFill>
              <w14:schemeClr w14:val="tx1"/>
            </w14:solidFill>
          </w14:textFill>
        </w:rPr>
      </w:pPr>
      <w:bookmarkStart w:id="12" w:name="_Toc412126352"/>
      <w:r>
        <w:rPr>
          <w:color w:val="000000" w:themeColor="text1"/>
          <w14:textFill>
            <w14:solidFill>
              <w14:schemeClr w14:val="tx1"/>
            </w14:solidFill>
          </w14:textFill>
        </w:rPr>
        <w:t>Pre-A</w:t>
      </w:r>
      <w:r>
        <w:rPr>
          <w:rFonts w:hint="eastAsia"/>
          <w:color w:val="000000" w:themeColor="text1"/>
          <w14:textFill>
            <w14:solidFill>
              <w14:schemeClr w14:val="tx1"/>
            </w14:solidFill>
          </w14:textFill>
        </w:rPr>
        <w:t>轮融资(</w:t>
      </w:r>
      <w:r>
        <w:rPr>
          <w:color w:val="000000" w:themeColor="text1"/>
          <w14:textFill>
            <w14:solidFill>
              <w14:schemeClr w14:val="tx1"/>
            </w14:solidFill>
          </w14:textFill>
        </w:rPr>
        <w:t>202</w:t>
      </w:r>
      <w:r>
        <w:rPr>
          <w:rFonts w:hint="eastAsia"/>
          <w:color w:val="000000" w:themeColor="text1"/>
          <w14:textFill>
            <w14:solidFill>
              <w14:schemeClr w14:val="tx1"/>
            </w14:solidFill>
          </w14:textFill>
        </w:rPr>
        <w:t>0</w:t>
      </w:r>
      <w:r>
        <w:rPr>
          <w:color w:val="000000" w:themeColor="text1"/>
          <w14:textFill>
            <w14:solidFill>
              <w14:schemeClr w14:val="tx1"/>
            </w14:solidFill>
          </w14:textFill>
        </w:rPr>
        <w:t>年</w:t>
      </w:r>
      <w:r>
        <w:rPr>
          <w:rFonts w:hint="eastAsia"/>
          <w:color w:val="000000" w:themeColor="text1"/>
          <w14:textFill>
            <w14:solidFill>
              <w14:schemeClr w14:val="tx1"/>
            </w14:solidFill>
          </w14:textFill>
        </w:rPr>
        <w:t>12月)</w:t>
      </w:r>
      <w:bookmarkEnd w:id="12"/>
    </w:p>
    <w:p w14:paraId="780C0459">
      <w:pPr>
        <w:pStyle w:val="91"/>
        <w:rPr>
          <w:color w:val="000000" w:themeColor="text1"/>
          <w14:textFill>
            <w14:solidFill>
              <w14:schemeClr w14:val="tx1"/>
            </w14:solidFill>
          </w14:textFill>
        </w:rPr>
      </w:pPr>
      <w:r>
        <w:rPr>
          <w:color w:val="000000" w:themeColor="text1"/>
          <w14:textFill>
            <w14:solidFill>
              <w14:schemeClr w14:val="tx1"/>
            </w14:solidFill>
          </w14:textFill>
        </w:rPr>
        <w:t>2020年12月，公司完成了Pre</w:t>
      </w:r>
      <w:r>
        <w:rPr>
          <w:rFonts w:ascii="Cambria Math" w:hAnsi="Cambria Math" w:cs="Cambria Math"/>
          <w:color w:val="000000" w:themeColor="text1"/>
          <w14:textFill>
            <w14:solidFill>
              <w14:schemeClr w14:val="tx1"/>
            </w14:solidFill>
          </w14:textFill>
        </w:rPr>
        <w:t>‑</w:t>
      </w:r>
      <w:r>
        <w:rPr>
          <w:color w:val="000000" w:themeColor="text1"/>
          <w14:textFill>
            <w14:solidFill>
              <w14:schemeClr w14:val="tx1"/>
            </w14:solidFill>
          </w14:textFill>
        </w:rPr>
        <w:t>A轮融资。本轮融资引入了苏州辰知德（辰德资本），同时海邦人才追加投资。本次增资</w:t>
      </w:r>
      <w:r>
        <w:rPr>
          <w:rFonts w:hint="eastAsia"/>
          <w:color w:val="000000" w:themeColor="text1"/>
          <w:lang w:val="en-US" w:eastAsia="zh-CN"/>
          <w14:textFill>
            <w14:solidFill>
              <w14:schemeClr w14:val="tx1"/>
            </w14:solidFill>
          </w14:textFill>
        </w:rPr>
        <w:t>1750</w:t>
      </w:r>
      <w:r>
        <w:rPr>
          <w:color w:val="000000" w:themeColor="text1"/>
          <w14:textFill>
            <w14:solidFill>
              <w14:schemeClr w14:val="tx1"/>
            </w14:solidFill>
          </w14:textFill>
        </w:rPr>
        <w:t>万元人民币，公司的注册资本由742.58万元人民币增加至918.45万元人民币。</w:t>
      </w:r>
    </w:p>
    <w:p w14:paraId="054EC27A">
      <w:pPr>
        <w:pStyle w:val="91"/>
        <w:rPr>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r>
        <w:rPr>
          <w:rFonts w:hint="eastAsia"/>
          <w:color w:val="000000" w:themeColor="text1"/>
          <w14:textFill>
            <w14:solidFill>
              <w14:schemeClr w14:val="tx1"/>
            </w14:solidFill>
          </w14:textFill>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7D1E6511">
        <w:tc>
          <w:tcPr>
            <w:tcW w:w="2767" w:type="dxa"/>
          </w:tcPr>
          <w:p w14:paraId="3F65925A">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36AC4C3B">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0AF53C7E">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0793C5A9">
        <w:tc>
          <w:tcPr>
            <w:tcW w:w="2767" w:type="dxa"/>
          </w:tcPr>
          <w:p w14:paraId="12183F5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4742409F">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194.08</w:t>
            </w:r>
          </w:p>
        </w:tc>
        <w:tc>
          <w:tcPr>
            <w:tcW w:w="2768" w:type="dxa"/>
          </w:tcPr>
          <w:p w14:paraId="53B5FC1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21.13%</w:t>
            </w:r>
          </w:p>
        </w:tc>
      </w:tr>
      <w:tr w14:paraId="250A7585">
        <w:tc>
          <w:tcPr>
            <w:tcW w:w="2767" w:type="dxa"/>
          </w:tcPr>
          <w:p w14:paraId="4B12A1AF">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上海锦嵘</w:t>
            </w:r>
          </w:p>
        </w:tc>
        <w:tc>
          <w:tcPr>
            <w:tcW w:w="2767" w:type="dxa"/>
          </w:tcPr>
          <w:p w14:paraId="24D1A6B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245.00</w:t>
            </w:r>
          </w:p>
        </w:tc>
        <w:tc>
          <w:tcPr>
            <w:tcW w:w="2768" w:type="dxa"/>
          </w:tcPr>
          <w:p w14:paraId="19F69DA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26.68%</w:t>
            </w:r>
          </w:p>
        </w:tc>
      </w:tr>
      <w:tr w14:paraId="4ED9F0A0">
        <w:tc>
          <w:tcPr>
            <w:tcW w:w="2767" w:type="dxa"/>
          </w:tcPr>
          <w:p w14:paraId="1D4B3A1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上海裕荣惠华</w:t>
            </w:r>
          </w:p>
        </w:tc>
        <w:tc>
          <w:tcPr>
            <w:tcW w:w="2767" w:type="dxa"/>
          </w:tcPr>
          <w:p w14:paraId="6A008F3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100.00</w:t>
            </w:r>
          </w:p>
        </w:tc>
        <w:tc>
          <w:tcPr>
            <w:tcW w:w="2768" w:type="dxa"/>
          </w:tcPr>
          <w:p w14:paraId="3282614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10.89%</w:t>
            </w:r>
          </w:p>
        </w:tc>
      </w:tr>
      <w:tr w14:paraId="0961C026">
        <w:tc>
          <w:tcPr>
            <w:tcW w:w="2767" w:type="dxa"/>
          </w:tcPr>
          <w:p w14:paraId="19F1073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苏州辰知德</w:t>
            </w:r>
          </w:p>
        </w:tc>
        <w:tc>
          <w:tcPr>
            <w:tcW w:w="2767" w:type="dxa"/>
          </w:tcPr>
          <w:p w14:paraId="4EAD86D7">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120.38</w:t>
            </w:r>
          </w:p>
        </w:tc>
        <w:tc>
          <w:tcPr>
            <w:tcW w:w="2768" w:type="dxa"/>
          </w:tcPr>
          <w:p w14:paraId="721ACE1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13.11%</w:t>
            </w:r>
          </w:p>
        </w:tc>
      </w:tr>
      <w:tr w14:paraId="045D15A5">
        <w:tc>
          <w:tcPr>
            <w:tcW w:w="2767" w:type="dxa"/>
          </w:tcPr>
          <w:p w14:paraId="0615194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绍兴海邦人才</w:t>
            </w:r>
          </w:p>
        </w:tc>
        <w:tc>
          <w:tcPr>
            <w:tcW w:w="2767" w:type="dxa"/>
          </w:tcPr>
          <w:p w14:paraId="7278218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128.61</w:t>
            </w:r>
          </w:p>
        </w:tc>
        <w:tc>
          <w:tcPr>
            <w:tcW w:w="2768" w:type="dxa"/>
          </w:tcPr>
          <w:p w14:paraId="05AACBE7">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14.00%</w:t>
            </w:r>
          </w:p>
        </w:tc>
      </w:tr>
      <w:tr w14:paraId="29024EFD">
        <w:tc>
          <w:tcPr>
            <w:tcW w:w="2767" w:type="dxa"/>
          </w:tcPr>
          <w:p w14:paraId="0213FB51">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其他股东</w:t>
            </w:r>
          </w:p>
        </w:tc>
        <w:tc>
          <w:tcPr>
            <w:tcW w:w="2767" w:type="dxa"/>
          </w:tcPr>
          <w:p w14:paraId="539CF18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130.38</w:t>
            </w:r>
          </w:p>
        </w:tc>
        <w:tc>
          <w:tcPr>
            <w:tcW w:w="2768" w:type="dxa"/>
          </w:tcPr>
          <w:p w14:paraId="46EA63C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14.19%</w:t>
            </w:r>
          </w:p>
        </w:tc>
      </w:tr>
      <w:tr w14:paraId="67A5FDD8">
        <w:tc>
          <w:tcPr>
            <w:tcW w:w="2767" w:type="dxa"/>
          </w:tcPr>
          <w:p w14:paraId="2F1E738D">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合计</w:t>
            </w:r>
          </w:p>
        </w:tc>
        <w:tc>
          <w:tcPr>
            <w:tcW w:w="2767" w:type="dxa"/>
          </w:tcPr>
          <w:p w14:paraId="3E43A91C">
            <w:pPr>
              <w:pStyle w:val="91"/>
              <w:ind w:firstLine="0" w:firstLineChars="0"/>
              <w:jc w:val="center"/>
              <w:rPr>
                <w:rFonts w:hint="eastAsia" w:cstheme="minorBidi"/>
                <w:b/>
                <w:bCs/>
                <w:color w:val="000000" w:themeColor="text1"/>
                <w14:textFill>
                  <w14:solidFill>
                    <w14:schemeClr w14:val="tx1"/>
                  </w14:solidFill>
                </w14:textFill>
              </w:rPr>
            </w:pPr>
            <w:r>
              <w:rPr>
                <w:rFonts w:hint="eastAsia" w:cstheme="minorBidi"/>
                <w:b/>
                <w:bCs/>
                <w:color w:val="000000" w:themeColor="text1"/>
                <w14:textFill>
                  <w14:solidFill>
                    <w14:schemeClr w14:val="tx1"/>
                  </w14:solidFill>
                </w14:textFill>
              </w:rPr>
              <w:t>918.45</w:t>
            </w:r>
          </w:p>
        </w:tc>
        <w:tc>
          <w:tcPr>
            <w:tcW w:w="2768" w:type="dxa"/>
          </w:tcPr>
          <w:p w14:paraId="44BB7C8D">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100.00%</w:t>
            </w:r>
          </w:p>
        </w:tc>
      </w:tr>
    </w:tbl>
    <w:p w14:paraId="758B691B">
      <w:pPr>
        <w:pStyle w:val="88"/>
        <w:rPr>
          <w:color w:val="000000" w:themeColor="text1"/>
          <w14:textFill>
            <w14:solidFill>
              <w14:schemeClr w14:val="tx1"/>
            </w14:solidFill>
          </w14:textFill>
        </w:rPr>
      </w:pPr>
      <w:bookmarkStart w:id="13" w:name="_Toc972836489"/>
      <w:r>
        <w:rPr>
          <w:rStyle w:val="31"/>
          <w:b/>
          <w:color w:val="000000" w:themeColor="text1"/>
          <w14:textFill>
            <w14:solidFill>
              <w14:schemeClr w14:val="tx1"/>
            </w14:solidFill>
          </w14:textFill>
        </w:rPr>
        <w:t>Pre-A</w:t>
      </w:r>
      <w:r>
        <w:rPr>
          <w:rStyle w:val="31"/>
          <w:rFonts w:hint="eastAsia"/>
          <w:b/>
          <w:color w:val="000000" w:themeColor="text1"/>
          <w14:textFill>
            <w14:solidFill>
              <w14:schemeClr w14:val="tx1"/>
            </w14:solidFill>
          </w14:textFill>
        </w:rPr>
        <w:t>+</w:t>
      </w:r>
      <w:r>
        <w:rPr>
          <w:rStyle w:val="31"/>
          <w:b/>
          <w:color w:val="000000" w:themeColor="text1"/>
          <w14:textFill>
            <w14:solidFill>
              <w14:schemeClr w14:val="tx1"/>
            </w14:solidFill>
          </w14:textFill>
        </w:rPr>
        <w:t>轮增资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202</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年</w:t>
      </w:r>
      <w:r>
        <w:rPr>
          <w:rFonts w:hint="eastAsia"/>
          <w:color w:val="000000" w:themeColor="text1"/>
          <w14:textFill>
            <w14:solidFill>
              <w14:schemeClr w14:val="tx1"/>
            </w14:solidFill>
          </w14:textFill>
        </w:rPr>
        <w:t>3月)</w:t>
      </w:r>
      <w:bookmarkEnd w:id="13"/>
    </w:p>
    <w:p w14:paraId="3A54B6D3">
      <w:pPr>
        <w:pStyle w:val="91"/>
        <w:rPr>
          <w:color w:val="000000" w:themeColor="text1"/>
          <w14:textFill>
            <w14:solidFill>
              <w14:schemeClr w14:val="tx1"/>
            </w14:solidFill>
          </w14:textFill>
        </w:rPr>
      </w:pPr>
      <w:r>
        <w:rPr>
          <w:color w:val="000000" w:themeColor="text1"/>
          <w14:textFill>
            <w14:solidFill>
              <w14:schemeClr w14:val="tx1"/>
            </w14:solidFill>
          </w14:textFill>
        </w:rPr>
        <w:t>2021年03月，公司完成了Pre</w:t>
      </w:r>
      <w:r>
        <w:rPr>
          <w:rFonts w:ascii="Cambria Math" w:hAnsi="Cambria Math" w:cs="Cambria Math"/>
          <w:color w:val="000000" w:themeColor="text1"/>
          <w14:textFill>
            <w14:solidFill>
              <w14:schemeClr w14:val="tx1"/>
            </w14:solidFill>
          </w14:textFill>
        </w:rPr>
        <w:t>‑</w:t>
      </w:r>
      <w:r>
        <w:rPr>
          <w:color w:val="000000" w:themeColor="text1"/>
          <w14:textFill>
            <w14:solidFill>
              <w14:schemeClr w14:val="tx1"/>
            </w14:solidFill>
          </w14:textFill>
        </w:rPr>
        <w:t>A+轮融资。本轮融资引入了火山石资本、沃生慧嘉、智鼎博能、海邦羿谷等外部投资方。本次增资</w:t>
      </w:r>
      <w:r>
        <w:rPr>
          <w:rFonts w:hint="eastAsia"/>
          <w:color w:val="000000" w:themeColor="text1"/>
          <w:lang w:val="en-US" w:eastAsia="zh-CN"/>
          <w14:textFill>
            <w14:solidFill>
              <w14:schemeClr w14:val="tx1"/>
            </w14:solidFill>
          </w14:textFill>
        </w:rPr>
        <w:t>6600</w:t>
      </w:r>
      <w:r>
        <w:rPr>
          <w:color w:val="000000" w:themeColor="text1"/>
          <w14:textFill>
            <w14:solidFill>
              <w14:schemeClr w14:val="tx1"/>
            </w14:solidFill>
          </w14:textFill>
        </w:rPr>
        <w:t>万元人民币，公司的注册资本由918.45万元人民币增加至1434.36万元人民币，投后估值约3.0亿元。</w:t>
      </w:r>
    </w:p>
    <w:p w14:paraId="0662CD72">
      <w:pPr>
        <w:pStyle w:val="91"/>
        <w:rPr>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4EE76D1D">
        <w:tc>
          <w:tcPr>
            <w:tcW w:w="2767" w:type="dxa"/>
          </w:tcPr>
          <w:p w14:paraId="6ECBD03C">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1C00816A">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5A717D79">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24090F35">
        <w:tc>
          <w:tcPr>
            <w:tcW w:w="2767" w:type="dxa"/>
          </w:tcPr>
          <w:p w14:paraId="1F51C96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1FA936E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194.08</w:t>
            </w:r>
          </w:p>
        </w:tc>
        <w:tc>
          <w:tcPr>
            <w:tcW w:w="2768" w:type="dxa"/>
          </w:tcPr>
          <w:p w14:paraId="39AC5A1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13.53%</w:t>
            </w:r>
          </w:p>
        </w:tc>
      </w:tr>
      <w:tr w14:paraId="19D0EC48">
        <w:tc>
          <w:tcPr>
            <w:tcW w:w="2767" w:type="dxa"/>
          </w:tcPr>
          <w:p w14:paraId="0A99187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上海锦嵘</w:t>
            </w:r>
          </w:p>
        </w:tc>
        <w:tc>
          <w:tcPr>
            <w:tcW w:w="2767" w:type="dxa"/>
          </w:tcPr>
          <w:p w14:paraId="2E4CF15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245.00</w:t>
            </w:r>
          </w:p>
        </w:tc>
        <w:tc>
          <w:tcPr>
            <w:tcW w:w="2768" w:type="dxa"/>
          </w:tcPr>
          <w:p w14:paraId="58D2609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17.09%</w:t>
            </w:r>
          </w:p>
        </w:tc>
      </w:tr>
      <w:tr w14:paraId="35EE95FA">
        <w:tc>
          <w:tcPr>
            <w:tcW w:w="2767" w:type="dxa"/>
          </w:tcPr>
          <w:p w14:paraId="7F05550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上海裕荣惠华</w:t>
            </w:r>
          </w:p>
        </w:tc>
        <w:tc>
          <w:tcPr>
            <w:tcW w:w="2767" w:type="dxa"/>
          </w:tcPr>
          <w:p w14:paraId="0A9CDE3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100.00</w:t>
            </w:r>
          </w:p>
        </w:tc>
        <w:tc>
          <w:tcPr>
            <w:tcW w:w="2768" w:type="dxa"/>
          </w:tcPr>
          <w:p w14:paraId="3F04CB0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6.97%</w:t>
            </w:r>
          </w:p>
        </w:tc>
      </w:tr>
      <w:tr w14:paraId="75901F8C">
        <w:tc>
          <w:tcPr>
            <w:tcW w:w="2767" w:type="dxa"/>
          </w:tcPr>
          <w:p w14:paraId="1CFC7303">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苏州辰知德</w:t>
            </w:r>
          </w:p>
        </w:tc>
        <w:tc>
          <w:tcPr>
            <w:tcW w:w="2767" w:type="dxa"/>
          </w:tcPr>
          <w:p w14:paraId="1BD4EFB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195.42</w:t>
            </w:r>
          </w:p>
        </w:tc>
        <w:tc>
          <w:tcPr>
            <w:tcW w:w="2768" w:type="dxa"/>
          </w:tcPr>
          <w:p w14:paraId="52FE019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13.62%</w:t>
            </w:r>
          </w:p>
        </w:tc>
      </w:tr>
      <w:tr w14:paraId="3C9939C7">
        <w:tc>
          <w:tcPr>
            <w:tcW w:w="2767" w:type="dxa"/>
          </w:tcPr>
          <w:p w14:paraId="35173D5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绍兴海邦人才</w:t>
            </w:r>
          </w:p>
        </w:tc>
        <w:tc>
          <w:tcPr>
            <w:tcW w:w="2767" w:type="dxa"/>
          </w:tcPr>
          <w:p w14:paraId="5797FED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128.61</w:t>
            </w:r>
          </w:p>
        </w:tc>
        <w:tc>
          <w:tcPr>
            <w:tcW w:w="2768" w:type="dxa"/>
          </w:tcPr>
          <w:p w14:paraId="7D18D466">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8.97%</w:t>
            </w:r>
          </w:p>
        </w:tc>
      </w:tr>
      <w:tr w14:paraId="08C383D9">
        <w:tc>
          <w:tcPr>
            <w:tcW w:w="2767" w:type="dxa"/>
          </w:tcPr>
          <w:p w14:paraId="5D4A5059">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上海火山石二期</w:t>
            </w:r>
          </w:p>
        </w:tc>
        <w:tc>
          <w:tcPr>
            <w:tcW w:w="2767" w:type="dxa"/>
          </w:tcPr>
          <w:p w14:paraId="06F943F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78.17</w:t>
            </w:r>
          </w:p>
        </w:tc>
        <w:tc>
          <w:tcPr>
            <w:tcW w:w="2768" w:type="dxa"/>
          </w:tcPr>
          <w:p w14:paraId="23B24310">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5.45%</w:t>
            </w:r>
          </w:p>
        </w:tc>
      </w:tr>
      <w:tr w14:paraId="4B6413DA">
        <w:tc>
          <w:tcPr>
            <w:tcW w:w="2767" w:type="dxa"/>
          </w:tcPr>
          <w:p w14:paraId="2E231C33">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其他机构/个人</w:t>
            </w:r>
          </w:p>
        </w:tc>
        <w:tc>
          <w:tcPr>
            <w:tcW w:w="2767" w:type="dxa"/>
          </w:tcPr>
          <w:p w14:paraId="13FD90E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493.08</w:t>
            </w:r>
          </w:p>
        </w:tc>
        <w:tc>
          <w:tcPr>
            <w:tcW w:w="2768" w:type="dxa"/>
          </w:tcPr>
          <w:p w14:paraId="01AC55CC">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34.37%</w:t>
            </w:r>
          </w:p>
        </w:tc>
      </w:tr>
      <w:tr w14:paraId="4A4C546B">
        <w:tc>
          <w:tcPr>
            <w:tcW w:w="2767" w:type="dxa"/>
          </w:tcPr>
          <w:p w14:paraId="4FA5D6CD">
            <w:pPr>
              <w:pStyle w:val="91"/>
              <w:ind w:firstLine="0" w:firstLineChars="0"/>
              <w:jc w:val="center"/>
              <w:rPr>
                <w:rFonts w:cstheme="minorBidi"/>
                <w:b/>
                <w:bCs/>
                <w:color w:val="000000" w:themeColor="text1"/>
                <w14:textFill>
                  <w14:solidFill>
                    <w14:schemeClr w14:val="tx1"/>
                  </w14:solidFill>
                </w14:textFill>
              </w:rPr>
            </w:pPr>
            <w:r>
              <w:rPr>
                <w:b/>
                <w:bCs/>
                <w:color w:val="000000" w:themeColor="text1"/>
                <w14:textFill>
                  <w14:solidFill>
                    <w14:schemeClr w14:val="tx1"/>
                  </w14:solidFill>
                </w14:textFill>
              </w:rPr>
              <w:t>合计</w:t>
            </w:r>
          </w:p>
        </w:tc>
        <w:tc>
          <w:tcPr>
            <w:tcW w:w="2767" w:type="dxa"/>
          </w:tcPr>
          <w:p w14:paraId="282E4E71">
            <w:pPr>
              <w:pStyle w:val="91"/>
              <w:ind w:firstLine="0" w:firstLineChars="0"/>
              <w:jc w:val="center"/>
              <w:rPr>
                <w:rFonts w:hint="eastAsia" w:cstheme="minorBidi"/>
                <w:b/>
                <w:bCs/>
                <w:color w:val="000000" w:themeColor="text1"/>
                <w14:textFill>
                  <w14:solidFill>
                    <w14:schemeClr w14:val="tx1"/>
                  </w14:solidFill>
                </w14:textFill>
              </w:rPr>
            </w:pPr>
            <w:r>
              <w:rPr>
                <w:b/>
                <w:bCs/>
                <w:color w:val="000000" w:themeColor="text1"/>
                <w14:textFill>
                  <w14:solidFill>
                    <w14:schemeClr w14:val="tx1"/>
                  </w14:solidFill>
                </w14:textFill>
              </w:rPr>
              <w:t>1434.36</w:t>
            </w:r>
          </w:p>
        </w:tc>
        <w:tc>
          <w:tcPr>
            <w:tcW w:w="2768" w:type="dxa"/>
          </w:tcPr>
          <w:p w14:paraId="138401F8">
            <w:pPr>
              <w:pStyle w:val="91"/>
              <w:ind w:firstLine="0" w:firstLineChars="0"/>
              <w:jc w:val="center"/>
              <w:rPr>
                <w:rFonts w:cstheme="minorBidi"/>
                <w:b/>
                <w:bCs/>
                <w:color w:val="000000" w:themeColor="text1"/>
                <w14:textFill>
                  <w14:solidFill>
                    <w14:schemeClr w14:val="tx1"/>
                  </w14:solidFill>
                </w14:textFill>
              </w:rPr>
            </w:pPr>
            <w:r>
              <w:rPr>
                <w:b/>
                <w:bCs/>
                <w:color w:val="000000" w:themeColor="text1"/>
                <w14:textFill>
                  <w14:solidFill>
                    <w14:schemeClr w14:val="tx1"/>
                  </w14:solidFill>
                </w14:textFill>
              </w:rPr>
              <w:t>100.00%</w:t>
            </w:r>
          </w:p>
        </w:tc>
      </w:tr>
    </w:tbl>
    <w:p w14:paraId="25E34704">
      <w:pPr>
        <w:pStyle w:val="88"/>
        <w:rPr>
          <w:color w:val="000000" w:themeColor="text1"/>
          <w14:textFill>
            <w14:solidFill>
              <w14:schemeClr w14:val="tx1"/>
            </w14:solidFill>
          </w14:textFill>
        </w:rPr>
      </w:pPr>
      <w:bookmarkStart w:id="14" w:name="_Toc1669866012"/>
      <w:r>
        <w:rPr>
          <w:rStyle w:val="31"/>
          <w:rFonts w:hint="eastAsia"/>
          <w:b/>
          <w:color w:val="000000" w:themeColor="text1"/>
          <w14:textFill>
            <w14:solidFill>
              <w14:schemeClr w14:val="tx1"/>
            </w14:solidFill>
          </w14:textFill>
        </w:rPr>
        <w:t>员工股权激励增发</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202</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年</w:t>
      </w:r>
      <w:r>
        <w:rPr>
          <w:rFonts w:hint="eastAsia"/>
          <w:color w:val="000000" w:themeColor="text1"/>
          <w14:textFill>
            <w14:solidFill>
              <w14:schemeClr w14:val="tx1"/>
            </w14:solidFill>
          </w14:textFill>
        </w:rPr>
        <w:t>4月)</w:t>
      </w:r>
      <w:bookmarkEnd w:id="14"/>
    </w:p>
    <w:p w14:paraId="0C57792C">
      <w:pPr>
        <w:pStyle w:val="91"/>
        <w:rPr>
          <w:color w:val="000000" w:themeColor="text1"/>
          <w14:textFill>
            <w14:solidFill>
              <w14:schemeClr w14:val="tx1"/>
            </w14:solidFill>
          </w14:textFill>
        </w:rPr>
      </w:pPr>
      <w:r>
        <w:rPr>
          <w:color w:val="000000" w:themeColor="text1"/>
          <w14:textFill>
            <w14:solidFill>
              <w14:schemeClr w14:val="tx1"/>
            </w14:solidFill>
          </w14:textFill>
        </w:rPr>
        <w:t>2021年04月，公司完成了员工股权激励增发。本轮为员工持股平台增资，无外部新投资方。本次增资674.99万元人民币，公司的注册资本由1434.36万元人民币增加至2109.35万元人民币，投后估值不变，约3.0亿元。</w:t>
      </w:r>
    </w:p>
    <w:p w14:paraId="1B283A53">
      <w:pPr>
        <w:pStyle w:val="91"/>
        <w:rPr>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r>
        <w:rPr>
          <w:rFonts w:hint="eastAsia"/>
          <w:color w:val="000000" w:themeColor="text1"/>
          <w14:textFill>
            <w14:solidFill>
              <w14:schemeClr w14:val="tx1"/>
            </w14:solidFill>
          </w14:textFill>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0B1EF5BE">
        <w:tc>
          <w:tcPr>
            <w:tcW w:w="2767" w:type="dxa"/>
          </w:tcPr>
          <w:p w14:paraId="689009DA">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78D6EBC0">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681F12BE">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7A1AD8A0">
        <w:tc>
          <w:tcPr>
            <w:tcW w:w="2767" w:type="dxa"/>
          </w:tcPr>
          <w:p w14:paraId="3DC6310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77537317">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405.02</w:t>
            </w:r>
          </w:p>
        </w:tc>
        <w:tc>
          <w:tcPr>
            <w:tcW w:w="2768" w:type="dxa"/>
          </w:tcPr>
          <w:p w14:paraId="5773373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19.20%</w:t>
            </w:r>
          </w:p>
        </w:tc>
      </w:tr>
      <w:tr w14:paraId="1B20082A">
        <w:tc>
          <w:tcPr>
            <w:tcW w:w="2767" w:type="dxa"/>
          </w:tcPr>
          <w:p w14:paraId="72F57E8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杭州佳诺智光</w:t>
            </w:r>
          </w:p>
        </w:tc>
        <w:tc>
          <w:tcPr>
            <w:tcW w:w="2767" w:type="dxa"/>
          </w:tcPr>
          <w:p w14:paraId="4F045D1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358.58</w:t>
            </w:r>
          </w:p>
        </w:tc>
        <w:tc>
          <w:tcPr>
            <w:tcW w:w="2768" w:type="dxa"/>
          </w:tcPr>
          <w:p w14:paraId="7574C11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17.00%</w:t>
            </w:r>
          </w:p>
        </w:tc>
      </w:tr>
      <w:tr w14:paraId="37BBD7AB">
        <w:tc>
          <w:tcPr>
            <w:tcW w:w="2767" w:type="dxa"/>
          </w:tcPr>
          <w:p w14:paraId="36E5FC5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杭州海创光影</w:t>
            </w:r>
          </w:p>
        </w:tc>
        <w:tc>
          <w:tcPr>
            <w:tcW w:w="2767" w:type="dxa"/>
          </w:tcPr>
          <w:p w14:paraId="300D66B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105.47</w:t>
            </w:r>
          </w:p>
        </w:tc>
        <w:tc>
          <w:tcPr>
            <w:tcW w:w="2768" w:type="dxa"/>
          </w:tcPr>
          <w:p w14:paraId="0D2AA2FF">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5.00%</w:t>
            </w:r>
          </w:p>
        </w:tc>
      </w:tr>
      <w:tr w14:paraId="38A2A8AF">
        <w:tc>
          <w:tcPr>
            <w:tcW w:w="2767" w:type="dxa"/>
          </w:tcPr>
          <w:p w14:paraId="3C4D9C7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上海锦嵘</w:t>
            </w:r>
          </w:p>
        </w:tc>
        <w:tc>
          <w:tcPr>
            <w:tcW w:w="2767" w:type="dxa"/>
          </w:tcPr>
          <w:p w14:paraId="0877E61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245.00</w:t>
            </w:r>
          </w:p>
        </w:tc>
        <w:tc>
          <w:tcPr>
            <w:tcW w:w="2768" w:type="dxa"/>
          </w:tcPr>
          <w:p w14:paraId="7AC37D16">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11.61%</w:t>
            </w:r>
          </w:p>
        </w:tc>
      </w:tr>
      <w:tr w14:paraId="7064DBE5">
        <w:tc>
          <w:tcPr>
            <w:tcW w:w="2767" w:type="dxa"/>
          </w:tcPr>
          <w:p w14:paraId="532E066F">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上海裕荣惠华</w:t>
            </w:r>
          </w:p>
        </w:tc>
        <w:tc>
          <w:tcPr>
            <w:tcW w:w="2767" w:type="dxa"/>
          </w:tcPr>
          <w:p w14:paraId="27B9A76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100.00</w:t>
            </w:r>
          </w:p>
        </w:tc>
        <w:tc>
          <w:tcPr>
            <w:tcW w:w="2768" w:type="dxa"/>
          </w:tcPr>
          <w:p w14:paraId="185783B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4.74%</w:t>
            </w:r>
          </w:p>
        </w:tc>
      </w:tr>
      <w:tr w14:paraId="6B4F6A85">
        <w:tc>
          <w:tcPr>
            <w:tcW w:w="2767" w:type="dxa"/>
          </w:tcPr>
          <w:p w14:paraId="6854C6EA">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机构股东合计</w:t>
            </w:r>
          </w:p>
        </w:tc>
        <w:tc>
          <w:tcPr>
            <w:tcW w:w="2767" w:type="dxa"/>
          </w:tcPr>
          <w:p w14:paraId="17600069">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895.28</w:t>
            </w:r>
          </w:p>
        </w:tc>
        <w:tc>
          <w:tcPr>
            <w:tcW w:w="2768" w:type="dxa"/>
          </w:tcPr>
          <w:p w14:paraId="58FC8A38">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42.45%</w:t>
            </w:r>
          </w:p>
        </w:tc>
      </w:tr>
      <w:tr w14:paraId="43E8D6FE">
        <w:tc>
          <w:tcPr>
            <w:tcW w:w="2767" w:type="dxa"/>
          </w:tcPr>
          <w:p w14:paraId="60B66AE6">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合计</w:t>
            </w:r>
          </w:p>
        </w:tc>
        <w:tc>
          <w:tcPr>
            <w:tcW w:w="2767" w:type="dxa"/>
          </w:tcPr>
          <w:p w14:paraId="512FD9B0">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2109.35</w:t>
            </w:r>
          </w:p>
        </w:tc>
        <w:tc>
          <w:tcPr>
            <w:tcW w:w="2768" w:type="dxa"/>
          </w:tcPr>
          <w:p w14:paraId="33BF1080">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100.00%</w:t>
            </w:r>
          </w:p>
        </w:tc>
      </w:tr>
    </w:tbl>
    <w:p w14:paraId="29541A3B">
      <w:pPr>
        <w:pStyle w:val="88"/>
        <w:rPr>
          <w:color w:val="000000" w:themeColor="text1"/>
          <w14:textFill>
            <w14:solidFill>
              <w14:schemeClr w14:val="tx1"/>
            </w14:solidFill>
          </w14:textFill>
        </w:rPr>
      </w:pPr>
      <w:bookmarkStart w:id="15" w:name="_Toc2121764688"/>
      <w:r>
        <w:rPr>
          <w:rFonts w:hint="eastAsia"/>
          <w:color w:val="000000" w:themeColor="text1"/>
          <w14:textFill>
            <w14:solidFill>
              <w14:schemeClr w14:val="tx1"/>
            </w14:solidFill>
          </w14:textFill>
        </w:rPr>
        <w:t>A轮融资(</w:t>
      </w:r>
      <w:r>
        <w:rPr>
          <w:color w:val="000000" w:themeColor="text1"/>
          <w14:textFill>
            <w14:solidFill>
              <w14:schemeClr w14:val="tx1"/>
            </w14:solidFill>
          </w14:textFill>
        </w:rPr>
        <w:t>202</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年</w:t>
      </w:r>
      <w:r>
        <w:rPr>
          <w:rFonts w:hint="eastAsia"/>
          <w:color w:val="000000" w:themeColor="text1"/>
          <w14:textFill>
            <w14:solidFill>
              <w14:schemeClr w14:val="tx1"/>
            </w14:solidFill>
          </w14:textFill>
        </w:rPr>
        <w:t>5月)</w:t>
      </w:r>
      <w:bookmarkEnd w:id="15"/>
    </w:p>
    <w:p w14:paraId="08A4A6F8">
      <w:pPr>
        <w:pStyle w:val="91"/>
        <w:rPr>
          <w:color w:val="000000" w:themeColor="text1"/>
          <w14:textFill>
            <w14:solidFill>
              <w14:schemeClr w14:val="tx1"/>
            </w14:solidFill>
          </w14:textFill>
        </w:rPr>
      </w:pPr>
      <w:r>
        <w:rPr>
          <w:color w:val="000000" w:themeColor="text1"/>
          <w14:textFill>
            <w14:solidFill>
              <w14:schemeClr w14:val="tx1"/>
            </w14:solidFill>
          </w14:textFill>
        </w:rPr>
        <w:t>2021年05月，公司完成了A轮融资。本轮融资由火山石资本、沃生资本、领脉资本追加投资。本次增资</w:t>
      </w:r>
      <w:r>
        <w:rPr>
          <w:rFonts w:hint="eastAsia"/>
          <w:color w:val="000000" w:themeColor="text1"/>
          <w:lang w:val="en-US" w:eastAsia="zh-CN"/>
          <w14:textFill>
            <w14:solidFill>
              <w14:schemeClr w14:val="tx1"/>
            </w14:solidFill>
          </w14:textFill>
        </w:rPr>
        <w:t>3550</w:t>
      </w:r>
      <w:r>
        <w:rPr>
          <w:color w:val="000000" w:themeColor="text1"/>
          <w14:textFill>
            <w14:solidFill>
              <w14:schemeClr w14:val="tx1"/>
            </w14:solidFill>
          </w14:textFill>
        </w:rPr>
        <w:t>万元人民币，公司的注册资本由2109.35万元人民币增加至2296.56万元人民币。</w:t>
      </w:r>
    </w:p>
    <w:p w14:paraId="16CFF044">
      <w:pPr>
        <w:pStyle w:val="91"/>
        <w:rPr>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55614386">
        <w:tc>
          <w:tcPr>
            <w:tcW w:w="2767" w:type="dxa"/>
          </w:tcPr>
          <w:p w14:paraId="473AD959">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37B0F6B6">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1AF5739E">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65876BBB">
        <w:tc>
          <w:tcPr>
            <w:tcW w:w="2767" w:type="dxa"/>
          </w:tcPr>
          <w:p w14:paraId="0F683E5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2D2BDD6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405.02</w:t>
            </w:r>
          </w:p>
        </w:tc>
        <w:tc>
          <w:tcPr>
            <w:tcW w:w="2768" w:type="dxa"/>
          </w:tcPr>
          <w:p w14:paraId="06D99DC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17.64%</w:t>
            </w:r>
          </w:p>
        </w:tc>
      </w:tr>
      <w:tr w14:paraId="349113B3">
        <w:tc>
          <w:tcPr>
            <w:tcW w:w="2767" w:type="dxa"/>
          </w:tcPr>
          <w:p w14:paraId="173CCFD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杭州佳诺智光</w:t>
            </w:r>
          </w:p>
        </w:tc>
        <w:tc>
          <w:tcPr>
            <w:tcW w:w="2767" w:type="dxa"/>
          </w:tcPr>
          <w:p w14:paraId="12FEE61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358.58</w:t>
            </w:r>
          </w:p>
        </w:tc>
        <w:tc>
          <w:tcPr>
            <w:tcW w:w="2768" w:type="dxa"/>
          </w:tcPr>
          <w:p w14:paraId="57CED36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15.61%</w:t>
            </w:r>
          </w:p>
        </w:tc>
      </w:tr>
      <w:tr w14:paraId="73C0F01D">
        <w:tc>
          <w:tcPr>
            <w:tcW w:w="2767" w:type="dxa"/>
          </w:tcPr>
          <w:p w14:paraId="3CAD887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杭州海创光影</w:t>
            </w:r>
          </w:p>
        </w:tc>
        <w:tc>
          <w:tcPr>
            <w:tcW w:w="2767" w:type="dxa"/>
          </w:tcPr>
          <w:p w14:paraId="685990F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105.47</w:t>
            </w:r>
          </w:p>
        </w:tc>
        <w:tc>
          <w:tcPr>
            <w:tcW w:w="2768" w:type="dxa"/>
          </w:tcPr>
          <w:p w14:paraId="4F1BACC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4.59%</w:t>
            </w:r>
          </w:p>
        </w:tc>
      </w:tr>
      <w:tr w14:paraId="3EC68E32">
        <w:tc>
          <w:tcPr>
            <w:tcW w:w="2767" w:type="dxa"/>
          </w:tcPr>
          <w:p w14:paraId="4BC878D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上海锦嵘</w:t>
            </w:r>
          </w:p>
        </w:tc>
        <w:tc>
          <w:tcPr>
            <w:tcW w:w="2767" w:type="dxa"/>
          </w:tcPr>
          <w:p w14:paraId="64D127D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245.00</w:t>
            </w:r>
          </w:p>
        </w:tc>
        <w:tc>
          <w:tcPr>
            <w:tcW w:w="2768" w:type="dxa"/>
          </w:tcPr>
          <w:p w14:paraId="46F1A151">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10.67%</w:t>
            </w:r>
          </w:p>
        </w:tc>
      </w:tr>
      <w:tr w14:paraId="692F445D">
        <w:tc>
          <w:tcPr>
            <w:tcW w:w="2767" w:type="dxa"/>
          </w:tcPr>
          <w:p w14:paraId="6249F1F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上海裕荣惠华</w:t>
            </w:r>
          </w:p>
        </w:tc>
        <w:tc>
          <w:tcPr>
            <w:tcW w:w="2767" w:type="dxa"/>
          </w:tcPr>
          <w:p w14:paraId="49D4C72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100.00</w:t>
            </w:r>
          </w:p>
        </w:tc>
        <w:tc>
          <w:tcPr>
            <w:tcW w:w="2768" w:type="dxa"/>
          </w:tcPr>
          <w:p w14:paraId="02EA14D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4.35%</w:t>
            </w:r>
          </w:p>
        </w:tc>
      </w:tr>
      <w:tr w14:paraId="2CA2CBD9">
        <w:tc>
          <w:tcPr>
            <w:tcW w:w="2767" w:type="dxa"/>
          </w:tcPr>
          <w:p w14:paraId="555E9B13">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机构股东合计</w:t>
            </w:r>
          </w:p>
        </w:tc>
        <w:tc>
          <w:tcPr>
            <w:tcW w:w="2767" w:type="dxa"/>
          </w:tcPr>
          <w:p w14:paraId="296FF8FA">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1082.49</w:t>
            </w:r>
          </w:p>
        </w:tc>
        <w:tc>
          <w:tcPr>
            <w:tcW w:w="2768" w:type="dxa"/>
          </w:tcPr>
          <w:p w14:paraId="47AF56D4">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47.14%</w:t>
            </w:r>
          </w:p>
        </w:tc>
      </w:tr>
      <w:tr w14:paraId="4867C1BB">
        <w:tc>
          <w:tcPr>
            <w:tcW w:w="2767" w:type="dxa"/>
          </w:tcPr>
          <w:p w14:paraId="7C730C96">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合计</w:t>
            </w:r>
          </w:p>
        </w:tc>
        <w:tc>
          <w:tcPr>
            <w:tcW w:w="2767" w:type="dxa"/>
          </w:tcPr>
          <w:p w14:paraId="64B6BEA4">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2296.56</w:t>
            </w:r>
          </w:p>
        </w:tc>
        <w:tc>
          <w:tcPr>
            <w:tcW w:w="2768" w:type="dxa"/>
          </w:tcPr>
          <w:p w14:paraId="51BC85D9">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100.00%</w:t>
            </w:r>
          </w:p>
        </w:tc>
      </w:tr>
    </w:tbl>
    <w:p w14:paraId="650D023B">
      <w:pPr>
        <w:pStyle w:val="88"/>
        <w:rPr>
          <w:color w:val="000000" w:themeColor="text1"/>
          <w14:textFill>
            <w14:solidFill>
              <w14:schemeClr w14:val="tx1"/>
            </w14:solidFill>
          </w14:textFill>
        </w:rPr>
      </w:pPr>
      <w:bookmarkStart w:id="16" w:name="_Toc1533152781"/>
      <w:r>
        <w:rPr>
          <w:rStyle w:val="31"/>
          <w:rFonts w:hint="eastAsia"/>
          <w:b/>
          <w:color w:val="000000" w:themeColor="text1"/>
          <w14:textFill>
            <w14:solidFill>
              <w14:schemeClr w14:val="tx1"/>
            </w14:solidFill>
          </w14:textFill>
        </w:rPr>
        <w:t>B</w:t>
      </w:r>
      <w:r>
        <w:rPr>
          <w:rStyle w:val="31"/>
          <w:b/>
          <w:color w:val="000000" w:themeColor="text1"/>
          <w14:textFill>
            <w14:solidFill>
              <w14:schemeClr w14:val="tx1"/>
            </w14:solidFill>
          </w14:textFill>
        </w:rPr>
        <w:t>轮</w:t>
      </w:r>
      <w:r>
        <w:rPr>
          <w:rStyle w:val="31"/>
          <w:rFonts w:hint="eastAsia"/>
          <w:b/>
          <w:color w:val="000000" w:themeColor="text1"/>
          <w14:textFill>
            <w14:solidFill>
              <w14:schemeClr w14:val="tx1"/>
            </w14:solidFill>
          </w14:textFill>
        </w:rPr>
        <w:t>融</w:t>
      </w:r>
      <w:r>
        <w:rPr>
          <w:rStyle w:val="31"/>
          <w:b/>
          <w:color w:val="000000" w:themeColor="text1"/>
          <w14:textFill>
            <w14:solidFill>
              <w14:schemeClr w14:val="tx1"/>
            </w14:solidFill>
          </w14:textFill>
        </w:rPr>
        <w:t>资</w:t>
      </w:r>
      <w:r>
        <w:rPr>
          <w:rStyle w:val="31"/>
          <w:rFonts w:hint="eastAsia"/>
          <w:b/>
          <w:color w:val="000000" w:themeColor="text1"/>
          <w14:textFill>
            <w14:solidFill>
              <w14:schemeClr w14:val="tx1"/>
            </w14:solidFill>
          </w14:textFill>
        </w:rPr>
        <w:t>（含</w:t>
      </w:r>
      <w:r>
        <w:rPr>
          <w:rStyle w:val="31"/>
          <w:b/>
          <w:color w:val="000000" w:themeColor="text1"/>
          <w14:textFill>
            <w14:solidFill>
              <w14:schemeClr w14:val="tx1"/>
            </w14:solidFill>
          </w14:textFill>
        </w:rPr>
        <w:t>B-1</w:t>
      </w:r>
      <w:r>
        <w:rPr>
          <w:rStyle w:val="31"/>
          <w:rFonts w:hint="eastAsia"/>
          <w:b/>
          <w:color w:val="000000" w:themeColor="text1"/>
          <w14:textFill>
            <w14:solidFill>
              <w14:schemeClr w14:val="tx1"/>
            </w14:solidFill>
          </w14:textFill>
        </w:rPr>
        <w:t>/B-2</w:t>
      </w:r>
      <w:r>
        <w:rPr>
          <w:rStyle w:val="31"/>
          <w:b/>
          <w:color w:val="000000" w:themeColor="text1"/>
          <w14:textFill>
            <w14:solidFill>
              <w14:schemeClr w14:val="tx1"/>
            </w14:solidFill>
          </w14:textFill>
        </w:rPr>
        <w:t>/B-3</w:t>
      </w:r>
      <w:r>
        <w:rPr>
          <w:rStyle w:val="31"/>
          <w:rFonts w:hint="eastAsia"/>
          <w:b/>
          <w:color w:val="000000" w:themeColor="text1"/>
          <w14:textFill>
            <w14:solidFill>
              <w14:schemeClr w14:val="tx1"/>
            </w14:solidFill>
          </w14:textFill>
        </w:rPr>
        <w:t>）</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202</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年</w:t>
      </w:r>
      <w:r>
        <w:rPr>
          <w:rFonts w:hint="eastAsia"/>
          <w:color w:val="000000" w:themeColor="text1"/>
          <w14:textFill>
            <w14:solidFill>
              <w14:schemeClr w14:val="tx1"/>
            </w14:solidFill>
          </w14:textFill>
        </w:rPr>
        <w:t>9-12月)</w:t>
      </w:r>
      <w:bookmarkEnd w:id="16"/>
    </w:p>
    <w:p w14:paraId="78F74987">
      <w:pPr>
        <w:pStyle w:val="91"/>
        <w:rPr>
          <w:color w:val="000000" w:themeColor="text1"/>
          <w14:textFill>
            <w14:solidFill>
              <w14:schemeClr w14:val="tx1"/>
            </w14:solidFill>
          </w14:textFill>
        </w:rPr>
      </w:pPr>
      <w:r>
        <w:rPr>
          <w:color w:val="000000" w:themeColor="text1"/>
          <w14:textFill>
            <w14:solidFill>
              <w14:schemeClr w14:val="tx1"/>
            </w14:solidFill>
          </w14:textFill>
        </w:rPr>
        <w:t>2021年12月，公司完成了B轮系列融资。本轮融资引入了启明创投、元璟资本、中金资本、BrightGalaxy、CDHealth等知名机构。本次增资</w:t>
      </w:r>
      <w:r>
        <w:rPr>
          <w:rFonts w:hint="eastAsia"/>
          <w:color w:val="000000" w:themeColor="text1"/>
          <w:lang w:val="en-US" w:eastAsia="zh-CN"/>
          <w14:textFill>
            <w14:solidFill>
              <w14:schemeClr w14:val="tx1"/>
            </w14:solidFill>
          </w14:textFill>
        </w:rPr>
        <w:t>1.75亿</w:t>
      </w:r>
      <w:r>
        <w:rPr>
          <w:color w:val="000000" w:themeColor="text1"/>
          <w14:textFill>
            <w14:solidFill>
              <w14:schemeClr w14:val="tx1"/>
            </w14:solidFill>
          </w14:textFill>
        </w:rPr>
        <w:t>元人民币，公司的注册资本由2296.56万元人民币增加至2893.57万元人民币。</w:t>
      </w:r>
    </w:p>
    <w:p w14:paraId="3F1B7B02">
      <w:pPr>
        <w:pStyle w:val="91"/>
        <w:rPr>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r>
        <w:rPr>
          <w:rFonts w:hint="eastAsia"/>
          <w:color w:val="000000" w:themeColor="text1"/>
          <w14:textFill>
            <w14:solidFill>
              <w14:schemeClr w14:val="tx1"/>
            </w14:solidFill>
          </w14:textFill>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02471A07">
        <w:tc>
          <w:tcPr>
            <w:tcW w:w="2767" w:type="dxa"/>
          </w:tcPr>
          <w:p w14:paraId="2A55A704">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32F51693">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7F6FE23C">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4D6D3616">
        <w:tc>
          <w:tcPr>
            <w:tcW w:w="2767" w:type="dxa"/>
          </w:tcPr>
          <w:p w14:paraId="7CBE262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25CB8FE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405.02</w:t>
            </w:r>
          </w:p>
        </w:tc>
        <w:tc>
          <w:tcPr>
            <w:tcW w:w="2768" w:type="dxa"/>
          </w:tcPr>
          <w:p w14:paraId="0D5D400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13.99%</w:t>
            </w:r>
          </w:p>
        </w:tc>
      </w:tr>
      <w:tr w14:paraId="4D091256">
        <w:tc>
          <w:tcPr>
            <w:tcW w:w="2767" w:type="dxa"/>
          </w:tcPr>
          <w:p w14:paraId="71C0CE0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杭州佳诺智光</w:t>
            </w:r>
          </w:p>
        </w:tc>
        <w:tc>
          <w:tcPr>
            <w:tcW w:w="2767" w:type="dxa"/>
          </w:tcPr>
          <w:p w14:paraId="0CAC8277">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341.58</w:t>
            </w:r>
          </w:p>
        </w:tc>
        <w:tc>
          <w:tcPr>
            <w:tcW w:w="2768" w:type="dxa"/>
          </w:tcPr>
          <w:p w14:paraId="5115D13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11.80%</w:t>
            </w:r>
          </w:p>
        </w:tc>
      </w:tr>
      <w:tr w14:paraId="1302D66C">
        <w:tc>
          <w:tcPr>
            <w:tcW w:w="2767" w:type="dxa"/>
          </w:tcPr>
          <w:p w14:paraId="70114CC6">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杭州海创光影</w:t>
            </w:r>
          </w:p>
        </w:tc>
        <w:tc>
          <w:tcPr>
            <w:tcW w:w="2767" w:type="dxa"/>
          </w:tcPr>
          <w:p w14:paraId="62BB387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226.34</w:t>
            </w:r>
          </w:p>
        </w:tc>
        <w:tc>
          <w:tcPr>
            <w:tcW w:w="2768" w:type="dxa"/>
          </w:tcPr>
          <w:p w14:paraId="43724D0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7.82%</w:t>
            </w:r>
          </w:p>
        </w:tc>
      </w:tr>
      <w:tr w14:paraId="1071D35D">
        <w:tc>
          <w:tcPr>
            <w:tcW w:w="2767" w:type="dxa"/>
          </w:tcPr>
          <w:p w14:paraId="6EE8B9E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杭州锦嵘</w:t>
            </w:r>
          </w:p>
        </w:tc>
        <w:tc>
          <w:tcPr>
            <w:tcW w:w="2767" w:type="dxa"/>
          </w:tcPr>
          <w:p w14:paraId="71300C5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214.62</w:t>
            </w:r>
          </w:p>
        </w:tc>
        <w:tc>
          <w:tcPr>
            <w:tcW w:w="2768" w:type="dxa"/>
          </w:tcPr>
          <w:p w14:paraId="5B56150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7.42%</w:t>
            </w:r>
          </w:p>
        </w:tc>
      </w:tr>
      <w:tr w14:paraId="48D433BD">
        <w:tc>
          <w:tcPr>
            <w:tcW w:w="2767" w:type="dxa"/>
          </w:tcPr>
          <w:p w14:paraId="79C6492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苏州辰知德</w:t>
            </w:r>
          </w:p>
        </w:tc>
        <w:tc>
          <w:tcPr>
            <w:tcW w:w="2767" w:type="dxa"/>
          </w:tcPr>
          <w:p w14:paraId="46F09FF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195.42</w:t>
            </w:r>
          </w:p>
        </w:tc>
        <w:tc>
          <w:tcPr>
            <w:tcW w:w="2768" w:type="dxa"/>
          </w:tcPr>
          <w:p w14:paraId="18351E32">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6.75%</w:t>
            </w:r>
          </w:p>
        </w:tc>
      </w:tr>
      <w:tr w14:paraId="471A1309">
        <w:tc>
          <w:tcPr>
            <w:tcW w:w="2767" w:type="dxa"/>
          </w:tcPr>
          <w:p w14:paraId="0FD1AFC2">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启明系合计</w:t>
            </w:r>
          </w:p>
        </w:tc>
        <w:tc>
          <w:tcPr>
            <w:tcW w:w="2767" w:type="dxa"/>
          </w:tcPr>
          <w:p w14:paraId="7A504DA3">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271.27</w:t>
            </w:r>
          </w:p>
        </w:tc>
        <w:tc>
          <w:tcPr>
            <w:tcW w:w="2768" w:type="dxa"/>
          </w:tcPr>
          <w:p w14:paraId="75BF4DD6">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9.37%</w:t>
            </w:r>
          </w:p>
        </w:tc>
      </w:tr>
      <w:tr w14:paraId="782724EF">
        <w:tc>
          <w:tcPr>
            <w:tcW w:w="2767" w:type="dxa"/>
          </w:tcPr>
          <w:p w14:paraId="3B50DF9A">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中金传誉凤凰</w:t>
            </w:r>
          </w:p>
        </w:tc>
        <w:tc>
          <w:tcPr>
            <w:tcW w:w="2767" w:type="dxa"/>
          </w:tcPr>
          <w:p w14:paraId="289EED31">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48.23</w:t>
            </w:r>
          </w:p>
        </w:tc>
        <w:tc>
          <w:tcPr>
            <w:tcW w:w="2768" w:type="dxa"/>
          </w:tcPr>
          <w:p w14:paraId="73FE26E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1.67%</w:t>
            </w:r>
          </w:p>
        </w:tc>
      </w:tr>
      <w:tr w14:paraId="69178E8D">
        <w:tc>
          <w:tcPr>
            <w:tcW w:w="2767" w:type="dxa"/>
          </w:tcPr>
          <w:p w14:paraId="10C0EDD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元璟资本</w:t>
            </w:r>
          </w:p>
        </w:tc>
        <w:tc>
          <w:tcPr>
            <w:tcW w:w="2767" w:type="dxa"/>
          </w:tcPr>
          <w:p w14:paraId="54724007">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94.47</w:t>
            </w:r>
          </w:p>
        </w:tc>
        <w:tc>
          <w:tcPr>
            <w:tcW w:w="2768" w:type="dxa"/>
          </w:tcPr>
          <w:p w14:paraId="3E0F3957">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3.27%</w:t>
            </w:r>
          </w:p>
        </w:tc>
      </w:tr>
      <w:tr w14:paraId="773E950F">
        <w:tc>
          <w:tcPr>
            <w:tcW w:w="2767" w:type="dxa"/>
          </w:tcPr>
          <w:p w14:paraId="47C4B028">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其余机构</w:t>
            </w:r>
          </w:p>
        </w:tc>
        <w:tc>
          <w:tcPr>
            <w:tcW w:w="2767" w:type="dxa"/>
          </w:tcPr>
          <w:p w14:paraId="5FA6CED0">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996.62</w:t>
            </w:r>
          </w:p>
        </w:tc>
        <w:tc>
          <w:tcPr>
            <w:tcW w:w="2768" w:type="dxa"/>
          </w:tcPr>
          <w:p w14:paraId="1D58EB10">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34.44%</w:t>
            </w:r>
          </w:p>
        </w:tc>
      </w:tr>
      <w:tr w14:paraId="2C3D56CF">
        <w:tc>
          <w:tcPr>
            <w:tcW w:w="2767" w:type="dxa"/>
          </w:tcPr>
          <w:p w14:paraId="36E94EE5">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合计</w:t>
            </w:r>
          </w:p>
        </w:tc>
        <w:tc>
          <w:tcPr>
            <w:tcW w:w="2767" w:type="dxa"/>
          </w:tcPr>
          <w:p w14:paraId="2F8476FE">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2893.57</w:t>
            </w:r>
          </w:p>
        </w:tc>
        <w:tc>
          <w:tcPr>
            <w:tcW w:w="2768" w:type="dxa"/>
          </w:tcPr>
          <w:p w14:paraId="07D5B2E9">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100.00%</w:t>
            </w:r>
          </w:p>
        </w:tc>
      </w:tr>
    </w:tbl>
    <w:p w14:paraId="28CF585F">
      <w:pPr>
        <w:pStyle w:val="88"/>
        <w:rPr>
          <w:color w:val="000000" w:themeColor="text1"/>
          <w14:textFill>
            <w14:solidFill>
              <w14:schemeClr w14:val="tx1"/>
            </w14:solidFill>
          </w14:textFill>
        </w:rPr>
      </w:pPr>
      <w:bookmarkStart w:id="17" w:name="_Toc42509914"/>
      <w:r>
        <w:rPr>
          <w:rStyle w:val="31"/>
          <w:b/>
          <w:color w:val="000000" w:themeColor="text1"/>
          <w14:textFill>
            <w14:solidFill>
              <w14:schemeClr w14:val="tx1"/>
            </w14:solidFill>
          </w14:textFill>
        </w:rPr>
        <w:t>B+</w:t>
      </w:r>
      <w:r>
        <w:rPr>
          <w:rStyle w:val="31"/>
          <w:rFonts w:hint="eastAsia"/>
          <w:b/>
          <w:color w:val="000000" w:themeColor="text1"/>
          <w14:textFill>
            <w14:solidFill>
              <w14:schemeClr w14:val="tx1"/>
            </w14:solidFill>
          </w14:textFill>
        </w:rPr>
        <w:t>轮</w:t>
      </w:r>
      <w:r>
        <w:rPr>
          <w:rStyle w:val="31"/>
          <w:b/>
          <w:color w:val="000000" w:themeColor="text1"/>
          <w14:textFill>
            <w14:solidFill>
              <w14:schemeClr w14:val="tx1"/>
            </w14:solidFill>
          </w14:textFill>
        </w:rPr>
        <w:t>增资</w:t>
      </w:r>
      <w:r>
        <w:rPr>
          <w:rStyle w:val="31"/>
          <w:rFonts w:hint="eastAsia"/>
          <w:b/>
          <w:color w:val="000000" w:themeColor="text1"/>
          <w14:textFill>
            <w14:solidFill>
              <w14:schemeClr w14:val="tx1"/>
            </w14:solidFill>
          </w14:textFill>
        </w:rPr>
        <w:t>（增资+老股转让）</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2023年9</w:t>
      </w:r>
      <w:r>
        <w:rPr>
          <w:rFonts w:hint="eastAsia"/>
          <w:color w:val="000000" w:themeColor="text1"/>
          <w14:textFill>
            <w14:solidFill>
              <w14:schemeClr w14:val="tx1"/>
            </w14:solidFill>
          </w14:textFill>
        </w:rPr>
        <w:t>月)</w:t>
      </w:r>
      <w:bookmarkEnd w:id="17"/>
    </w:p>
    <w:p w14:paraId="315D9D74">
      <w:pPr>
        <w:pStyle w:val="91"/>
        <w:rPr>
          <w:color w:val="000000" w:themeColor="text1"/>
          <w14:textFill>
            <w14:solidFill>
              <w14:schemeClr w14:val="tx1"/>
            </w14:solidFill>
          </w14:textFill>
        </w:rPr>
      </w:pPr>
      <w:r>
        <w:rPr>
          <w:color w:val="000000" w:themeColor="text1"/>
          <w14:textFill>
            <w14:solidFill>
              <w14:schemeClr w14:val="tx1"/>
            </w14:solidFill>
          </w14:textFill>
        </w:rPr>
        <w:t>2023年09月，公司完成了B+轮融资。本轮融资由中金资本、余杭转型升级产业投资领投。本次增资</w:t>
      </w:r>
      <w:r>
        <w:rPr>
          <w:rFonts w:hint="eastAsia"/>
          <w:color w:val="000000" w:themeColor="text1"/>
          <w:lang w:val="en-US" w:eastAsia="zh-CN"/>
          <w14:textFill>
            <w14:solidFill>
              <w14:schemeClr w14:val="tx1"/>
            </w14:solidFill>
          </w14:textFill>
        </w:rPr>
        <w:t>4048.26</w:t>
      </w:r>
      <w:r>
        <w:rPr>
          <w:color w:val="000000" w:themeColor="text1"/>
          <w14:textFill>
            <w14:solidFill>
              <w14:schemeClr w14:val="tx1"/>
            </w14:solidFill>
          </w14:textFill>
        </w:rPr>
        <w:t>万元人民币，公司的注册资本由2893.57万元人民币增加至2973.95万元人民币。</w:t>
      </w:r>
    </w:p>
    <w:p w14:paraId="357DFFAA">
      <w:pPr>
        <w:pStyle w:val="91"/>
        <w:rPr>
          <w:color w:val="000000" w:themeColor="text1"/>
          <w14:textFill>
            <w14:solidFill>
              <w14:schemeClr w14:val="tx1"/>
            </w14:solidFill>
          </w14:textFill>
        </w:rPr>
      </w:pPr>
      <w:r>
        <w:rPr>
          <w:color w:val="000000" w:themeColor="text1"/>
          <w14:textFill>
            <w14:solidFill>
              <w14:schemeClr w14:val="tx1"/>
            </w14:solidFill>
          </w14:textFill>
        </w:rPr>
        <w:t>本次增资工商变更完成后，公司的股权架构如下表所示</w:t>
      </w:r>
      <w:r>
        <w:rPr>
          <w:rFonts w:hint="eastAsia"/>
          <w:color w:val="000000" w:themeColor="text1"/>
          <w14:textFill>
            <w14:solidFill>
              <w14:schemeClr w14:val="tx1"/>
            </w14:solidFill>
          </w14:textFill>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1DFFD645">
        <w:tc>
          <w:tcPr>
            <w:tcW w:w="2767" w:type="dxa"/>
          </w:tcPr>
          <w:p w14:paraId="30A99442">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74A96591">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21AA515B">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0C8442BE">
        <w:tc>
          <w:tcPr>
            <w:tcW w:w="2767" w:type="dxa"/>
          </w:tcPr>
          <w:p w14:paraId="7ACBD01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77FBA11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388.94</w:t>
            </w:r>
          </w:p>
        </w:tc>
        <w:tc>
          <w:tcPr>
            <w:tcW w:w="2768" w:type="dxa"/>
          </w:tcPr>
          <w:p w14:paraId="0B60680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13.08%</w:t>
            </w:r>
          </w:p>
        </w:tc>
      </w:tr>
      <w:tr w14:paraId="4440D951">
        <w:tc>
          <w:tcPr>
            <w:tcW w:w="2767" w:type="dxa"/>
          </w:tcPr>
          <w:p w14:paraId="4901373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杭州佳诺智光</w:t>
            </w:r>
          </w:p>
        </w:tc>
        <w:tc>
          <w:tcPr>
            <w:tcW w:w="2767" w:type="dxa"/>
          </w:tcPr>
          <w:p w14:paraId="4EAFD15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341.58</w:t>
            </w:r>
          </w:p>
        </w:tc>
        <w:tc>
          <w:tcPr>
            <w:tcW w:w="2768" w:type="dxa"/>
          </w:tcPr>
          <w:p w14:paraId="49FE84F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11.49%</w:t>
            </w:r>
          </w:p>
        </w:tc>
      </w:tr>
      <w:tr w14:paraId="549177C2">
        <w:tc>
          <w:tcPr>
            <w:tcW w:w="2767" w:type="dxa"/>
          </w:tcPr>
          <w:p w14:paraId="06DDD87D">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杭州海创光影</w:t>
            </w:r>
          </w:p>
        </w:tc>
        <w:tc>
          <w:tcPr>
            <w:tcW w:w="2767" w:type="dxa"/>
          </w:tcPr>
          <w:p w14:paraId="07C6E1A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226.34</w:t>
            </w:r>
          </w:p>
        </w:tc>
        <w:tc>
          <w:tcPr>
            <w:tcW w:w="2768" w:type="dxa"/>
          </w:tcPr>
          <w:p w14:paraId="73CB2D3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7.61%</w:t>
            </w:r>
          </w:p>
        </w:tc>
      </w:tr>
      <w:tr w14:paraId="3D66C9CE">
        <w:tc>
          <w:tcPr>
            <w:tcW w:w="2767" w:type="dxa"/>
          </w:tcPr>
          <w:p w14:paraId="6BAC27EA">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杭州锦嵘</w:t>
            </w:r>
          </w:p>
        </w:tc>
        <w:tc>
          <w:tcPr>
            <w:tcW w:w="2767" w:type="dxa"/>
          </w:tcPr>
          <w:p w14:paraId="46841F1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214.62</w:t>
            </w:r>
          </w:p>
        </w:tc>
        <w:tc>
          <w:tcPr>
            <w:tcW w:w="2768" w:type="dxa"/>
          </w:tcPr>
          <w:p w14:paraId="55A88799">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7.22%</w:t>
            </w:r>
          </w:p>
        </w:tc>
      </w:tr>
      <w:tr w14:paraId="492ECD6F">
        <w:tc>
          <w:tcPr>
            <w:tcW w:w="2767" w:type="dxa"/>
          </w:tcPr>
          <w:p w14:paraId="2B58B9C8">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杭州裕荣惠华</w:t>
            </w:r>
          </w:p>
        </w:tc>
        <w:tc>
          <w:tcPr>
            <w:tcW w:w="2767" w:type="dxa"/>
          </w:tcPr>
          <w:p w14:paraId="05DBEE40">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88.00</w:t>
            </w:r>
          </w:p>
        </w:tc>
        <w:tc>
          <w:tcPr>
            <w:tcW w:w="2768" w:type="dxa"/>
          </w:tcPr>
          <w:p w14:paraId="614FB06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2.96%</w:t>
            </w:r>
          </w:p>
        </w:tc>
      </w:tr>
      <w:tr w14:paraId="1710FF99">
        <w:tc>
          <w:tcPr>
            <w:tcW w:w="2767" w:type="dxa"/>
          </w:tcPr>
          <w:p w14:paraId="238C04C0">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苏州辰知德</w:t>
            </w:r>
          </w:p>
        </w:tc>
        <w:tc>
          <w:tcPr>
            <w:tcW w:w="2767" w:type="dxa"/>
          </w:tcPr>
          <w:p w14:paraId="4D9F0308">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191.20</w:t>
            </w:r>
          </w:p>
        </w:tc>
        <w:tc>
          <w:tcPr>
            <w:tcW w:w="2768" w:type="dxa"/>
          </w:tcPr>
          <w:p w14:paraId="6844161B">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6.43%</w:t>
            </w:r>
          </w:p>
        </w:tc>
      </w:tr>
      <w:tr w14:paraId="40CFD6DC">
        <w:tc>
          <w:tcPr>
            <w:tcW w:w="2767" w:type="dxa"/>
          </w:tcPr>
          <w:p w14:paraId="022A58BE">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启明系合计</w:t>
            </w:r>
          </w:p>
        </w:tc>
        <w:tc>
          <w:tcPr>
            <w:tcW w:w="2767" w:type="dxa"/>
          </w:tcPr>
          <w:p w14:paraId="2D9B216E">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271.27</w:t>
            </w:r>
          </w:p>
        </w:tc>
        <w:tc>
          <w:tcPr>
            <w:tcW w:w="2768" w:type="dxa"/>
          </w:tcPr>
          <w:p w14:paraId="335E397A">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9.12%</w:t>
            </w:r>
          </w:p>
        </w:tc>
      </w:tr>
      <w:tr w14:paraId="60B12428">
        <w:tc>
          <w:tcPr>
            <w:tcW w:w="2767" w:type="dxa"/>
          </w:tcPr>
          <w:p w14:paraId="00729216">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中金资本</w:t>
            </w:r>
          </w:p>
        </w:tc>
        <w:tc>
          <w:tcPr>
            <w:tcW w:w="2767" w:type="dxa"/>
          </w:tcPr>
          <w:p w14:paraId="465B1981">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133.96</w:t>
            </w:r>
          </w:p>
        </w:tc>
        <w:tc>
          <w:tcPr>
            <w:tcW w:w="2768" w:type="dxa"/>
          </w:tcPr>
          <w:p w14:paraId="2FEE3698">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4.50%</w:t>
            </w:r>
          </w:p>
        </w:tc>
      </w:tr>
      <w:tr w14:paraId="6739CD79">
        <w:tc>
          <w:tcPr>
            <w:tcW w:w="2767" w:type="dxa"/>
          </w:tcPr>
          <w:p w14:paraId="06C5028E">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元璟资本</w:t>
            </w:r>
          </w:p>
        </w:tc>
        <w:tc>
          <w:tcPr>
            <w:tcW w:w="2767" w:type="dxa"/>
          </w:tcPr>
          <w:p w14:paraId="4EFFA3E7">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94.47</w:t>
            </w:r>
          </w:p>
        </w:tc>
        <w:tc>
          <w:tcPr>
            <w:tcW w:w="2768" w:type="dxa"/>
          </w:tcPr>
          <w:p w14:paraId="403FB61A">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3.18%</w:t>
            </w:r>
          </w:p>
        </w:tc>
      </w:tr>
      <w:tr w14:paraId="03DF342A">
        <w:tc>
          <w:tcPr>
            <w:tcW w:w="2767" w:type="dxa"/>
          </w:tcPr>
          <w:p w14:paraId="5CF42011">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火山石资本</w:t>
            </w:r>
          </w:p>
        </w:tc>
        <w:tc>
          <w:tcPr>
            <w:tcW w:w="2767" w:type="dxa"/>
          </w:tcPr>
          <w:p w14:paraId="1C7F10E2">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179.68</w:t>
            </w:r>
          </w:p>
        </w:tc>
        <w:tc>
          <w:tcPr>
            <w:tcW w:w="2768" w:type="dxa"/>
          </w:tcPr>
          <w:p w14:paraId="51B7665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6.04%</w:t>
            </w:r>
          </w:p>
        </w:tc>
      </w:tr>
      <w:tr w14:paraId="2FF2B509">
        <w:tc>
          <w:tcPr>
            <w:tcW w:w="2767" w:type="dxa"/>
          </w:tcPr>
          <w:p w14:paraId="24E0E71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海邦系合计</w:t>
            </w:r>
          </w:p>
        </w:tc>
        <w:tc>
          <w:tcPr>
            <w:tcW w:w="2767" w:type="dxa"/>
          </w:tcPr>
          <w:p w14:paraId="630DD077">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241.18</w:t>
            </w:r>
          </w:p>
        </w:tc>
        <w:tc>
          <w:tcPr>
            <w:tcW w:w="2768" w:type="dxa"/>
          </w:tcPr>
          <w:p w14:paraId="24035C2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8.11%</w:t>
            </w:r>
          </w:p>
        </w:tc>
      </w:tr>
      <w:tr w14:paraId="41E7F85E">
        <w:tc>
          <w:tcPr>
            <w:tcW w:w="2767" w:type="dxa"/>
          </w:tcPr>
          <w:p w14:paraId="0D17D996">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其他机构</w:t>
            </w:r>
          </w:p>
        </w:tc>
        <w:tc>
          <w:tcPr>
            <w:tcW w:w="2767" w:type="dxa"/>
          </w:tcPr>
          <w:p w14:paraId="6703159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492.71</w:t>
            </w:r>
          </w:p>
        </w:tc>
        <w:tc>
          <w:tcPr>
            <w:tcW w:w="2768" w:type="dxa"/>
          </w:tcPr>
          <w:p w14:paraId="7C61758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16.57%</w:t>
            </w:r>
          </w:p>
        </w:tc>
      </w:tr>
      <w:tr w14:paraId="0F8EB901">
        <w:tc>
          <w:tcPr>
            <w:tcW w:w="2767" w:type="dxa"/>
          </w:tcPr>
          <w:p w14:paraId="7B300CEE">
            <w:pPr>
              <w:pStyle w:val="91"/>
              <w:ind w:firstLine="0" w:firstLineChars="0"/>
              <w:jc w:val="center"/>
              <w:rPr>
                <w:color w:val="000000" w:themeColor="text1"/>
                <w14:textFill>
                  <w14:solidFill>
                    <w14:schemeClr w14:val="tx1"/>
                  </w14:solidFill>
                </w14:textFill>
              </w:rPr>
            </w:pPr>
            <w:r>
              <w:rPr>
                <w:b/>
                <w:bCs/>
                <w:color w:val="000000" w:themeColor="text1"/>
                <w14:textFill>
                  <w14:solidFill>
                    <w14:schemeClr w14:val="tx1"/>
                  </w14:solidFill>
                </w14:textFill>
              </w:rPr>
              <w:t>合计</w:t>
            </w:r>
          </w:p>
        </w:tc>
        <w:tc>
          <w:tcPr>
            <w:tcW w:w="2767" w:type="dxa"/>
          </w:tcPr>
          <w:p w14:paraId="7D6CFE0B">
            <w:pPr>
              <w:pStyle w:val="91"/>
              <w:ind w:firstLine="0" w:firstLineChars="0"/>
              <w:jc w:val="center"/>
              <w:rPr>
                <w:color w:val="000000" w:themeColor="text1"/>
                <w14:textFill>
                  <w14:solidFill>
                    <w14:schemeClr w14:val="tx1"/>
                  </w14:solidFill>
                </w14:textFill>
              </w:rPr>
            </w:pPr>
            <w:r>
              <w:rPr>
                <w:b/>
                <w:bCs/>
                <w:color w:val="000000" w:themeColor="text1"/>
                <w14:textFill>
                  <w14:solidFill>
                    <w14:schemeClr w14:val="tx1"/>
                  </w14:solidFill>
                </w14:textFill>
              </w:rPr>
              <w:t>2973.95</w:t>
            </w:r>
          </w:p>
        </w:tc>
        <w:tc>
          <w:tcPr>
            <w:tcW w:w="2768" w:type="dxa"/>
          </w:tcPr>
          <w:p w14:paraId="595AE84D">
            <w:pPr>
              <w:pStyle w:val="91"/>
              <w:ind w:firstLine="0" w:firstLineChars="0"/>
              <w:jc w:val="center"/>
              <w:rPr>
                <w:color w:val="000000" w:themeColor="text1"/>
                <w14:textFill>
                  <w14:solidFill>
                    <w14:schemeClr w14:val="tx1"/>
                  </w14:solidFill>
                </w14:textFill>
              </w:rPr>
            </w:pPr>
            <w:r>
              <w:rPr>
                <w:b/>
                <w:bCs/>
                <w:color w:val="000000" w:themeColor="text1"/>
                <w14:textFill>
                  <w14:solidFill>
                    <w14:schemeClr w14:val="tx1"/>
                  </w14:solidFill>
                </w14:textFill>
              </w:rPr>
              <w:t>100.00%</w:t>
            </w:r>
          </w:p>
        </w:tc>
      </w:tr>
    </w:tbl>
    <w:p w14:paraId="0482DAA8">
      <w:pPr>
        <w:pStyle w:val="88"/>
        <w:rPr>
          <w:color w:val="000000" w:themeColor="text1"/>
          <w14:textFill>
            <w14:solidFill>
              <w14:schemeClr w14:val="tx1"/>
            </w14:solidFill>
          </w14:textFill>
        </w:rPr>
      </w:pPr>
      <w:bookmarkStart w:id="18" w:name="_Toc1499553794"/>
      <w:r>
        <w:rPr>
          <w:rStyle w:val="31"/>
          <w:rFonts w:hint="eastAsia"/>
          <w:b/>
          <w:color w:val="000000" w:themeColor="text1"/>
          <w14:textFill>
            <w14:solidFill>
              <w14:schemeClr w14:val="tx1"/>
            </w14:solidFill>
          </w14:textFill>
        </w:rPr>
        <w:t>老股转让（无增资）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2023年</w:t>
      </w:r>
      <w:r>
        <w:rPr>
          <w:rFonts w:hint="eastAsia"/>
          <w:color w:val="000000" w:themeColor="text1"/>
          <w14:textFill>
            <w14:solidFill>
              <w14:schemeClr w14:val="tx1"/>
            </w14:solidFill>
          </w14:textFill>
        </w:rPr>
        <w:t>12月)</w:t>
      </w:r>
      <w:bookmarkEnd w:id="18"/>
    </w:p>
    <w:p w14:paraId="67EA4038">
      <w:pPr>
        <w:pStyle w:val="91"/>
        <w:rPr>
          <w:color w:val="000000" w:themeColor="text1"/>
          <w14:textFill>
            <w14:solidFill>
              <w14:schemeClr w14:val="tx1"/>
            </w14:solidFill>
          </w14:textFill>
        </w:rPr>
      </w:pPr>
      <w:r>
        <w:rPr>
          <w:color w:val="000000" w:themeColor="text1"/>
          <w14:textFill>
            <w14:solidFill>
              <w14:schemeClr w14:val="tx1"/>
            </w14:solidFill>
          </w14:textFill>
        </w:rPr>
        <w:t>2023年12月，公司完成了老股转让，无新增注册资本。本轮为机构股东内部股权优化，和瑞创投、海邦数瑞受让部分老股，公司的注册资本保持2973.95万元人民币不变，投后估值维持不变。</w:t>
      </w:r>
    </w:p>
    <w:p w14:paraId="0ABAB6C3">
      <w:pPr>
        <w:pStyle w:val="91"/>
        <w:rPr>
          <w:color w:val="000000" w:themeColor="text1"/>
          <w14:textFill>
            <w14:solidFill>
              <w14:schemeClr w14:val="tx1"/>
            </w14:solidFill>
          </w14:textFill>
        </w:rPr>
      </w:pPr>
      <w:r>
        <w:rPr>
          <w:color w:val="000000" w:themeColor="text1"/>
          <w14:textFill>
            <w14:solidFill>
              <w14:schemeClr w14:val="tx1"/>
            </w14:solidFill>
          </w14:textFill>
        </w:rPr>
        <w:t>本次转让工商变更完成后，公司的股权架构与B+轮后一致，仅部分机构股东持股比例微调，大股东结构未发生重大变化，股权架构表同2023年09月B+轮后架构。</w:t>
      </w:r>
    </w:p>
    <w:p w14:paraId="78B6F245">
      <w:pPr>
        <w:pStyle w:val="88"/>
        <w:rPr>
          <w:rFonts w:hint="eastAsia"/>
          <w:color w:val="000000" w:themeColor="text1"/>
          <w14:textFill>
            <w14:solidFill>
              <w14:schemeClr w14:val="tx1"/>
            </w14:solidFill>
          </w14:textFill>
        </w:rPr>
      </w:pPr>
      <w:bookmarkStart w:id="19" w:name="_Toc132534566"/>
      <w:r>
        <w:rPr>
          <w:rStyle w:val="31"/>
          <w:rFonts w:hint="eastAsia"/>
          <w:b/>
          <w:color w:val="000000" w:themeColor="text1"/>
          <w14:textFill>
            <w14:solidFill>
              <w14:schemeClr w14:val="tx1"/>
            </w14:solidFill>
          </w14:textFill>
        </w:rPr>
        <w:t>股权变更（4.81%股权转让）</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202</w:t>
      </w:r>
      <w:r>
        <w:rPr>
          <w:rFonts w:hint="eastAsia"/>
          <w:color w:val="000000" w:themeColor="text1"/>
          <w14:textFill>
            <w14:solidFill>
              <w14:schemeClr w14:val="tx1"/>
            </w14:solidFill>
          </w14:textFill>
        </w:rPr>
        <w:t>5</w:t>
      </w:r>
      <w:r>
        <w:rPr>
          <w:color w:val="000000" w:themeColor="text1"/>
          <w14:textFill>
            <w14:solidFill>
              <w14:schemeClr w14:val="tx1"/>
            </w14:solidFill>
          </w14:textFill>
        </w:rPr>
        <w:t>年</w:t>
      </w:r>
      <w:r>
        <w:rPr>
          <w:rFonts w:hint="eastAsia"/>
          <w:color w:val="000000" w:themeColor="text1"/>
          <w14:textFill>
            <w14:solidFill>
              <w14:schemeClr w14:val="tx1"/>
            </w14:solidFill>
          </w14:textFill>
        </w:rPr>
        <w:t>6月10日)</w:t>
      </w:r>
      <w:bookmarkEnd w:id="19"/>
    </w:p>
    <w:p w14:paraId="0ED64F74">
      <w:pPr>
        <w:pStyle w:val="91"/>
        <w:rPr>
          <w:color w:val="000000" w:themeColor="text1"/>
          <w14:textFill>
            <w14:solidFill>
              <w14:schemeClr w14:val="tx1"/>
            </w14:solidFill>
          </w14:textFill>
        </w:rPr>
      </w:pPr>
      <w:r>
        <w:rPr>
          <w:color w:val="000000" w:themeColor="text1"/>
          <w14:textFill>
            <w14:solidFill>
              <w14:schemeClr w14:val="tx1"/>
            </w14:solidFill>
          </w14:textFill>
        </w:rPr>
        <w:t>2025年06月10日，公司完成了4.81%股权的转让，无新增注册资本。本次股权变更为机构股东之间的转让，出让方为辰德资本、火山石资本、沃生投资、绿河投资、宇杉资本及绍兴海邦人才，竞买方为海邦投资旗下的杭州海邦数瑞、和瑞创投。公司的注册资本保持2973.95万元人民币不变，投后估值维持不变。</w:t>
      </w:r>
    </w:p>
    <w:p w14:paraId="624D9CD8">
      <w:pPr>
        <w:pStyle w:val="91"/>
        <w:rPr>
          <w:rFonts w:hint="eastAsia"/>
          <w:color w:val="000000" w:themeColor="text1"/>
          <w14:textFill>
            <w14:solidFill>
              <w14:schemeClr w14:val="tx1"/>
            </w14:solidFill>
          </w14:textFill>
        </w:rPr>
      </w:pPr>
      <w:r>
        <w:rPr>
          <w:color w:val="000000" w:themeColor="text1"/>
          <w14:textFill>
            <w14:solidFill>
              <w14:schemeClr w14:val="tx1"/>
            </w14:solidFill>
          </w14:textFill>
        </w:rPr>
        <w:t>本次转让工商变更完成后，公司的股权架构如下表所示（核心股东结构更新</w:t>
      </w:r>
      <w:r>
        <w:rPr>
          <w:rFonts w:hint="eastAsia"/>
          <w:color w:val="000000" w:themeColor="text1"/>
          <w14:textFill>
            <w14:solidFill>
              <w14:schemeClr w14:val="tx1"/>
            </w14:solidFill>
          </w14:textFill>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8"/>
      </w:tblGrid>
      <w:tr w14:paraId="6C2F89A8">
        <w:tc>
          <w:tcPr>
            <w:tcW w:w="2767" w:type="dxa"/>
          </w:tcPr>
          <w:p w14:paraId="568707F9">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股东名称</w:t>
            </w:r>
          </w:p>
        </w:tc>
        <w:tc>
          <w:tcPr>
            <w:tcW w:w="2767" w:type="dxa"/>
          </w:tcPr>
          <w:p w14:paraId="1549BED1">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认缴出资额（万元）</w:t>
            </w:r>
          </w:p>
        </w:tc>
        <w:tc>
          <w:tcPr>
            <w:tcW w:w="2768" w:type="dxa"/>
          </w:tcPr>
          <w:p w14:paraId="492A05DB">
            <w:pPr>
              <w:pStyle w:val="91"/>
              <w:ind w:firstLine="0" w:firstLineChars="0"/>
              <w:jc w:val="center"/>
              <w:rPr>
                <w:rFonts w:cstheme="minorBidi"/>
                <w:b/>
                <w:bCs/>
                <w:color w:val="000000" w:themeColor="text1"/>
                <w14:textFill>
                  <w14:solidFill>
                    <w14:schemeClr w14:val="tx1"/>
                  </w14:solidFill>
                </w14:textFill>
              </w:rPr>
            </w:pPr>
            <w:r>
              <w:rPr>
                <w:rFonts w:cstheme="minorBidi"/>
                <w:b/>
                <w:bCs/>
                <w:color w:val="000000" w:themeColor="text1"/>
                <w14:textFill>
                  <w14:solidFill>
                    <w14:schemeClr w14:val="tx1"/>
                  </w14:solidFill>
                </w14:textFill>
              </w:rPr>
              <w:t>持股比例</w:t>
            </w:r>
          </w:p>
        </w:tc>
      </w:tr>
      <w:tr w14:paraId="61641A0B">
        <w:tc>
          <w:tcPr>
            <w:tcW w:w="2767" w:type="dxa"/>
          </w:tcPr>
          <w:p w14:paraId="76C0EFD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曹鹏</w:t>
            </w:r>
          </w:p>
        </w:tc>
        <w:tc>
          <w:tcPr>
            <w:tcW w:w="2767" w:type="dxa"/>
          </w:tcPr>
          <w:p w14:paraId="62BDBDA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388.94</w:t>
            </w:r>
          </w:p>
        </w:tc>
        <w:tc>
          <w:tcPr>
            <w:tcW w:w="2768" w:type="dxa"/>
          </w:tcPr>
          <w:p w14:paraId="2422AD6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13.08%</w:t>
            </w:r>
          </w:p>
        </w:tc>
      </w:tr>
      <w:tr w14:paraId="3E09F5DA">
        <w:tc>
          <w:tcPr>
            <w:tcW w:w="2767" w:type="dxa"/>
          </w:tcPr>
          <w:p w14:paraId="584803F7">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杭州佳诺智光</w:t>
            </w:r>
          </w:p>
        </w:tc>
        <w:tc>
          <w:tcPr>
            <w:tcW w:w="2767" w:type="dxa"/>
          </w:tcPr>
          <w:p w14:paraId="5DCD111E">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341.58</w:t>
            </w:r>
          </w:p>
        </w:tc>
        <w:tc>
          <w:tcPr>
            <w:tcW w:w="2768" w:type="dxa"/>
          </w:tcPr>
          <w:p w14:paraId="1F168571">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11.49%</w:t>
            </w:r>
          </w:p>
        </w:tc>
      </w:tr>
      <w:tr w14:paraId="71498559">
        <w:tc>
          <w:tcPr>
            <w:tcW w:w="2767" w:type="dxa"/>
          </w:tcPr>
          <w:p w14:paraId="1F296FB5">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杭州海创光影</w:t>
            </w:r>
          </w:p>
        </w:tc>
        <w:tc>
          <w:tcPr>
            <w:tcW w:w="2767" w:type="dxa"/>
          </w:tcPr>
          <w:p w14:paraId="13AF3F7C">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226.34</w:t>
            </w:r>
          </w:p>
        </w:tc>
        <w:tc>
          <w:tcPr>
            <w:tcW w:w="2768" w:type="dxa"/>
          </w:tcPr>
          <w:p w14:paraId="45232B86">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7.61%</w:t>
            </w:r>
          </w:p>
        </w:tc>
      </w:tr>
      <w:tr w14:paraId="3C3C11F3">
        <w:tc>
          <w:tcPr>
            <w:tcW w:w="2767" w:type="dxa"/>
          </w:tcPr>
          <w:p w14:paraId="2C8DA716">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杭州锦嵘</w:t>
            </w:r>
          </w:p>
        </w:tc>
        <w:tc>
          <w:tcPr>
            <w:tcW w:w="2767" w:type="dxa"/>
          </w:tcPr>
          <w:p w14:paraId="514FC54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214.62</w:t>
            </w:r>
          </w:p>
        </w:tc>
        <w:tc>
          <w:tcPr>
            <w:tcW w:w="2768" w:type="dxa"/>
          </w:tcPr>
          <w:p w14:paraId="7C50A0F7">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7.22%</w:t>
            </w:r>
          </w:p>
        </w:tc>
      </w:tr>
      <w:tr w14:paraId="29C53577">
        <w:tc>
          <w:tcPr>
            <w:tcW w:w="2767" w:type="dxa"/>
          </w:tcPr>
          <w:p w14:paraId="6789789B">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杭州裕荣惠华</w:t>
            </w:r>
          </w:p>
        </w:tc>
        <w:tc>
          <w:tcPr>
            <w:tcW w:w="2767" w:type="dxa"/>
          </w:tcPr>
          <w:p w14:paraId="1FE4D0A4">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88.00</w:t>
            </w:r>
          </w:p>
        </w:tc>
        <w:tc>
          <w:tcPr>
            <w:tcW w:w="2768" w:type="dxa"/>
          </w:tcPr>
          <w:p w14:paraId="2824E07F">
            <w:pPr>
              <w:pStyle w:val="91"/>
              <w:ind w:firstLine="0" w:firstLineChars="0"/>
              <w:jc w:val="center"/>
              <w:rPr>
                <w:rFonts w:cstheme="minorBidi"/>
                <w:color w:val="000000" w:themeColor="text1"/>
                <w14:textFill>
                  <w14:solidFill>
                    <w14:schemeClr w14:val="tx1"/>
                  </w14:solidFill>
                </w14:textFill>
              </w:rPr>
            </w:pPr>
            <w:r>
              <w:rPr>
                <w:color w:val="000000" w:themeColor="text1"/>
                <w14:textFill>
                  <w14:solidFill>
                    <w14:schemeClr w14:val="tx1"/>
                  </w14:solidFill>
                </w14:textFill>
              </w:rPr>
              <w:t>2.96%</w:t>
            </w:r>
          </w:p>
        </w:tc>
      </w:tr>
      <w:tr w14:paraId="713E4340">
        <w:tc>
          <w:tcPr>
            <w:tcW w:w="2767" w:type="dxa"/>
          </w:tcPr>
          <w:p w14:paraId="0DA0DB18">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启明系合计</w:t>
            </w:r>
          </w:p>
        </w:tc>
        <w:tc>
          <w:tcPr>
            <w:tcW w:w="2767" w:type="dxa"/>
          </w:tcPr>
          <w:p w14:paraId="6F01D86B">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271.27</w:t>
            </w:r>
          </w:p>
        </w:tc>
        <w:tc>
          <w:tcPr>
            <w:tcW w:w="2768" w:type="dxa"/>
          </w:tcPr>
          <w:p w14:paraId="34D8839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9.12%</w:t>
            </w:r>
          </w:p>
        </w:tc>
      </w:tr>
      <w:tr w14:paraId="7AB801A6">
        <w:tc>
          <w:tcPr>
            <w:tcW w:w="2767" w:type="dxa"/>
          </w:tcPr>
          <w:p w14:paraId="7CA6DBF1">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中金资本</w:t>
            </w:r>
          </w:p>
        </w:tc>
        <w:tc>
          <w:tcPr>
            <w:tcW w:w="2767" w:type="dxa"/>
          </w:tcPr>
          <w:p w14:paraId="2850A9C2">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133.96</w:t>
            </w:r>
          </w:p>
        </w:tc>
        <w:tc>
          <w:tcPr>
            <w:tcW w:w="2768" w:type="dxa"/>
          </w:tcPr>
          <w:p w14:paraId="398D3F09">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4.50%</w:t>
            </w:r>
          </w:p>
        </w:tc>
      </w:tr>
      <w:tr w14:paraId="2FC46C17">
        <w:tc>
          <w:tcPr>
            <w:tcW w:w="2767" w:type="dxa"/>
          </w:tcPr>
          <w:p w14:paraId="00244527">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元璟资本</w:t>
            </w:r>
          </w:p>
        </w:tc>
        <w:tc>
          <w:tcPr>
            <w:tcW w:w="2767" w:type="dxa"/>
          </w:tcPr>
          <w:p w14:paraId="0A7DA8C9">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94.47</w:t>
            </w:r>
          </w:p>
        </w:tc>
        <w:tc>
          <w:tcPr>
            <w:tcW w:w="2768" w:type="dxa"/>
          </w:tcPr>
          <w:p w14:paraId="11C0E2AB">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3.18%</w:t>
            </w:r>
          </w:p>
        </w:tc>
      </w:tr>
      <w:tr w14:paraId="6A6EF34B">
        <w:tc>
          <w:tcPr>
            <w:tcW w:w="2767" w:type="dxa"/>
          </w:tcPr>
          <w:p w14:paraId="1D737EDE">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杭州海邦数瑞</w:t>
            </w:r>
          </w:p>
        </w:tc>
        <w:tc>
          <w:tcPr>
            <w:tcW w:w="2767" w:type="dxa"/>
          </w:tcPr>
          <w:p w14:paraId="72D6D7E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128.48</w:t>
            </w:r>
          </w:p>
        </w:tc>
        <w:tc>
          <w:tcPr>
            <w:tcW w:w="2768" w:type="dxa"/>
          </w:tcPr>
          <w:p w14:paraId="3726E6B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4.32%</w:t>
            </w:r>
          </w:p>
        </w:tc>
      </w:tr>
      <w:tr w14:paraId="4201C2E6">
        <w:tc>
          <w:tcPr>
            <w:tcW w:w="2767" w:type="dxa"/>
          </w:tcPr>
          <w:p w14:paraId="3D787025">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和瑞创投</w:t>
            </w:r>
          </w:p>
        </w:tc>
        <w:tc>
          <w:tcPr>
            <w:tcW w:w="2767" w:type="dxa"/>
          </w:tcPr>
          <w:p w14:paraId="5073047F">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14.28</w:t>
            </w:r>
          </w:p>
        </w:tc>
        <w:tc>
          <w:tcPr>
            <w:tcW w:w="2768" w:type="dxa"/>
          </w:tcPr>
          <w:p w14:paraId="678059CC">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0.48%</w:t>
            </w:r>
          </w:p>
        </w:tc>
      </w:tr>
      <w:tr w14:paraId="449A79AE">
        <w:tc>
          <w:tcPr>
            <w:tcW w:w="2767" w:type="dxa"/>
          </w:tcPr>
          <w:p w14:paraId="589EB896">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其他股东（含原出让方机构）</w:t>
            </w:r>
          </w:p>
        </w:tc>
        <w:tc>
          <w:tcPr>
            <w:tcW w:w="2767" w:type="dxa"/>
          </w:tcPr>
          <w:p w14:paraId="5C1C33D3">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1351.91</w:t>
            </w:r>
          </w:p>
        </w:tc>
        <w:tc>
          <w:tcPr>
            <w:tcW w:w="2768" w:type="dxa"/>
          </w:tcPr>
          <w:p w14:paraId="40FCFD9E">
            <w:pPr>
              <w:pStyle w:val="91"/>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45.46%</w:t>
            </w:r>
          </w:p>
        </w:tc>
      </w:tr>
      <w:tr w14:paraId="6C6F94D2">
        <w:tc>
          <w:tcPr>
            <w:tcW w:w="2767" w:type="dxa"/>
          </w:tcPr>
          <w:p w14:paraId="3EACB04F">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合计</w:t>
            </w:r>
          </w:p>
        </w:tc>
        <w:tc>
          <w:tcPr>
            <w:tcW w:w="2767" w:type="dxa"/>
          </w:tcPr>
          <w:p w14:paraId="01F4A231">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2973.95</w:t>
            </w:r>
          </w:p>
        </w:tc>
        <w:tc>
          <w:tcPr>
            <w:tcW w:w="2768" w:type="dxa"/>
          </w:tcPr>
          <w:p w14:paraId="20FEDCF6">
            <w:pPr>
              <w:pStyle w:val="91"/>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100.00%</w:t>
            </w:r>
          </w:p>
        </w:tc>
      </w:tr>
    </w:tbl>
    <w:p w14:paraId="63E636E2">
      <w:pPr>
        <w:pStyle w:val="88"/>
        <w:rPr>
          <w:rFonts w:hint="eastAsia"/>
          <w:color w:val="auto"/>
        </w:rPr>
      </w:pPr>
      <w:bookmarkStart w:id="20" w:name="_Toc567908823"/>
      <w:r>
        <w:rPr>
          <w:rStyle w:val="31"/>
          <w:rFonts w:hint="eastAsia"/>
          <w:b/>
          <w:color w:val="000000" w:themeColor="text1"/>
          <w:lang w:val="en-US" w:eastAsia="zh-CN"/>
          <w14:textFill>
            <w14:solidFill>
              <w14:schemeClr w14:val="tx1"/>
            </w14:solidFill>
          </w14:textFill>
        </w:rPr>
        <w:t>C轮融资（2026年3月30日）</w:t>
      </w:r>
      <w:bookmarkEnd w:id="20"/>
    </w:p>
    <w:p w14:paraId="3DE2636F">
      <w:pPr>
        <w:pStyle w:val="91"/>
        <w:rPr>
          <w:rFonts w:hint="default" w:eastAsia="仿宋"/>
          <w:color w:val="auto"/>
          <w:lang w:val="en-US" w:eastAsia="zh-CN"/>
        </w:rPr>
      </w:pPr>
      <w:r>
        <w:rPr>
          <w:rFonts w:hint="eastAsia"/>
          <w:color w:val="auto"/>
        </w:rPr>
        <w:t>佳量脑科学</w:t>
      </w:r>
      <w:r>
        <w:rPr>
          <w:rFonts w:hint="eastAsia"/>
          <w:color w:val="auto"/>
          <w:lang w:val="en-US" w:eastAsia="zh-CN"/>
        </w:rPr>
        <w:t>C</w:t>
      </w:r>
      <w:r>
        <w:rPr>
          <w:rFonts w:hint="eastAsia"/>
          <w:color w:val="auto"/>
        </w:rPr>
        <w:t>轮</w:t>
      </w:r>
      <w:r>
        <w:rPr>
          <w:rFonts w:hint="eastAsia"/>
          <w:color w:val="auto"/>
          <w:lang w:val="en-US" w:eastAsia="zh-CN"/>
        </w:rPr>
        <w:t>融资</w:t>
      </w:r>
      <w:r>
        <w:rPr>
          <w:rFonts w:hint="eastAsia"/>
          <w:color w:val="auto"/>
        </w:rPr>
        <w:t>由多家国资/产业资本主导，包括重庆渝富、上海熠建、杭州泰鲲、辰德资本、临港蓝湾资本、禾合创投、余杭金控、西证股权投资等，机构阵容兼具地方国资引导基金、产业基金及专业PE，资金来源多元且具备较强的产业资源属性</w:t>
      </w:r>
      <w:r>
        <w:rPr>
          <w:rFonts w:hint="eastAsia"/>
          <w:color w:val="auto"/>
          <w:lang w:eastAsia="zh-CN"/>
        </w:rPr>
        <w:t>，</w:t>
      </w:r>
      <w:r>
        <w:rPr>
          <w:rFonts w:hint="eastAsia"/>
          <w:color w:val="auto"/>
          <w:lang w:val="en-US" w:eastAsia="zh-CN"/>
        </w:rPr>
        <w:t>融资2.91亿元，投后估值17.91亿元。</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2951"/>
        <w:gridCol w:w="2403"/>
        <w:gridCol w:w="2361"/>
      </w:tblGrid>
      <w:tr w14:paraId="05ABF2B0">
        <w:trPr>
          <w:trHeight w:val="454" w:hRule="atLeast"/>
          <w:tblHeader/>
          <w:jc w:val="center"/>
        </w:trPr>
        <w:tc>
          <w:tcPr>
            <w:tcW w:w="477" w:type="pct"/>
            <w:shd w:val="clear" w:color="auto" w:fill="C0C0C0"/>
            <w:vAlign w:val="center"/>
          </w:tcPr>
          <w:p w14:paraId="1C839866">
            <w:pPr>
              <w:adjustRightInd w:val="0"/>
              <w:snapToGrid w:val="0"/>
              <w:jc w:val="center"/>
              <w:rPr>
                <w:rFonts w:eastAsiaTheme="minorEastAsia"/>
                <w:b/>
                <w:szCs w:val="21"/>
                <w:highlight w:val="none"/>
              </w:rPr>
            </w:pPr>
            <w:r>
              <w:rPr>
                <w:rFonts w:eastAsiaTheme="minorEastAsia"/>
                <w:b/>
                <w:szCs w:val="21"/>
                <w:highlight w:val="none"/>
              </w:rPr>
              <w:t>序号</w:t>
            </w:r>
          </w:p>
        </w:tc>
        <w:tc>
          <w:tcPr>
            <w:tcW w:w="1730" w:type="pct"/>
            <w:shd w:val="clear" w:color="auto" w:fill="C0C0C0"/>
            <w:vAlign w:val="center"/>
          </w:tcPr>
          <w:p w14:paraId="444C57B6">
            <w:pPr>
              <w:adjustRightInd w:val="0"/>
              <w:snapToGrid w:val="0"/>
              <w:jc w:val="center"/>
              <w:rPr>
                <w:rFonts w:eastAsiaTheme="minorEastAsia"/>
                <w:b/>
                <w:szCs w:val="21"/>
                <w:highlight w:val="none"/>
              </w:rPr>
            </w:pPr>
            <w:r>
              <w:rPr>
                <w:rFonts w:eastAsiaTheme="minorEastAsia"/>
                <w:b/>
                <w:szCs w:val="21"/>
                <w:highlight w:val="none"/>
              </w:rPr>
              <w:t>股东姓名/名称</w:t>
            </w:r>
          </w:p>
        </w:tc>
        <w:tc>
          <w:tcPr>
            <w:tcW w:w="1409" w:type="pct"/>
            <w:shd w:val="clear" w:color="auto" w:fill="C0C0C0"/>
            <w:vAlign w:val="center"/>
          </w:tcPr>
          <w:p w14:paraId="33BAC9CC">
            <w:pPr>
              <w:adjustRightInd w:val="0"/>
              <w:snapToGrid w:val="0"/>
              <w:jc w:val="center"/>
              <w:rPr>
                <w:rFonts w:eastAsiaTheme="minorEastAsia"/>
                <w:b/>
                <w:szCs w:val="21"/>
                <w:highlight w:val="none"/>
              </w:rPr>
            </w:pPr>
            <w:r>
              <w:rPr>
                <w:rFonts w:eastAsiaTheme="minorEastAsia"/>
                <w:b/>
                <w:color w:val="000000"/>
                <w:szCs w:val="21"/>
                <w:highlight w:val="none"/>
              </w:rPr>
              <w:t>认缴出资额/人民币元</w:t>
            </w:r>
          </w:p>
        </w:tc>
        <w:tc>
          <w:tcPr>
            <w:tcW w:w="1384" w:type="pct"/>
            <w:shd w:val="clear" w:color="auto" w:fill="C0C0C0"/>
            <w:vAlign w:val="center"/>
          </w:tcPr>
          <w:p w14:paraId="565D0FBB">
            <w:pPr>
              <w:adjustRightInd w:val="0"/>
              <w:snapToGrid w:val="0"/>
              <w:jc w:val="center"/>
              <w:rPr>
                <w:rFonts w:eastAsiaTheme="minorEastAsia"/>
                <w:b/>
                <w:szCs w:val="21"/>
                <w:highlight w:val="none"/>
              </w:rPr>
            </w:pPr>
            <w:r>
              <w:rPr>
                <w:rFonts w:eastAsiaTheme="minorEastAsia"/>
                <w:b/>
                <w:szCs w:val="21"/>
                <w:highlight w:val="none"/>
              </w:rPr>
              <w:t>持股比例</w:t>
            </w:r>
          </w:p>
        </w:tc>
      </w:tr>
      <w:tr w14:paraId="7B68387C">
        <w:trPr>
          <w:trHeight w:val="454" w:hRule="atLeast"/>
          <w:jc w:val="center"/>
        </w:trPr>
        <w:tc>
          <w:tcPr>
            <w:tcW w:w="477" w:type="pct"/>
            <w:vAlign w:val="center"/>
          </w:tcPr>
          <w:p w14:paraId="3E3BE9C7">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3BA7F800">
            <w:pPr>
              <w:adjustRightInd w:val="0"/>
              <w:snapToGrid w:val="0"/>
              <w:jc w:val="center"/>
              <w:rPr>
                <w:rFonts w:eastAsiaTheme="minorEastAsia"/>
                <w:szCs w:val="21"/>
                <w:highlight w:val="none"/>
              </w:rPr>
            </w:pPr>
            <w:r>
              <w:rPr>
                <w:rFonts w:eastAsiaTheme="minorEastAsia"/>
                <w:szCs w:val="21"/>
                <w:highlight w:val="none"/>
              </w:rPr>
              <w:t>曹鹏</w:t>
            </w:r>
          </w:p>
        </w:tc>
        <w:tc>
          <w:tcPr>
            <w:tcW w:w="1409" w:type="pct"/>
            <w:vAlign w:val="center"/>
          </w:tcPr>
          <w:p w14:paraId="609B0728">
            <w:pPr>
              <w:adjustRightInd w:val="0"/>
              <w:snapToGrid w:val="0"/>
              <w:jc w:val="right"/>
              <w:rPr>
                <w:szCs w:val="21"/>
                <w:highlight w:val="none"/>
              </w:rPr>
            </w:pPr>
            <w:r>
              <w:rPr>
                <w:color w:val="000000"/>
                <w:sz w:val="22"/>
                <w:szCs w:val="22"/>
                <w:highlight w:val="none"/>
              </w:rPr>
              <w:t>3,889,446</w:t>
            </w:r>
          </w:p>
        </w:tc>
        <w:tc>
          <w:tcPr>
            <w:tcW w:w="1384" w:type="pct"/>
            <w:vAlign w:val="center"/>
          </w:tcPr>
          <w:p w14:paraId="18EF5BDD">
            <w:pPr>
              <w:adjustRightInd w:val="0"/>
              <w:snapToGrid w:val="0"/>
              <w:jc w:val="right"/>
              <w:rPr>
                <w:highlight w:val="none"/>
              </w:rPr>
            </w:pPr>
            <w:r>
              <w:rPr>
                <w:color w:val="000000"/>
                <w:sz w:val="22"/>
                <w:szCs w:val="22"/>
                <w:highlight w:val="none"/>
              </w:rPr>
              <w:t>10.9294%</w:t>
            </w:r>
          </w:p>
        </w:tc>
      </w:tr>
      <w:tr w14:paraId="02AF8991">
        <w:trPr>
          <w:trHeight w:val="454" w:hRule="atLeast"/>
          <w:jc w:val="center"/>
        </w:trPr>
        <w:tc>
          <w:tcPr>
            <w:tcW w:w="477" w:type="pct"/>
            <w:vAlign w:val="center"/>
          </w:tcPr>
          <w:p w14:paraId="746CB514">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AC196B8">
            <w:pPr>
              <w:adjustRightInd w:val="0"/>
              <w:snapToGrid w:val="0"/>
              <w:jc w:val="center"/>
              <w:rPr>
                <w:rFonts w:eastAsiaTheme="minorEastAsia"/>
                <w:szCs w:val="21"/>
                <w:highlight w:val="none"/>
              </w:rPr>
            </w:pPr>
            <w:r>
              <w:rPr>
                <w:rFonts w:eastAsiaTheme="minorEastAsia"/>
                <w:szCs w:val="21"/>
                <w:highlight w:val="none"/>
              </w:rPr>
              <w:t>杭州佳诺智光企业管理合伙企业（有限合伙）</w:t>
            </w:r>
          </w:p>
        </w:tc>
        <w:tc>
          <w:tcPr>
            <w:tcW w:w="1409" w:type="pct"/>
            <w:vAlign w:val="center"/>
          </w:tcPr>
          <w:p w14:paraId="1A265DC9">
            <w:pPr>
              <w:adjustRightInd w:val="0"/>
              <w:snapToGrid w:val="0"/>
              <w:jc w:val="right"/>
              <w:rPr>
                <w:szCs w:val="21"/>
                <w:highlight w:val="none"/>
              </w:rPr>
            </w:pPr>
            <w:r>
              <w:rPr>
                <w:color w:val="000000"/>
                <w:sz w:val="22"/>
                <w:szCs w:val="22"/>
                <w:highlight w:val="none"/>
              </w:rPr>
              <w:t>3,415,800</w:t>
            </w:r>
          </w:p>
        </w:tc>
        <w:tc>
          <w:tcPr>
            <w:tcW w:w="1384" w:type="pct"/>
            <w:vAlign w:val="center"/>
          </w:tcPr>
          <w:p w14:paraId="1E04A4D0">
            <w:pPr>
              <w:adjustRightInd w:val="0"/>
              <w:snapToGrid w:val="0"/>
              <w:jc w:val="right"/>
              <w:rPr>
                <w:highlight w:val="none"/>
              </w:rPr>
            </w:pPr>
            <w:r>
              <w:rPr>
                <w:color w:val="000000"/>
                <w:sz w:val="22"/>
                <w:szCs w:val="22"/>
                <w:highlight w:val="none"/>
              </w:rPr>
              <w:t>9.5984%</w:t>
            </w:r>
          </w:p>
        </w:tc>
      </w:tr>
      <w:tr w14:paraId="31120862">
        <w:trPr>
          <w:trHeight w:val="454" w:hRule="atLeast"/>
          <w:jc w:val="center"/>
        </w:trPr>
        <w:tc>
          <w:tcPr>
            <w:tcW w:w="477" w:type="pct"/>
            <w:vAlign w:val="center"/>
          </w:tcPr>
          <w:p w14:paraId="2A9D19AA">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8C6FA10">
            <w:pPr>
              <w:adjustRightInd w:val="0"/>
              <w:snapToGrid w:val="0"/>
              <w:jc w:val="center"/>
              <w:rPr>
                <w:rFonts w:eastAsiaTheme="minorEastAsia"/>
                <w:szCs w:val="21"/>
                <w:highlight w:val="none"/>
              </w:rPr>
            </w:pPr>
            <w:r>
              <w:rPr>
                <w:rFonts w:eastAsiaTheme="minorEastAsia"/>
                <w:szCs w:val="21"/>
                <w:highlight w:val="none"/>
              </w:rPr>
              <w:t>杭州海创光影企业管理合伙企业（有限合伙）</w:t>
            </w:r>
          </w:p>
        </w:tc>
        <w:tc>
          <w:tcPr>
            <w:tcW w:w="1409" w:type="pct"/>
            <w:vAlign w:val="center"/>
          </w:tcPr>
          <w:p w14:paraId="4712605B">
            <w:pPr>
              <w:adjustRightInd w:val="0"/>
              <w:snapToGrid w:val="0"/>
              <w:jc w:val="right"/>
              <w:rPr>
                <w:szCs w:val="21"/>
                <w:highlight w:val="none"/>
              </w:rPr>
            </w:pPr>
            <w:r>
              <w:rPr>
                <w:color w:val="000000"/>
                <w:sz w:val="22"/>
                <w:szCs w:val="22"/>
                <w:highlight w:val="none"/>
              </w:rPr>
              <w:t>2,263,416</w:t>
            </w:r>
          </w:p>
        </w:tc>
        <w:tc>
          <w:tcPr>
            <w:tcW w:w="1384" w:type="pct"/>
            <w:vAlign w:val="center"/>
          </w:tcPr>
          <w:p w14:paraId="24BCCD71">
            <w:pPr>
              <w:adjustRightInd w:val="0"/>
              <w:snapToGrid w:val="0"/>
              <w:jc w:val="right"/>
              <w:rPr>
                <w:highlight w:val="none"/>
              </w:rPr>
            </w:pPr>
            <w:r>
              <w:rPr>
                <w:color w:val="000000"/>
                <w:sz w:val="22"/>
                <w:szCs w:val="22"/>
                <w:highlight w:val="none"/>
              </w:rPr>
              <w:t>6.3603%</w:t>
            </w:r>
          </w:p>
        </w:tc>
      </w:tr>
      <w:tr w14:paraId="25917006">
        <w:trPr>
          <w:trHeight w:val="454" w:hRule="atLeast"/>
          <w:jc w:val="center"/>
        </w:trPr>
        <w:tc>
          <w:tcPr>
            <w:tcW w:w="477" w:type="pct"/>
            <w:vAlign w:val="center"/>
          </w:tcPr>
          <w:p w14:paraId="0BA39F0F">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5A73331">
            <w:pPr>
              <w:adjustRightInd w:val="0"/>
              <w:snapToGrid w:val="0"/>
              <w:jc w:val="center"/>
              <w:rPr>
                <w:rFonts w:eastAsiaTheme="minorEastAsia"/>
                <w:szCs w:val="21"/>
                <w:highlight w:val="none"/>
              </w:rPr>
            </w:pPr>
            <w:r>
              <w:rPr>
                <w:rFonts w:eastAsiaTheme="minorEastAsia"/>
                <w:kern w:val="1"/>
                <w:szCs w:val="21"/>
                <w:highlight w:val="none"/>
              </w:rPr>
              <w:t>杭州锦嵘企业管理合伙企业（有限合伙）</w:t>
            </w:r>
          </w:p>
        </w:tc>
        <w:tc>
          <w:tcPr>
            <w:tcW w:w="1409" w:type="pct"/>
            <w:vAlign w:val="center"/>
          </w:tcPr>
          <w:p w14:paraId="3CDC5058">
            <w:pPr>
              <w:adjustRightInd w:val="0"/>
              <w:snapToGrid w:val="0"/>
              <w:jc w:val="right"/>
              <w:rPr>
                <w:szCs w:val="21"/>
                <w:highlight w:val="none"/>
              </w:rPr>
            </w:pPr>
            <w:r>
              <w:rPr>
                <w:color w:val="000000"/>
                <w:sz w:val="22"/>
                <w:szCs w:val="22"/>
                <w:highlight w:val="none"/>
              </w:rPr>
              <w:t>2,146,163</w:t>
            </w:r>
          </w:p>
        </w:tc>
        <w:tc>
          <w:tcPr>
            <w:tcW w:w="1384" w:type="pct"/>
            <w:vAlign w:val="center"/>
          </w:tcPr>
          <w:p w14:paraId="1E0959EB">
            <w:pPr>
              <w:adjustRightInd w:val="0"/>
              <w:snapToGrid w:val="0"/>
              <w:jc w:val="right"/>
              <w:rPr>
                <w:highlight w:val="none"/>
              </w:rPr>
            </w:pPr>
            <w:r>
              <w:rPr>
                <w:color w:val="000000"/>
                <w:sz w:val="22"/>
                <w:szCs w:val="22"/>
                <w:highlight w:val="none"/>
              </w:rPr>
              <w:t>6.0308%</w:t>
            </w:r>
          </w:p>
        </w:tc>
      </w:tr>
      <w:tr w14:paraId="790B12A0">
        <w:trPr>
          <w:trHeight w:val="454" w:hRule="atLeast"/>
          <w:jc w:val="center"/>
        </w:trPr>
        <w:tc>
          <w:tcPr>
            <w:tcW w:w="477" w:type="pct"/>
            <w:vAlign w:val="center"/>
          </w:tcPr>
          <w:p w14:paraId="793CC54A">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9611AB4">
            <w:pPr>
              <w:adjustRightInd w:val="0"/>
              <w:snapToGrid w:val="0"/>
              <w:jc w:val="center"/>
              <w:rPr>
                <w:rFonts w:eastAsiaTheme="minorEastAsia"/>
                <w:szCs w:val="21"/>
                <w:highlight w:val="none"/>
              </w:rPr>
            </w:pPr>
            <w:r>
              <w:rPr>
                <w:rFonts w:eastAsiaTheme="minorEastAsia"/>
                <w:kern w:val="1"/>
                <w:szCs w:val="21"/>
                <w:highlight w:val="none"/>
              </w:rPr>
              <w:t>杭州裕荣惠华企业管理合伙企业（有限合伙）</w:t>
            </w:r>
          </w:p>
        </w:tc>
        <w:tc>
          <w:tcPr>
            <w:tcW w:w="1409" w:type="pct"/>
            <w:vAlign w:val="center"/>
          </w:tcPr>
          <w:p w14:paraId="669C866F">
            <w:pPr>
              <w:adjustRightInd w:val="0"/>
              <w:snapToGrid w:val="0"/>
              <w:jc w:val="right"/>
              <w:rPr>
                <w:szCs w:val="21"/>
                <w:highlight w:val="none"/>
              </w:rPr>
            </w:pPr>
            <w:r>
              <w:rPr>
                <w:color w:val="000000"/>
                <w:sz w:val="22"/>
                <w:szCs w:val="22"/>
                <w:highlight w:val="none"/>
              </w:rPr>
              <w:t>880,000</w:t>
            </w:r>
          </w:p>
        </w:tc>
        <w:tc>
          <w:tcPr>
            <w:tcW w:w="1384" w:type="pct"/>
            <w:vAlign w:val="center"/>
          </w:tcPr>
          <w:p w14:paraId="6889DC3B">
            <w:pPr>
              <w:adjustRightInd w:val="0"/>
              <w:snapToGrid w:val="0"/>
              <w:jc w:val="right"/>
              <w:rPr>
                <w:highlight w:val="none"/>
              </w:rPr>
            </w:pPr>
            <w:r>
              <w:rPr>
                <w:color w:val="000000"/>
                <w:sz w:val="22"/>
                <w:szCs w:val="22"/>
                <w:highlight w:val="none"/>
              </w:rPr>
              <w:t>2.4728%</w:t>
            </w:r>
          </w:p>
        </w:tc>
      </w:tr>
      <w:tr w14:paraId="6E9C3E7B">
        <w:trPr>
          <w:trHeight w:val="454" w:hRule="atLeast"/>
          <w:jc w:val="center"/>
        </w:trPr>
        <w:tc>
          <w:tcPr>
            <w:tcW w:w="477" w:type="pct"/>
            <w:vAlign w:val="center"/>
          </w:tcPr>
          <w:p w14:paraId="670EA5BB">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0F817FB">
            <w:pPr>
              <w:adjustRightInd w:val="0"/>
              <w:snapToGrid w:val="0"/>
              <w:jc w:val="center"/>
              <w:rPr>
                <w:rFonts w:eastAsiaTheme="minorEastAsia"/>
                <w:kern w:val="1"/>
                <w:szCs w:val="21"/>
                <w:highlight w:val="none"/>
              </w:rPr>
            </w:pPr>
            <w:r>
              <w:rPr>
                <w:rFonts w:eastAsiaTheme="minorEastAsia"/>
                <w:szCs w:val="21"/>
                <w:highlight w:val="none"/>
              </w:rPr>
              <w:t>杭州锦逸融光企业管理合伙企业（有限合伙）</w:t>
            </w:r>
          </w:p>
        </w:tc>
        <w:tc>
          <w:tcPr>
            <w:tcW w:w="1409" w:type="pct"/>
            <w:vAlign w:val="center"/>
          </w:tcPr>
          <w:p w14:paraId="4A85D578">
            <w:pPr>
              <w:adjustRightInd w:val="0"/>
              <w:snapToGrid w:val="0"/>
              <w:jc w:val="right"/>
              <w:rPr>
                <w:szCs w:val="21"/>
                <w:highlight w:val="none"/>
              </w:rPr>
            </w:pPr>
            <w:r>
              <w:rPr>
                <w:color w:val="000000"/>
                <w:sz w:val="22"/>
                <w:szCs w:val="22"/>
                <w:highlight w:val="none"/>
              </w:rPr>
              <w:t>558,300</w:t>
            </w:r>
          </w:p>
        </w:tc>
        <w:tc>
          <w:tcPr>
            <w:tcW w:w="1384" w:type="pct"/>
            <w:vAlign w:val="center"/>
          </w:tcPr>
          <w:p w14:paraId="679B98E8">
            <w:pPr>
              <w:adjustRightInd w:val="0"/>
              <w:snapToGrid w:val="0"/>
              <w:jc w:val="right"/>
              <w:rPr>
                <w:highlight w:val="none"/>
              </w:rPr>
            </w:pPr>
            <w:r>
              <w:rPr>
                <w:color w:val="000000"/>
                <w:sz w:val="22"/>
                <w:szCs w:val="22"/>
                <w:highlight w:val="none"/>
              </w:rPr>
              <w:t>1.5688%</w:t>
            </w:r>
          </w:p>
        </w:tc>
      </w:tr>
      <w:tr w14:paraId="5ACB1F1C">
        <w:trPr>
          <w:trHeight w:val="454" w:hRule="atLeast"/>
          <w:jc w:val="center"/>
        </w:trPr>
        <w:tc>
          <w:tcPr>
            <w:tcW w:w="477" w:type="pct"/>
            <w:vAlign w:val="center"/>
          </w:tcPr>
          <w:p w14:paraId="6BA78BCB">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013DDF7">
            <w:pPr>
              <w:adjustRightInd w:val="0"/>
              <w:snapToGrid w:val="0"/>
              <w:jc w:val="center"/>
              <w:rPr>
                <w:rFonts w:eastAsiaTheme="minorEastAsia"/>
                <w:szCs w:val="21"/>
                <w:highlight w:val="none"/>
              </w:rPr>
            </w:pPr>
            <w:r>
              <w:rPr>
                <w:rFonts w:eastAsiaTheme="minorEastAsia"/>
                <w:szCs w:val="21"/>
                <w:highlight w:val="none"/>
              </w:rPr>
              <w:t>杭州启明融晶股权投资合伙企业（有限合伙）</w:t>
            </w:r>
          </w:p>
        </w:tc>
        <w:tc>
          <w:tcPr>
            <w:tcW w:w="1409" w:type="pct"/>
            <w:vAlign w:val="center"/>
          </w:tcPr>
          <w:p w14:paraId="7ED0E64E">
            <w:pPr>
              <w:adjustRightInd w:val="0"/>
              <w:snapToGrid w:val="0"/>
              <w:jc w:val="right"/>
              <w:rPr>
                <w:szCs w:val="21"/>
                <w:highlight w:val="none"/>
              </w:rPr>
            </w:pPr>
            <w:r>
              <w:rPr>
                <w:color w:val="000000"/>
                <w:sz w:val="22"/>
                <w:szCs w:val="22"/>
                <w:highlight w:val="none"/>
              </w:rPr>
              <w:t>2,449,143</w:t>
            </w:r>
          </w:p>
        </w:tc>
        <w:tc>
          <w:tcPr>
            <w:tcW w:w="1384" w:type="pct"/>
            <w:vAlign w:val="center"/>
          </w:tcPr>
          <w:p w14:paraId="22316E74">
            <w:pPr>
              <w:adjustRightInd w:val="0"/>
              <w:snapToGrid w:val="0"/>
              <w:jc w:val="right"/>
              <w:rPr>
                <w:highlight w:val="none"/>
              </w:rPr>
            </w:pPr>
            <w:r>
              <w:rPr>
                <w:color w:val="000000"/>
                <w:sz w:val="22"/>
                <w:szCs w:val="22"/>
                <w:highlight w:val="none"/>
              </w:rPr>
              <w:t>6.8821%</w:t>
            </w:r>
          </w:p>
        </w:tc>
      </w:tr>
      <w:tr w14:paraId="7938194B">
        <w:trPr>
          <w:trHeight w:val="454" w:hRule="atLeast"/>
          <w:jc w:val="center"/>
        </w:trPr>
        <w:tc>
          <w:tcPr>
            <w:tcW w:w="477" w:type="pct"/>
            <w:vAlign w:val="center"/>
          </w:tcPr>
          <w:p w14:paraId="0AE3B497">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772262A">
            <w:pPr>
              <w:adjustRightInd w:val="0"/>
              <w:snapToGrid w:val="0"/>
              <w:jc w:val="center"/>
              <w:rPr>
                <w:rFonts w:eastAsiaTheme="minorEastAsia"/>
                <w:szCs w:val="21"/>
                <w:highlight w:val="none"/>
              </w:rPr>
            </w:pPr>
            <w:r>
              <w:rPr>
                <w:rFonts w:eastAsiaTheme="minorEastAsia"/>
                <w:szCs w:val="21"/>
                <w:highlight w:val="none"/>
              </w:rPr>
              <w:t>苏州启明融乾股权投资合伙企业（有限合伙）</w:t>
            </w:r>
          </w:p>
        </w:tc>
        <w:tc>
          <w:tcPr>
            <w:tcW w:w="1409" w:type="pct"/>
            <w:vAlign w:val="center"/>
          </w:tcPr>
          <w:p w14:paraId="67EDDD96">
            <w:pPr>
              <w:adjustRightInd w:val="0"/>
              <w:snapToGrid w:val="0"/>
              <w:jc w:val="right"/>
              <w:rPr>
                <w:szCs w:val="21"/>
                <w:highlight w:val="none"/>
              </w:rPr>
            </w:pPr>
            <w:r>
              <w:rPr>
                <w:color w:val="000000"/>
                <w:sz w:val="22"/>
                <w:szCs w:val="22"/>
                <w:highlight w:val="none"/>
              </w:rPr>
              <w:t>1,268,233</w:t>
            </w:r>
          </w:p>
        </w:tc>
        <w:tc>
          <w:tcPr>
            <w:tcW w:w="1384" w:type="pct"/>
            <w:vAlign w:val="center"/>
          </w:tcPr>
          <w:p w14:paraId="792C3D9E">
            <w:pPr>
              <w:adjustRightInd w:val="0"/>
              <w:snapToGrid w:val="0"/>
              <w:jc w:val="right"/>
              <w:rPr>
                <w:highlight w:val="none"/>
              </w:rPr>
            </w:pPr>
            <w:r>
              <w:rPr>
                <w:color w:val="000000"/>
                <w:sz w:val="22"/>
                <w:szCs w:val="22"/>
                <w:highlight w:val="none"/>
              </w:rPr>
              <w:t>3.5638%</w:t>
            </w:r>
          </w:p>
        </w:tc>
      </w:tr>
      <w:tr w14:paraId="5B3FB00B">
        <w:trPr>
          <w:trHeight w:val="454" w:hRule="atLeast"/>
          <w:jc w:val="center"/>
        </w:trPr>
        <w:tc>
          <w:tcPr>
            <w:tcW w:w="477" w:type="pct"/>
            <w:vAlign w:val="center"/>
          </w:tcPr>
          <w:p w14:paraId="1713DBF3">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2DC77B3">
            <w:pPr>
              <w:adjustRightInd w:val="0"/>
              <w:snapToGrid w:val="0"/>
              <w:jc w:val="center"/>
              <w:rPr>
                <w:rFonts w:eastAsiaTheme="minorEastAsia"/>
                <w:kern w:val="1"/>
                <w:szCs w:val="21"/>
                <w:highlight w:val="none"/>
              </w:rPr>
            </w:pPr>
            <w:r>
              <w:rPr>
                <w:rFonts w:eastAsiaTheme="minorEastAsia"/>
                <w:szCs w:val="21"/>
                <w:highlight w:val="none"/>
              </w:rPr>
              <w:t>杭州海邦数瑞股权投资合伙企业（有限合伙）</w:t>
            </w:r>
          </w:p>
        </w:tc>
        <w:tc>
          <w:tcPr>
            <w:tcW w:w="1409" w:type="pct"/>
            <w:vAlign w:val="center"/>
          </w:tcPr>
          <w:p w14:paraId="10D53820">
            <w:pPr>
              <w:adjustRightInd w:val="0"/>
              <w:snapToGrid w:val="0"/>
              <w:jc w:val="right"/>
              <w:rPr>
                <w:szCs w:val="21"/>
                <w:highlight w:val="none"/>
              </w:rPr>
            </w:pPr>
            <w:r>
              <w:rPr>
                <w:color w:val="000000"/>
                <w:sz w:val="22"/>
                <w:szCs w:val="22"/>
                <w:highlight w:val="none"/>
              </w:rPr>
              <w:t>1,286,100</w:t>
            </w:r>
          </w:p>
        </w:tc>
        <w:tc>
          <w:tcPr>
            <w:tcW w:w="1384" w:type="pct"/>
            <w:vAlign w:val="center"/>
          </w:tcPr>
          <w:p w14:paraId="786A337F">
            <w:pPr>
              <w:adjustRightInd w:val="0"/>
              <w:snapToGrid w:val="0"/>
              <w:jc w:val="right"/>
              <w:rPr>
                <w:highlight w:val="none"/>
              </w:rPr>
            </w:pPr>
            <w:r>
              <w:rPr>
                <w:color w:val="000000"/>
                <w:sz w:val="22"/>
                <w:szCs w:val="22"/>
                <w:highlight w:val="none"/>
              </w:rPr>
              <w:t>3.6140%</w:t>
            </w:r>
          </w:p>
        </w:tc>
      </w:tr>
      <w:tr w14:paraId="59B779C1">
        <w:trPr>
          <w:trHeight w:val="454" w:hRule="atLeast"/>
          <w:jc w:val="center"/>
        </w:trPr>
        <w:tc>
          <w:tcPr>
            <w:tcW w:w="477" w:type="pct"/>
            <w:vAlign w:val="center"/>
          </w:tcPr>
          <w:p w14:paraId="1E128A93">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06DF35C">
            <w:pPr>
              <w:adjustRightInd w:val="0"/>
              <w:snapToGrid w:val="0"/>
              <w:jc w:val="center"/>
              <w:rPr>
                <w:rFonts w:eastAsiaTheme="minorEastAsia"/>
                <w:kern w:val="1"/>
                <w:szCs w:val="21"/>
                <w:highlight w:val="none"/>
              </w:rPr>
            </w:pPr>
            <w:r>
              <w:rPr>
                <w:rFonts w:eastAsiaTheme="minorEastAsia"/>
                <w:szCs w:val="21"/>
                <w:highlight w:val="none"/>
              </w:rPr>
              <w:t>杭州海邦羿谷创业投资合伙企业（有限合伙）</w:t>
            </w:r>
          </w:p>
        </w:tc>
        <w:tc>
          <w:tcPr>
            <w:tcW w:w="1409" w:type="pct"/>
            <w:vAlign w:val="center"/>
          </w:tcPr>
          <w:p w14:paraId="1D94EC10">
            <w:pPr>
              <w:adjustRightInd w:val="0"/>
              <w:snapToGrid w:val="0"/>
              <w:jc w:val="right"/>
              <w:rPr>
                <w:szCs w:val="21"/>
                <w:highlight w:val="none"/>
              </w:rPr>
            </w:pPr>
            <w:r>
              <w:rPr>
                <w:color w:val="000000"/>
                <w:sz w:val="22"/>
                <w:szCs w:val="22"/>
                <w:highlight w:val="none"/>
              </w:rPr>
              <w:t>609,700</w:t>
            </w:r>
          </w:p>
        </w:tc>
        <w:tc>
          <w:tcPr>
            <w:tcW w:w="1384" w:type="pct"/>
            <w:vAlign w:val="center"/>
          </w:tcPr>
          <w:p w14:paraId="54E7D8AE">
            <w:pPr>
              <w:adjustRightInd w:val="0"/>
              <w:snapToGrid w:val="0"/>
              <w:jc w:val="right"/>
              <w:rPr>
                <w:highlight w:val="none"/>
              </w:rPr>
            </w:pPr>
            <w:r>
              <w:rPr>
                <w:color w:val="000000"/>
                <w:sz w:val="22"/>
                <w:szCs w:val="22"/>
                <w:highlight w:val="none"/>
              </w:rPr>
              <w:t>1.7133%</w:t>
            </w:r>
          </w:p>
        </w:tc>
      </w:tr>
      <w:tr w14:paraId="508C5906">
        <w:trPr>
          <w:trHeight w:val="454" w:hRule="atLeast"/>
          <w:jc w:val="center"/>
        </w:trPr>
        <w:tc>
          <w:tcPr>
            <w:tcW w:w="477" w:type="pct"/>
            <w:vAlign w:val="center"/>
          </w:tcPr>
          <w:p w14:paraId="364015D9">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FCA30CE">
            <w:pPr>
              <w:adjustRightInd w:val="0"/>
              <w:snapToGrid w:val="0"/>
              <w:jc w:val="center"/>
              <w:rPr>
                <w:rFonts w:eastAsiaTheme="minorEastAsia"/>
                <w:szCs w:val="21"/>
                <w:highlight w:val="none"/>
              </w:rPr>
            </w:pPr>
            <w:r>
              <w:rPr>
                <w:rFonts w:eastAsiaTheme="minorEastAsia"/>
                <w:szCs w:val="21"/>
                <w:highlight w:val="none"/>
              </w:rPr>
              <w:t>杭州海邦沣华数智股权投资合伙企业（有限合伙）</w:t>
            </w:r>
          </w:p>
        </w:tc>
        <w:tc>
          <w:tcPr>
            <w:tcW w:w="1409" w:type="pct"/>
            <w:vAlign w:val="center"/>
          </w:tcPr>
          <w:p w14:paraId="63502199">
            <w:pPr>
              <w:adjustRightInd w:val="0"/>
              <w:snapToGrid w:val="0"/>
              <w:jc w:val="right"/>
              <w:rPr>
                <w:szCs w:val="21"/>
                <w:highlight w:val="none"/>
              </w:rPr>
            </w:pPr>
            <w:r>
              <w:rPr>
                <w:color w:val="000000"/>
                <w:sz w:val="22"/>
                <w:szCs w:val="22"/>
                <w:highlight w:val="none"/>
              </w:rPr>
              <w:t>515,900</w:t>
            </w:r>
          </w:p>
        </w:tc>
        <w:tc>
          <w:tcPr>
            <w:tcW w:w="1384" w:type="pct"/>
            <w:vAlign w:val="center"/>
          </w:tcPr>
          <w:p w14:paraId="6C87246C">
            <w:pPr>
              <w:adjustRightInd w:val="0"/>
              <w:snapToGrid w:val="0"/>
              <w:jc w:val="right"/>
              <w:rPr>
                <w:highlight w:val="none"/>
              </w:rPr>
            </w:pPr>
            <w:r>
              <w:rPr>
                <w:color w:val="000000"/>
                <w:sz w:val="22"/>
                <w:szCs w:val="22"/>
                <w:highlight w:val="none"/>
              </w:rPr>
              <w:t>1.4497%</w:t>
            </w:r>
          </w:p>
        </w:tc>
      </w:tr>
      <w:tr w14:paraId="44B75CF9">
        <w:trPr>
          <w:trHeight w:val="454" w:hRule="atLeast"/>
          <w:jc w:val="center"/>
        </w:trPr>
        <w:tc>
          <w:tcPr>
            <w:tcW w:w="477" w:type="pct"/>
            <w:vAlign w:val="center"/>
          </w:tcPr>
          <w:p w14:paraId="159CE92D">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E066056">
            <w:pPr>
              <w:adjustRightInd w:val="0"/>
              <w:snapToGrid w:val="0"/>
              <w:jc w:val="center"/>
              <w:rPr>
                <w:rFonts w:eastAsiaTheme="minorEastAsia"/>
                <w:szCs w:val="21"/>
                <w:highlight w:val="none"/>
              </w:rPr>
            </w:pPr>
            <w:r>
              <w:rPr>
                <w:rFonts w:eastAsiaTheme="minorEastAsia"/>
                <w:szCs w:val="21"/>
                <w:highlight w:val="none"/>
              </w:rPr>
              <w:t>张丁</w:t>
            </w:r>
          </w:p>
        </w:tc>
        <w:tc>
          <w:tcPr>
            <w:tcW w:w="1409" w:type="pct"/>
            <w:vAlign w:val="center"/>
          </w:tcPr>
          <w:p w14:paraId="4E939A82">
            <w:pPr>
              <w:adjustRightInd w:val="0"/>
              <w:snapToGrid w:val="0"/>
              <w:jc w:val="right"/>
              <w:rPr>
                <w:szCs w:val="21"/>
                <w:highlight w:val="none"/>
              </w:rPr>
            </w:pPr>
            <w:r>
              <w:rPr>
                <w:color w:val="000000"/>
                <w:sz w:val="22"/>
                <w:szCs w:val="22"/>
                <w:highlight w:val="none"/>
              </w:rPr>
              <w:t>519,192</w:t>
            </w:r>
          </w:p>
        </w:tc>
        <w:tc>
          <w:tcPr>
            <w:tcW w:w="1384" w:type="pct"/>
            <w:vAlign w:val="center"/>
          </w:tcPr>
          <w:p w14:paraId="02CA57FF">
            <w:pPr>
              <w:adjustRightInd w:val="0"/>
              <w:snapToGrid w:val="0"/>
              <w:jc w:val="right"/>
              <w:rPr>
                <w:highlight w:val="none"/>
              </w:rPr>
            </w:pPr>
            <w:r>
              <w:rPr>
                <w:color w:val="000000"/>
                <w:sz w:val="22"/>
                <w:szCs w:val="22"/>
                <w:highlight w:val="none"/>
              </w:rPr>
              <w:t>1.4589%</w:t>
            </w:r>
          </w:p>
        </w:tc>
      </w:tr>
      <w:tr w14:paraId="6A19DA64">
        <w:trPr>
          <w:trHeight w:val="454" w:hRule="atLeast"/>
          <w:jc w:val="center"/>
        </w:trPr>
        <w:tc>
          <w:tcPr>
            <w:tcW w:w="477" w:type="pct"/>
            <w:vAlign w:val="center"/>
          </w:tcPr>
          <w:p w14:paraId="2E76F4AE">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E8A5320">
            <w:pPr>
              <w:adjustRightInd w:val="0"/>
              <w:snapToGrid w:val="0"/>
              <w:jc w:val="center"/>
              <w:rPr>
                <w:rFonts w:eastAsiaTheme="minorEastAsia"/>
                <w:szCs w:val="21"/>
                <w:highlight w:val="none"/>
              </w:rPr>
            </w:pPr>
            <w:r>
              <w:rPr>
                <w:rFonts w:eastAsiaTheme="minorEastAsia"/>
                <w:szCs w:val="21"/>
                <w:highlight w:val="none"/>
              </w:rPr>
              <w:t>苏州辰知德投资合伙企业（有限合伙）</w:t>
            </w:r>
          </w:p>
        </w:tc>
        <w:tc>
          <w:tcPr>
            <w:tcW w:w="1409" w:type="pct"/>
            <w:vAlign w:val="center"/>
          </w:tcPr>
          <w:p w14:paraId="1FCD22A8">
            <w:pPr>
              <w:adjustRightInd w:val="0"/>
              <w:snapToGrid w:val="0"/>
              <w:jc w:val="right"/>
              <w:rPr>
                <w:szCs w:val="21"/>
                <w:highlight w:val="none"/>
              </w:rPr>
            </w:pPr>
            <w:r>
              <w:rPr>
                <w:color w:val="000000"/>
                <w:sz w:val="22"/>
                <w:szCs w:val="22"/>
                <w:highlight w:val="none"/>
              </w:rPr>
              <w:t>1,912,011</w:t>
            </w:r>
          </w:p>
        </w:tc>
        <w:tc>
          <w:tcPr>
            <w:tcW w:w="1384" w:type="pct"/>
            <w:vAlign w:val="center"/>
          </w:tcPr>
          <w:p w14:paraId="64F3D99A">
            <w:pPr>
              <w:adjustRightInd w:val="0"/>
              <w:snapToGrid w:val="0"/>
              <w:jc w:val="right"/>
              <w:rPr>
                <w:highlight w:val="none"/>
              </w:rPr>
            </w:pPr>
            <w:r>
              <w:rPr>
                <w:color w:val="000000"/>
                <w:sz w:val="22"/>
                <w:szCs w:val="22"/>
                <w:highlight w:val="none"/>
              </w:rPr>
              <w:t>5.3728%</w:t>
            </w:r>
          </w:p>
        </w:tc>
      </w:tr>
      <w:tr w14:paraId="404EB78C">
        <w:trPr>
          <w:trHeight w:val="454" w:hRule="atLeast"/>
          <w:jc w:val="center"/>
        </w:trPr>
        <w:tc>
          <w:tcPr>
            <w:tcW w:w="477" w:type="pct"/>
            <w:vAlign w:val="center"/>
          </w:tcPr>
          <w:p w14:paraId="1DF09184">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tcPr>
          <w:p w14:paraId="1075099E">
            <w:pPr>
              <w:adjustRightInd w:val="0"/>
              <w:snapToGrid w:val="0"/>
              <w:jc w:val="center"/>
              <w:rPr>
                <w:rFonts w:eastAsiaTheme="minorEastAsia"/>
                <w:szCs w:val="21"/>
                <w:highlight w:val="none"/>
              </w:rPr>
            </w:pPr>
            <w:r>
              <w:rPr>
                <w:highlight w:val="none"/>
              </w:rPr>
              <w:t>苏州辰嘉德股权投资合伙企业（有限合伙）</w:t>
            </w:r>
          </w:p>
        </w:tc>
        <w:tc>
          <w:tcPr>
            <w:tcW w:w="1409" w:type="pct"/>
            <w:vAlign w:val="center"/>
          </w:tcPr>
          <w:p w14:paraId="63683954">
            <w:pPr>
              <w:adjustRightInd w:val="0"/>
              <w:snapToGrid w:val="0"/>
              <w:jc w:val="right"/>
              <w:rPr>
                <w:highlight w:val="none"/>
              </w:rPr>
            </w:pPr>
            <w:r>
              <w:rPr>
                <w:color w:val="000000"/>
                <w:sz w:val="22"/>
                <w:szCs w:val="22"/>
                <w:highlight w:val="none"/>
              </w:rPr>
              <w:t>200,942</w:t>
            </w:r>
          </w:p>
        </w:tc>
        <w:tc>
          <w:tcPr>
            <w:tcW w:w="1384" w:type="pct"/>
            <w:vAlign w:val="center"/>
          </w:tcPr>
          <w:p w14:paraId="5CE4FC30">
            <w:pPr>
              <w:adjustRightInd w:val="0"/>
              <w:snapToGrid w:val="0"/>
              <w:jc w:val="right"/>
              <w:rPr>
                <w:highlight w:val="none"/>
              </w:rPr>
            </w:pPr>
            <w:r>
              <w:rPr>
                <w:color w:val="000000"/>
                <w:sz w:val="22"/>
                <w:szCs w:val="22"/>
                <w:highlight w:val="none"/>
              </w:rPr>
              <w:t>0.5647%</w:t>
            </w:r>
          </w:p>
        </w:tc>
      </w:tr>
      <w:tr w14:paraId="5BD903BC">
        <w:trPr>
          <w:trHeight w:val="454" w:hRule="atLeast"/>
          <w:jc w:val="center"/>
        </w:trPr>
        <w:tc>
          <w:tcPr>
            <w:tcW w:w="477" w:type="pct"/>
            <w:vAlign w:val="center"/>
          </w:tcPr>
          <w:p w14:paraId="5AA698DC">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69E3469">
            <w:pPr>
              <w:adjustRightInd w:val="0"/>
              <w:snapToGrid w:val="0"/>
              <w:jc w:val="center"/>
              <w:rPr>
                <w:rFonts w:eastAsiaTheme="minorEastAsia"/>
                <w:szCs w:val="21"/>
                <w:highlight w:val="none"/>
              </w:rPr>
            </w:pPr>
            <w:r>
              <w:rPr>
                <w:rFonts w:eastAsiaTheme="minorEastAsia"/>
                <w:szCs w:val="21"/>
                <w:highlight w:val="none"/>
              </w:rPr>
              <w:t>CDHealthHKIIILimited</w:t>
            </w:r>
          </w:p>
        </w:tc>
        <w:tc>
          <w:tcPr>
            <w:tcW w:w="1409" w:type="pct"/>
            <w:vAlign w:val="center"/>
          </w:tcPr>
          <w:p w14:paraId="62DD723C">
            <w:pPr>
              <w:adjustRightInd w:val="0"/>
              <w:snapToGrid w:val="0"/>
              <w:jc w:val="right"/>
              <w:rPr>
                <w:szCs w:val="21"/>
                <w:highlight w:val="none"/>
              </w:rPr>
            </w:pPr>
            <w:r>
              <w:rPr>
                <w:color w:val="000000"/>
                <w:sz w:val="22"/>
                <w:szCs w:val="22"/>
                <w:highlight w:val="none"/>
              </w:rPr>
              <w:t>416,799</w:t>
            </w:r>
          </w:p>
        </w:tc>
        <w:tc>
          <w:tcPr>
            <w:tcW w:w="1384" w:type="pct"/>
            <w:vAlign w:val="center"/>
          </w:tcPr>
          <w:p w14:paraId="74A3F27F">
            <w:pPr>
              <w:adjustRightInd w:val="0"/>
              <w:snapToGrid w:val="0"/>
              <w:jc w:val="right"/>
              <w:rPr>
                <w:highlight w:val="none"/>
              </w:rPr>
            </w:pPr>
            <w:r>
              <w:rPr>
                <w:color w:val="000000"/>
                <w:sz w:val="22"/>
                <w:szCs w:val="22"/>
                <w:highlight w:val="none"/>
              </w:rPr>
              <w:t>1.1712%</w:t>
            </w:r>
          </w:p>
        </w:tc>
      </w:tr>
      <w:tr w14:paraId="7E230CCB">
        <w:trPr>
          <w:trHeight w:val="454" w:hRule="atLeast"/>
          <w:jc w:val="center"/>
        </w:trPr>
        <w:tc>
          <w:tcPr>
            <w:tcW w:w="477" w:type="pct"/>
            <w:vAlign w:val="center"/>
          </w:tcPr>
          <w:p w14:paraId="206CEE9F">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CE4E9D2">
            <w:pPr>
              <w:adjustRightInd w:val="0"/>
              <w:snapToGrid w:val="0"/>
              <w:jc w:val="center"/>
              <w:rPr>
                <w:rFonts w:eastAsiaTheme="minorEastAsia"/>
                <w:szCs w:val="21"/>
                <w:highlight w:val="none"/>
              </w:rPr>
            </w:pPr>
            <w:r>
              <w:rPr>
                <w:rFonts w:eastAsiaTheme="minorEastAsia"/>
                <w:szCs w:val="21"/>
                <w:highlight w:val="none"/>
              </w:rPr>
              <w:t>杭州元璟中小企业发展股权投资基金合伙企业（有限合伙）</w:t>
            </w:r>
          </w:p>
        </w:tc>
        <w:tc>
          <w:tcPr>
            <w:tcW w:w="1409" w:type="pct"/>
            <w:vAlign w:val="center"/>
          </w:tcPr>
          <w:p w14:paraId="468C0AD0">
            <w:pPr>
              <w:adjustRightInd w:val="0"/>
              <w:snapToGrid w:val="0"/>
              <w:jc w:val="right"/>
              <w:rPr>
                <w:szCs w:val="21"/>
                <w:highlight w:val="none"/>
              </w:rPr>
            </w:pPr>
            <w:r>
              <w:rPr>
                <w:color w:val="000000"/>
                <w:sz w:val="22"/>
                <w:szCs w:val="22"/>
                <w:highlight w:val="none"/>
              </w:rPr>
              <w:t>944,743</w:t>
            </w:r>
          </w:p>
        </w:tc>
        <w:tc>
          <w:tcPr>
            <w:tcW w:w="1384" w:type="pct"/>
            <w:vAlign w:val="center"/>
          </w:tcPr>
          <w:p w14:paraId="76477BD4">
            <w:pPr>
              <w:adjustRightInd w:val="0"/>
              <w:snapToGrid w:val="0"/>
              <w:jc w:val="right"/>
              <w:rPr>
                <w:highlight w:val="none"/>
              </w:rPr>
            </w:pPr>
            <w:r>
              <w:rPr>
                <w:color w:val="000000"/>
                <w:sz w:val="22"/>
                <w:szCs w:val="22"/>
                <w:highlight w:val="none"/>
              </w:rPr>
              <w:t>2.6547%</w:t>
            </w:r>
          </w:p>
        </w:tc>
      </w:tr>
      <w:tr w14:paraId="5E228935">
        <w:trPr>
          <w:trHeight w:val="454" w:hRule="atLeast"/>
          <w:jc w:val="center"/>
        </w:trPr>
        <w:tc>
          <w:tcPr>
            <w:tcW w:w="477" w:type="pct"/>
            <w:vAlign w:val="center"/>
          </w:tcPr>
          <w:p w14:paraId="47B4E3EE">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35ABCF46">
            <w:pPr>
              <w:adjustRightInd w:val="0"/>
              <w:snapToGrid w:val="0"/>
              <w:jc w:val="center"/>
              <w:rPr>
                <w:rFonts w:eastAsiaTheme="minorEastAsia"/>
                <w:szCs w:val="21"/>
                <w:highlight w:val="none"/>
              </w:rPr>
            </w:pPr>
            <w:r>
              <w:rPr>
                <w:rFonts w:eastAsiaTheme="minorEastAsia"/>
                <w:szCs w:val="21"/>
                <w:highlight w:val="none"/>
              </w:rPr>
              <w:t>BrightGalaxyLimited</w:t>
            </w:r>
          </w:p>
        </w:tc>
        <w:tc>
          <w:tcPr>
            <w:tcW w:w="1409" w:type="pct"/>
            <w:vAlign w:val="center"/>
          </w:tcPr>
          <w:p w14:paraId="4D373389">
            <w:pPr>
              <w:adjustRightInd w:val="0"/>
              <w:snapToGrid w:val="0"/>
              <w:jc w:val="right"/>
              <w:rPr>
                <w:szCs w:val="21"/>
                <w:highlight w:val="none"/>
              </w:rPr>
            </w:pPr>
            <w:r>
              <w:rPr>
                <w:color w:val="000000"/>
                <w:sz w:val="22"/>
                <w:szCs w:val="22"/>
                <w:highlight w:val="none"/>
              </w:rPr>
              <w:t>1,111,463</w:t>
            </w:r>
          </w:p>
        </w:tc>
        <w:tc>
          <w:tcPr>
            <w:tcW w:w="1384" w:type="pct"/>
            <w:vAlign w:val="center"/>
          </w:tcPr>
          <w:p w14:paraId="70828E6B">
            <w:pPr>
              <w:adjustRightInd w:val="0"/>
              <w:snapToGrid w:val="0"/>
              <w:jc w:val="right"/>
              <w:rPr>
                <w:highlight w:val="none"/>
              </w:rPr>
            </w:pPr>
            <w:r>
              <w:rPr>
                <w:color w:val="000000"/>
                <w:sz w:val="22"/>
                <w:szCs w:val="22"/>
                <w:highlight w:val="none"/>
              </w:rPr>
              <w:t>3.1232%</w:t>
            </w:r>
          </w:p>
        </w:tc>
      </w:tr>
      <w:tr w14:paraId="41F114E1">
        <w:trPr>
          <w:trHeight w:val="454" w:hRule="atLeast"/>
          <w:jc w:val="center"/>
        </w:trPr>
        <w:tc>
          <w:tcPr>
            <w:tcW w:w="477" w:type="pct"/>
            <w:vAlign w:val="center"/>
          </w:tcPr>
          <w:p w14:paraId="5F0768B8">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471CA04">
            <w:pPr>
              <w:adjustRightInd w:val="0"/>
              <w:snapToGrid w:val="0"/>
              <w:jc w:val="center"/>
              <w:rPr>
                <w:rFonts w:eastAsiaTheme="minorEastAsia"/>
                <w:szCs w:val="21"/>
                <w:highlight w:val="none"/>
              </w:rPr>
            </w:pPr>
            <w:r>
              <w:rPr>
                <w:rFonts w:eastAsiaTheme="minorEastAsia"/>
                <w:szCs w:val="21"/>
                <w:highlight w:val="none"/>
              </w:rPr>
              <w:t>浙江余杭转型升级产业投资有限公司</w:t>
            </w:r>
          </w:p>
        </w:tc>
        <w:tc>
          <w:tcPr>
            <w:tcW w:w="1409" w:type="pct"/>
            <w:vAlign w:val="center"/>
          </w:tcPr>
          <w:p w14:paraId="7F783828">
            <w:pPr>
              <w:adjustRightInd w:val="0"/>
              <w:snapToGrid w:val="0"/>
              <w:jc w:val="right"/>
              <w:rPr>
                <w:highlight w:val="none"/>
              </w:rPr>
            </w:pPr>
            <w:r>
              <w:rPr>
                <w:color w:val="000000"/>
                <w:sz w:val="22"/>
                <w:szCs w:val="22"/>
                <w:highlight w:val="none"/>
              </w:rPr>
              <w:t>428,677</w:t>
            </w:r>
          </w:p>
        </w:tc>
        <w:tc>
          <w:tcPr>
            <w:tcW w:w="1384" w:type="pct"/>
            <w:vAlign w:val="center"/>
          </w:tcPr>
          <w:p w14:paraId="3F079721">
            <w:pPr>
              <w:adjustRightInd w:val="0"/>
              <w:snapToGrid w:val="0"/>
              <w:jc w:val="right"/>
              <w:rPr>
                <w:highlight w:val="none"/>
              </w:rPr>
            </w:pPr>
            <w:r>
              <w:rPr>
                <w:color w:val="000000"/>
                <w:sz w:val="22"/>
                <w:szCs w:val="22"/>
                <w:highlight w:val="none"/>
              </w:rPr>
              <w:t>1.2046%</w:t>
            </w:r>
          </w:p>
        </w:tc>
      </w:tr>
      <w:tr w14:paraId="28BF2552">
        <w:trPr>
          <w:trHeight w:val="454" w:hRule="atLeast"/>
          <w:jc w:val="center"/>
        </w:trPr>
        <w:tc>
          <w:tcPr>
            <w:tcW w:w="477" w:type="pct"/>
            <w:vAlign w:val="center"/>
          </w:tcPr>
          <w:p w14:paraId="562BACDC">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BF2B832">
            <w:pPr>
              <w:adjustRightInd w:val="0"/>
              <w:snapToGrid w:val="0"/>
              <w:jc w:val="center"/>
              <w:rPr>
                <w:rFonts w:eastAsiaTheme="minorEastAsia"/>
                <w:szCs w:val="21"/>
                <w:highlight w:val="none"/>
              </w:rPr>
            </w:pPr>
            <w:r>
              <w:rPr>
                <w:rFonts w:eastAsiaTheme="minorEastAsia"/>
                <w:szCs w:val="21"/>
                <w:highlight w:val="none"/>
              </w:rPr>
              <w:t>杭州余杭景仓丹穴科技合伙企业（有限合伙）</w:t>
            </w:r>
          </w:p>
        </w:tc>
        <w:tc>
          <w:tcPr>
            <w:tcW w:w="1409" w:type="pct"/>
            <w:vAlign w:val="center"/>
          </w:tcPr>
          <w:p w14:paraId="5E620835">
            <w:pPr>
              <w:adjustRightInd w:val="0"/>
              <w:snapToGrid w:val="0"/>
              <w:jc w:val="right"/>
              <w:rPr>
                <w:highlight w:val="none"/>
              </w:rPr>
            </w:pPr>
            <w:r>
              <w:rPr>
                <w:color w:val="000000"/>
                <w:sz w:val="22"/>
                <w:szCs w:val="22"/>
                <w:highlight w:val="none"/>
              </w:rPr>
              <w:t>1,426,691</w:t>
            </w:r>
          </w:p>
        </w:tc>
        <w:tc>
          <w:tcPr>
            <w:tcW w:w="1384" w:type="pct"/>
            <w:vAlign w:val="center"/>
          </w:tcPr>
          <w:p w14:paraId="6A707CA3">
            <w:pPr>
              <w:adjustRightInd w:val="0"/>
              <w:snapToGrid w:val="0"/>
              <w:jc w:val="right"/>
              <w:rPr>
                <w:highlight w:val="none"/>
              </w:rPr>
            </w:pPr>
            <w:r>
              <w:rPr>
                <w:color w:val="000000"/>
                <w:sz w:val="22"/>
                <w:szCs w:val="22"/>
                <w:highlight w:val="none"/>
              </w:rPr>
              <w:t>4.0090%</w:t>
            </w:r>
          </w:p>
        </w:tc>
      </w:tr>
      <w:tr w14:paraId="4FBE5AE7">
        <w:trPr>
          <w:trHeight w:val="454" w:hRule="atLeast"/>
          <w:jc w:val="center"/>
        </w:trPr>
        <w:tc>
          <w:tcPr>
            <w:tcW w:w="477" w:type="pct"/>
            <w:vAlign w:val="center"/>
          </w:tcPr>
          <w:p w14:paraId="053662AA">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CBFCAAA">
            <w:pPr>
              <w:adjustRightInd w:val="0"/>
              <w:snapToGrid w:val="0"/>
              <w:jc w:val="center"/>
              <w:rPr>
                <w:rFonts w:eastAsiaTheme="minorEastAsia"/>
                <w:szCs w:val="21"/>
                <w:highlight w:val="none"/>
              </w:rPr>
            </w:pPr>
            <w:r>
              <w:rPr>
                <w:rFonts w:eastAsiaTheme="minorEastAsia"/>
                <w:szCs w:val="21"/>
                <w:highlight w:val="none"/>
              </w:rPr>
              <w:t>上海火山石二期创业投资合伙企业（有限合伙）</w:t>
            </w:r>
          </w:p>
        </w:tc>
        <w:tc>
          <w:tcPr>
            <w:tcW w:w="1409" w:type="pct"/>
            <w:vAlign w:val="center"/>
          </w:tcPr>
          <w:p w14:paraId="3BD240CA">
            <w:pPr>
              <w:adjustRightInd w:val="0"/>
              <w:snapToGrid w:val="0"/>
              <w:jc w:val="right"/>
              <w:rPr>
                <w:highlight w:val="none"/>
              </w:rPr>
            </w:pPr>
            <w:r>
              <w:rPr>
                <w:color w:val="000000"/>
                <w:sz w:val="22"/>
                <w:szCs w:val="22"/>
                <w:highlight w:val="none"/>
              </w:rPr>
              <w:t>1,796,754</w:t>
            </w:r>
          </w:p>
        </w:tc>
        <w:tc>
          <w:tcPr>
            <w:tcW w:w="1384" w:type="pct"/>
            <w:vAlign w:val="center"/>
          </w:tcPr>
          <w:p w14:paraId="2D0FA333">
            <w:pPr>
              <w:adjustRightInd w:val="0"/>
              <w:snapToGrid w:val="0"/>
              <w:jc w:val="right"/>
              <w:rPr>
                <w:highlight w:val="none"/>
              </w:rPr>
            </w:pPr>
            <w:r>
              <w:rPr>
                <w:color w:val="000000"/>
                <w:sz w:val="22"/>
                <w:szCs w:val="22"/>
                <w:highlight w:val="none"/>
              </w:rPr>
              <w:t>5.0489%</w:t>
            </w:r>
          </w:p>
        </w:tc>
      </w:tr>
      <w:tr w14:paraId="609DAB9F">
        <w:trPr>
          <w:trHeight w:val="454" w:hRule="atLeast"/>
          <w:jc w:val="center"/>
        </w:trPr>
        <w:tc>
          <w:tcPr>
            <w:tcW w:w="477" w:type="pct"/>
            <w:vAlign w:val="center"/>
          </w:tcPr>
          <w:p w14:paraId="028630CA">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795254C">
            <w:pPr>
              <w:adjustRightInd w:val="0"/>
              <w:snapToGrid w:val="0"/>
              <w:jc w:val="center"/>
              <w:rPr>
                <w:rFonts w:eastAsiaTheme="minorEastAsia"/>
                <w:szCs w:val="21"/>
                <w:highlight w:val="none"/>
              </w:rPr>
            </w:pPr>
            <w:r>
              <w:rPr>
                <w:rFonts w:eastAsiaTheme="minorEastAsia"/>
                <w:szCs w:val="21"/>
                <w:highlight w:val="none"/>
              </w:rPr>
              <w:t>中金传誉凤凰（杭州）股权投资基金合伙企业（有限合伙）</w:t>
            </w:r>
          </w:p>
        </w:tc>
        <w:tc>
          <w:tcPr>
            <w:tcW w:w="1409" w:type="pct"/>
            <w:vAlign w:val="center"/>
          </w:tcPr>
          <w:p w14:paraId="19814001">
            <w:pPr>
              <w:adjustRightInd w:val="0"/>
              <w:snapToGrid w:val="0"/>
              <w:jc w:val="right"/>
              <w:rPr>
                <w:highlight w:val="none"/>
              </w:rPr>
            </w:pPr>
            <w:r>
              <w:rPr>
                <w:color w:val="000000"/>
                <w:sz w:val="22"/>
                <w:szCs w:val="22"/>
                <w:highlight w:val="none"/>
              </w:rPr>
              <w:t>1,339,615</w:t>
            </w:r>
          </w:p>
        </w:tc>
        <w:tc>
          <w:tcPr>
            <w:tcW w:w="1384" w:type="pct"/>
            <w:vAlign w:val="center"/>
          </w:tcPr>
          <w:p w14:paraId="25A98880">
            <w:pPr>
              <w:adjustRightInd w:val="0"/>
              <w:snapToGrid w:val="0"/>
              <w:jc w:val="right"/>
              <w:rPr>
                <w:highlight w:val="none"/>
              </w:rPr>
            </w:pPr>
            <w:r>
              <w:rPr>
                <w:color w:val="000000"/>
                <w:sz w:val="22"/>
                <w:szCs w:val="22"/>
                <w:highlight w:val="none"/>
              </w:rPr>
              <w:t>3.7643%</w:t>
            </w:r>
          </w:p>
        </w:tc>
      </w:tr>
      <w:tr w14:paraId="36DC3A6E">
        <w:trPr>
          <w:trHeight w:val="454" w:hRule="atLeast"/>
          <w:jc w:val="center"/>
        </w:trPr>
        <w:tc>
          <w:tcPr>
            <w:tcW w:w="477" w:type="pct"/>
            <w:vAlign w:val="center"/>
          </w:tcPr>
          <w:p w14:paraId="30591ACA">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DF83A3A">
            <w:pPr>
              <w:adjustRightInd w:val="0"/>
              <w:snapToGrid w:val="0"/>
              <w:jc w:val="center"/>
              <w:rPr>
                <w:rFonts w:eastAsiaTheme="minorEastAsia"/>
                <w:szCs w:val="21"/>
                <w:highlight w:val="none"/>
              </w:rPr>
            </w:pPr>
            <w:r>
              <w:rPr>
                <w:rFonts w:eastAsiaTheme="minorEastAsia"/>
                <w:szCs w:val="21"/>
                <w:highlight w:val="none"/>
              </w:rPr>
              <w:t>宁波衔领创业投资合伙企业（有限合伙）</w:t>
            </w:r>
          </w:p>
        </w:tc>
        <w:tc>
          <w:tcPr>
            <w:tcW w:w="1409" w:type="pct"/>
            <w:vAlign w:val="center"/>
          </w:tcPr>
          <w:p w14:paraId="2E228EAA">
            <w:pPr>
              <w:adjustRightInd w:val="0"/>
              <w:snapToGrid w:val="0"/>
              <w:jc w:val="right"/>
              <w:rPr>
                <w:highlight w:val="none"/>
              </w:rPr>
            </w:pPr>
            <w:r>
              <w:rPr>
                <w:color w:val="000000"/>
                <w:sz w:val="22"/>
                <w:szCs w:val="22"/>
                <w:highlight w:val="none"/>
              </w:rPr>
              <w:t>546,247</w:t>
            </w:r>
          </w:p>
        </w:tc>
        <w:tc>
          <w:tcPr>
            <w:tcW w:w="1384" w:type="pct"/>
            <w:vAlign w:val="center"/>
          </w:tcPr>
          <w:p w14:paraId="080A2259">
            <w:pPr>
              <w:adjustRightInd w:val="0"/>
              <w:snapToGrid w:val="0"/>
              <w:jc w:val="right"/>
              <w:rPr>
                <w:highlight w:val="none"/>
              </w:rPr>
            </w:pPr>
            <w:r>
              <w:rPr>
                <w:color w:val="000000"/>
                <w:sz w:val="22"/>
                <w:szCs w:val="22"/>
                <w:highlight w:val="none"/>
              </w:rPr>
              <w:t>1.5350%</w:t>
            </w:r>
          </w:p>
        </w:tc>
      </w:tr>
      <w:tr w14:paraId="78E57D32">
        <w:trPr>
          <w:trHeight w:val="454" w:hRule="atLeast"/>
          <w:jc w:val="center"/>
        </w:trPr>
        <w:tc>
          <w:tcPr>
            <w:tcW w:w="477" w:type="pct"/>
            <w:vAlign w:val="center"/>
          </w:tcPr>
          <w:p w14:paraId="361D8830">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967911F">
            <w:pPr>
              <w:adjustRightInd w:val="0"/>
              <w:snapToGrid w:val="0"/>
              <w:jc w:val="center"/>
              <w:rPr>
                <w:rFonts w:eastAsiaTheme="minorEastAsia"/>
                <w:szCs w:val="21"/>
                <w:highlight w:val="none"/>
              </w:rPr>
            </w:pPr>
            <w:r>
              <w:rPr>
                <w:rFonts w:eastAsiaTheme="minorEastAsia"/>
                <w:szCs w:val="21"/>
                <w:highlight w:val="none"/>
              </w:rPr>
              <w:t>宁波领脉创业投资合伙企业（有限合伙）</w:t>
            </w:r>
          </w:p>
        </w:tc>
        <w:tc>
          <w:tcPr>
            <w:tcW w:w="1409" w:type="pct"/>
            <w:vAlign w:val="center"/>
          </w:tcPr>
          <w:p w14:paraId="647BB0E1">
            <w:pPr>
              <w:adjustRightInd w:val="0"/>
              <w:snapToGrid w:val="0"/>
              <w:jc w:val="right"/>
              <w:rPr>
                <w:highlight w:val="none"/>
              </w:rPr>
            </w:pPr>
            <w:r>
              <w:rPr>
                <w:color w:val="000000"/>
                <w:sz w:val="22"/>
                <w:szCs w:val="22"/>
                <w:highlight w:val="none"/>
              </w:rPr>
              <w:t>651,132</w:t>
            </w:r>
          </w:p>
        </w:tc>
        <w:tc>
          <w:tcPr>
            <w:tcW w:w="1384" w:type="pct"/>
            <w:vAlign w:val="center"/>
          </w:tcPr>
          <w:p w14:paraId="69897485">
            <w:pPr>
              <w:adjustRightInd w:val="0"/>
              <w:snapToGrid w:val="0"/>
              <w:jc w:val="right"/>
              <w:rPr>
                <w:highlight w:val="none"/>
              </w:rPr>
            </w:pPr>
            <w:r>
              <w:rPr>
                <w:color w:val="000000"/>
                <w:sz w:val="22"/>
                <w:szCs w:val="22"/>
                <w:highlight w:val="none"/>
              </w:rPr>
              <w:t>1.8297%</w:t>
            </w:r>
          </w:p>
        </w:tc>
      </w:tr>
      <w:tr w14:paraId="5836B9DC">
        <w:trPr>
          <w:trHeight w:val="454" w:hRule="atLeast"/>
          <w:jc w:val="center"/>
        </w:trPr>
        <w:tc>
          <w:tcPr>
            <w:tcW w:w="477" w:type="pct"/>
            <w:vAlign w:val="center"/>
          </w:tcPr>
          <w:p w14:paraId="228974F6">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0AF641E">
            <w:pPr>
              <w:adjustRightInd w:val="0"/>
              <w:snapToGrid w:val="0"/>
              <w:jc w:val="center"/>
              <w:rPr>
                <w:rFonts w:eastAsiaTheme="minorEastAsia"/>
                <w:szCs w:val="21"/>
                <w:highlight w:val="none"/>
              </w:rPr>
            </w:pPr>
            <w:r>
              <w:rPr>
                <w:rFonts w:eastAsiaTheme="minorEastAsia"/>
                <w:szCs w:val="21"/>
                <w:highlight w:val="none"/>
              </w:rPr>
              <w:t>平潭综合实验区沃生慧嘉股权投资合伙企业（有限合伙）</w:t>
            </w:r>
          </w:p>
        </w:tc>
        <w:tc>
          <w:tcPr>
            <w:tcW w:w="1409" w:type="pct"/>
            <w:vAlign w:val="center"/>
          </w:tcPr>
          <w:p w14:paraId="7FAEAADA">
            <w:pPr>
              <w:adjustRightInd w:val="0"/>
              <w:snapToGrid w:val="0"/>
              <w:jc w:val="right"/>
              <w:rPr>
                <w:highlight w:val="none"/>
              </w:rPr>
            </w:pPr>
            <w:r>
              <w:rPr>
                <w:color w:val="000000"/>
                <w:sz w:val="22"/>
                <w:szCs w:val="22"/>
                <w:highlight w:val="none"/>
              </w:rPr>
              <w:t>960,506</w:t>
            </w:r>
          </w:p>
        </w:tc>
        <w:tc>
          <w:tcPr>
            <w:tcW w:w="1384" w:type="pct"/>
            <w:vAlign w:val="center"/>
          </w:tcPr>
          <w:p w14:paraId="1D42E79F">
            <w:pPr>
              <w:adjustRightInd w:val="0"/>
              <w:snapToGrid w:val="0"/>
              <w:jc w:val="right"/>
              <w:rPr>
                <w:highlight w:val="none"/>
              </w:rPr>
            </w:pPr>
            <w:r>
              <w:rPr>
                <w:color w:val="000000"/>
                <w:sz w:val="22"/>
                <w:szCs w:val="22"/>
                <w:highlight w:val="none"/>
              </w:rPr>
              <w:t>2.6990%</w:t>
            </w:r>
          </w:p>
        </w:tc>
      </w:tr>
      <w:tr w14:paraId="202B6EBB">
        <w:trPr>
          <w:trHeight w:val="454" w:hRule="atLeast"/>
          <w:jc w:val="center"/>
        </w:trPr>
        <w:tc>
          <w:tcPr>
            <w:tcW w:w="477" w:type="pct"/>
            <w:vAlign w:val="center"/>
          </w:tcPr>
          <w:p w14:paraId="2AFD932D">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0B249E5">
            <w:pPr>
              <w:adjustRightInd w:val="0"/>
              <w:snapToGrid w:val="0"/>
              <w:jc w:val="center"/>
              <w:rPr>
                <w:rFonts w:eastAsiaTheme="minorEastAsia"/>
                <w:szCs w:val="21"/>
                <w:highlight w:val="none"/>
              </w:rPr>
            </w:pPr>
            <w:r>
              <w:rPr>
                <w:rFonts w:eastAsiaTheme="minorEastAsia"/>
                <w:szCs w:val="21"/>
                <w:highlight w:val="none"/>
              </w:rPr>
              <w:t>上海智鼎博能投资合伙企业（有限合伙）</w:t>
            </w:r>
          </w:p>
        </w:tc>
        <w:tc>
          <w:tcPr>
            <w:tcW w:w="1409" w:type="pct"/>
            <w:vAlign w:val="center"/>
          </w:tcPr>
          <w:p w14:paraId="699CCC44">
            <w:pPr>
              <w:adjustRightInd w:val="0"/>
              <w:snapToGrid w:val="0"/>
              <w:jc w:val="right"/>
              <w:rPr>
                <w:highlight w:val="none"/>
              </w:rPr>
            </w:pPr>
            <w:r>
              <w:rPr>
                <w:color w:val="000000"/>
                <w:sz w:val="22"/>
                <w:szCs w:val="22"/>
                <w:highlight w:val="none"/>
              </w:rPr>
              <w:t>690,171</w:t>
            </w:r>
          </w:p>
        </w:tc>
        <w:tc>
          <w:tcPr>
            <w:tcW w:w="1384" w:type="pct"/>
            <w:vAlign w:val="center"/>
          </w:tcPr>
          <w:p w14:paraId="21D1689E">
            <w:pPr>
              <w:adjustRightInd w:val="0"/>
              <w:snapToGrid w:val="0"/>
              <w:jc w:val="right"/>
              <w:rPr>
                <w:highlight w:val="none"/>
              </w:rPr>
            </w:pPr>
            <w:r>
              <w:rPr>
                <w:color w:val="000000"/>
                <w:sz w:val="22"/>
                <w:szCs w:val="22"/>
                <w:highlight w:val="none"/>
              </w:rPr>
              <w:t>1.9394%</w:t>
            </w:r>
          </w:p>
        </w:tc>
      </w:tr>
      <w:tr w14:paraId="7224F70F">
        <w:trPr>
          <w:trHeight w:val="454" w:hRule="atLeast"/>
          <w:jc w:val="center"/>
        </w:trPr>
        <w:tc>
          <w:tcPr>
            <w:tcW w:w="477" w:type="pct"/>
            <w:vAlign w:val="center"/>
          </w:tcPr>
          <w:p w14:paraId="1299C536">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72832B2">
            <w:pPr>
              <w:adjustRightInd w:val="0"/>
              <w:snapToGrid w:val="0"/>
              <w:jc w:val="center"/>
              <w:rPr>
                <w:rFonts w:eastAsiaTheme="minorEastAsia"/>
                <w:szCs w:val="21"/>
                <w:highlight w:val="none"/>
              </w:rPr>
            </w:pPr>
            <w:r>
              <w:rPr>
                <w:color w:val="000000"/>
                <w:sz w:val="22"/>
                <w:szCs w:val="22"/>
                <w:highlight w:val="none"/>
              </w:rPr>
              <w:t>上海熠建投资管理合伙企业（有限合伙）</w:t>
            </w:r>
          </w:p>
        </w:tc>
        <w:tc>
          <w:tcPr>
            <w:tcW w:w="1409" w:type="pct"/>
            <w:vAlign w:val="center"/>
          </w:tcPr>
          <w:p w14:paraId="23B9A77E">
            <w:pPr>
              <w:adjustRightInd w:val="0"/>
              <w:snapToGrid w:val="0"/>
              <w:jc w:val="right"/>
              <w:rPr>
                <w:highlight w:val="none"/>
              </w:rPr>
            </w:pPr>
            <w:r>
              <w:rPr>
                <w:color w:val="000000"/>
                <w:sz w:val="22"/>
                <w:szCs w:val="22"/>
                <w:highlight w:val="none"/>
              </w:rPr>
              <w:t>602,827</w:t>
            </w:r>
          </w:p>
        </w:tc>
        <w:tc>
          <w:tcPr>
            <w:tcW w:w="1384" w:type="pct"/>
            <w:vAlign w:val="center"/>
          </w:tcPr>
          <w:p w14:paraId="72AAD8D8">
            <w:pPr>
              <w:adjustRightInd w:val="0"/>
              <w:snapToGrid w:val="0"/>
              <w:jc w:val="right"/>
              <w:rPr>
                <w:highlight w:val="none"/>
              </w:rPr>
            </w:pPr>
            <w:r>
              <w:rPr>
                <w:color w:val="000000"/>
                <w:sz w:val="22"/>
                <w:szCs w:val="22"/>
                <w:highlight w:val="none"/>
              </w:rPr>
              <w:t>1.6940%</w:t>
            </w:r>
          </w:p>
        </w:tc>
      </w:tr>
      <w:tr w14:paraId="030171B6">
        <w:trPr>
          <w:trHeight w:val="454" w:hRule="atLeast"/>
          <w:jc w:val="center"/>
        </w:trPr>
        <w:tc>
          <w:tcPr>
            <w:tcW w:w="477" w:type="pct"/>
            <w:vAlign w:val="center"/>
          </w:tcPr>
          <w:p w14:paraId="4EF602D9">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81FE964">
            <w:pPr>
              <w:adjustRightInd w:val="0"/>
              <w:snapToGrid w:val="0"/>
              <w:jc w:val="center"/>
              <w:rPr>
                <w:rFonts w:eastAsiaTheme="minorEastAsia"/>
                <w:szCs w:val="21"/>
                <w:highlight w:val="none"/>
              </w:rPr>
            </w:pPr>
            <w:r>
              <w:rPr>
                <w:color w:val="000000"/>
                <w:sz w:val="22"/>
                <w:szCs w:val="22"/>
                <w:highlight w:val="none"/>
              </w:rPr>
              <w:t>杭州泰鲲股权投资基金合伙企业（有限合伙）</w:t>
            </w:r>
          </w:p>
        </w:tc>
        <w:tc>
          <w:tcPr>
            <w:tcW w:w="1409" w:type="pct"/>
            <w:vAlign w:val="center"/>
          </w:tcPr>
          <w:p w14:paraId="716CE53D">
            <w:pPr>
              <w:adjustRightInd w:val="0"/>
              <w:snapToGrid w:val="0"/>
              <w:jc w:val="right"/>
              <w:rPr>
                <w:highlight w:val="none"/>
              </w:rPr>
            </w:pPr>
            <w:r>
              <w:rPr>
                <w:color w:val="000000"/>
                <w:sz w:val="22"/>
                <w:szCs w:val="22"/>
                <w:highlight w:val="none"/>
              </w:rPr>
              <w:t>602,827</w:t>
            </w:r>
          </w:p>
        </w:tc>
        <w:tc>
          <w:tcPr>
            <w:tcW w:w="1384" w:type="pct"/>
            <w:vAlign w:val="center"/>
          </w:tcPr>
          <w:p w14:paraId="2086BFD6">
            <w:pPr>
              <w:adjustRightInd w:val="0"/>
              <w:snapToGrid w:val="0"/>
              <w:jc w:val="right"/>
              <w:rPr>
                <w:highlight w:val="none"/>
              </w:rPr>
            </w:pPr>
            <w:r>
              <w:rPr>
                <w:color w:val="000000"/>
                <w:sz w:val="22"/>
                <w:szCs w:val="22"/>
                <w:highlight w:val="none"/>
              </w:rPr>
              <w:t>1.6940%</w:t>
            </w:r>
          </w:p>
        </w:tc>
      </w:tr>
      <w:tr w14:paraId="27219B2A">
        <w:trPr>
          <w:trHeight w:val="454" w:hRule="atLeast"/>
          <w:jc w:val="center"/>
        </w:trPr>
        <w:tc>
          <w:tcPr>
            <w:tcW w:w="477" w:type="pct"/>
            <w:vAlign w:val="center"/>
          </w:tcPr>
          <w:p w14:paraId="3593D083">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FC1E7AD">
            <w:pPr>
              <w:adjustRightInd w:val="0"/>
              <w:snapToGrid w:val="0"/>
              <w:jc w:val="center"/>
              <w:rPr>
                <w:rFonts w:eastAsiaTheme="minorEastAsia"/>
                <w:szCs w:val="21"/>
                <w:highlight w:val="none"/>
              </w:rPr>
            </w:pPr>
            <w:r>
              <w:rPr>
                <w:color w:val="000000"/>
                <w:sz w:val="22"/>
                <w:szCs w:val="22"/>
                <w:highlight w:val="none"/>
              </w:rPr>
              <w:t>上海临港启创生科私募投资基金合伙企业（有限合伙）</w:t>
            </w:r>
          </w:p>
        </w:tc>
        <w:tc>
          <w:tcPr>
            <w:tcW w:w="1409" w:type="pct"/>
            <w:vAlign w:val="center"/>
          </w:tcPr>
          <w:p w14:paraId="5D39C478">
            <w:pPr>
              <w:adjustRightInd w:val="0"/>
              <w:snapToGrid w:val="0"/>
              <w:jc w:val="right"/>
              <w:rPr>
                <w:highlight w:val="none"/>
              </w:rPr>
            </w:pPr>
            <w:r>
              <w:rPr>
                <w:color w:val="000000"/>
                <w:sz w:val="22"/>
                <w:szCs w:val="22"/>
                <w:highlight w:val="none"/>
              </w:rPr>
              <w:t>602,827</w:t>
            </w:r>
          </w:p>
        </w:tc>
        <w:tc>
          <w:tcPr>
            <w:tcW w:w="1384" w:type="pct"/>
            <w:vAlign w:val="center"/>
          </w:tcPr>
          <w:p w14:paraId="00B7E8E3">
            <w:pPr>
              <w:adjustRightInd w:val="0"/>
              <w:snapToGrid w:val="0"/>
              <w:jc w:val="right"/>
              <w:rPr>
                <w:highlight w:val="none"/>
              </w:rPr>
            </w:pPr>
            <w:r>
              <w:rPr>
                <w:color w:val="000000"/>
                <w:sz w:val="22"/>
                <w:szCs w:val="22"/>
                <w:highlight w:val="none"/>
              </w:rPr>
              <w:t>1.6940%</w:t>
            </w:r>
          </w:p>
        </w:tc>
      </w:tr>
      <w:tr w14:paraId="08ABBFAD">
        <w:trPr>
          <w:trHeight w:val="454" w:hRule="atLeast"/>
          <w:jc w:val="center"/>
        </w:trPr>
        <w:tc>
          <w:tcPr>
            <w:tcW w:w="477" w:type="pct"/>
            <w:vAlign w:val="center"/>
          </w:tcPr>
          <w:p w14:paraId="655F95DF">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EADEA71">
            <w:pPr>
              <w:adjustRightInd w:val="0"/>
              <w:snapToGrid w:val="0"/>
              <w:jc w:val="center"/>
              <w:rPr>
                <w:rFonts w:eastAsiaTheme="minorEastAsia"/>
                <w:szCs w:val="21"/>
                <w:highlight w:val="none"/>
              </w:rPr>
            </w:pPr>
            <w:r>
              <w:rPr>
                <w:color w:val="000000"/>
                <w:sz w:val="22"/>
                <w:szCs w:val="22"/>
                <w:highlight w:val="none"/>
              </w:rPr>
              <w:t>重庆建源西证私募股权投资基金合伙企业（有限合伙）</w:t>
            </w:r>
          </w:p>
        </w:tc>
        <w:tc>
          <w:tcPr>
            <w:tcW w:w="1409" w:type="pct"/>
            <w:vAlign w:val="center"/>
          </w:tcPr>
          <w:p w14:paraId="52780956">
            <w:pPr>
              <w:adjustRightInd w:val="0"/>
              <w:snapToGrid w:val="0"/>
              <w:jc w:val="right"/>
              <w:rPr>
                <w:highlight w:val="none"/>
              </w:rPr>
            </w:pPr>
            <w:r>
              <w:rPr>
                <w:color w:val="000000"/>
                <w:sz w:val="22"/>
                <w:szCs w:val="22"/>
                <w:highlight w:val="none"/>
              </w:rPr>
              <w:t>602,827</w:t>
            </w:r>
          </w:p>
        </w:tc>
        <w:tc>
          <w:tcPr>
            <w:tcW w:w="1384" w:type="pct"/>
            <w:vAlign w:val="center"/>
          </w:tcPr>
          <w:p w14:paraId="3F4BE03B">
            <w:pPr>
              <w:adjustRightInd w:val="0"/>
              <w:snapToGrid w:val="0"/>
              <w:jc w:val="right"/>
              <w:rPr>
                <w:highlight w:val="none"/>
              </w:rPr>
            </w:pPr>
            <w:r>
              <w:rPr>
                <w:color w:val="000000"/>
                <w:sz w:val="22"/>
                <w:szCs w:val="22"/>
                <w:highlight w:val="none"/>
              </w:rPr>
              <w:t>1.6940%</w:t>
            </w:r>
          </w:p>
        </w:tc>
      </w:tr>
      <w:tr w14:paraId="4FCD7CE0">
        <w:trPr>
          <w:trHeight w:val="454" w:hRule="atLeast"/>
          <w:jc w:val="center"/>
        </w:trPr>
        <w:tc>
          <w:tcPr>
            <w:tcW w:w="477" w:type="pct"/>
            <w:vAlign w:val="center"/>
          </w:tcPr>
          <w:p w14:paraId="2F7B9D50">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F2DC09A">
            <w:pPr>
              <w:adjustRightInd w:val="0"/>
              <w:snapToGrid w:val="0"/>
              <w:jc w:val="center"/>
              <w:rPr>
                <w:rFonts w:eastAsiaTheme="minorEastAsia"/>
                <w:szCs w:val="21"/>
                <w:highlight w:val="none"/>
              </w:rPr>
            </w:pPr>
            <w:r>
              <w:rPr>
                <w:color w:val="000000"/>
                <w:sz w:val="22"/>
                <w:szCs w:val="22"/>
                <w:highlight w:val="none"/>
              </w:rPr>
              <w:t>杭州禾合园区引领股权投资合伙企业（有限合伙）</w:t>
            </w:r>
          </w:p>
        </w:tc>
        <w:tc>
          <w:tcPr>
            <w:tcW w:w="1409" w:type="pct"/>
            <w:vAlign w:val="center"/>
          </w:tcPr>
          <w:p w14:paraId="646FA74F">
            <w:pPr>
              <w:adjustRightInd w:val="0"/>
              <w:snapToGrid w:val="0"/>
              <w:jc w:val="right"/>
              <w:rPr>
                <w:highlight w:val="none"/>
              </w:rPr>
            </w:pPr>
            <w:r>
              <w:rPr>
                <w:color w:val="000000"/>
                <w:sz w:val="22"/>
                <w:szCs w:val="22"/>
                <w:highlight w:val="none"/>
              </w:rPr>
              <w:t>401,885</w:t>
            </w:r>
          </w:p>
        </w:tc>
        <w:tc>
          <w:tcPr>
            <w:tcW w:w="1384" w:type="pct"/>
            <w:vAlign w:val="center"/>
          </w:tcPr>
          <w:p w14:paraId="3FA70EB4">
            <w:pPr>
              <w:adjustRightInd w:val="0"/>
              <w:snapToGrid w:val="0"/>
              <w:jc w:val="right"/>
              <w:rPr>
                <w:highlight w:val="none"/>
              </w:rPr>
            </w:pPr>
            <w:r>
              <w:rPr>
                <w:color w:val="000000"/>
                <w:sz w:val="22"/>
                <w:szCs w:val="22"/>
                <w:highlight w:val="none"/>
              </w:rPr>
              <w:t>1.1293%</w:t>
            </w:r>
          </w:p>
        </w:tc>
      </w:tr>
      <w:tr w14:paraId="63116D67">
        <w:trPr>
          <w:trHeight w:val="454" w:hRule="atLeast"/>
          <w:jc w:val="center"/>
        </w:trPr>
        <w:tc>
          <w:tcPr>
            <w:tcW w:w="477" w:type="pct"/>
            <w:vAlign w:val="center"/>
          </w:tcPr>
          <w:p w14:paraId="007B83D5">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68B7892">
            <w:pPr>
              <w:adjustRightInd w:val="0"/>
              <w:snapToGrid w:val="0"/>
              <w:jc w:val="center"/>
              <w:rPr>
                <w:rFonts w:eastAsiaTheme="minorEastAsia"/>
                <w:szCs w:val="21"/>
                <w:highlight w:val="none"/>
              </w:rPr>
            </w:pPr>
            <w:r>
              <w:rPr>
                <w:color w:val="000000"/>
                <w:sz w:val="22"/>
                <w:szCs w:val="22"/>
                <w:highlight w:val="none"/>
              </w:rPr>
              <w:t>重庆渝富高精尖产业私募股权投资基金合伙企业（有限合伙）</w:t>
            </w:r>
          </w:p>
        </w:tc>
        <w:tc>
          <w:tcPr>
            <w:tcW w:w="1409" w:type="pct"/>
            <w:vAlign w:val="center"/>
          </w:tcPr>
          <w:p w14:paraId="19C1E5B8">
            <w:pPr>
              <w:adjustRightInd w:val="0"/>
              <w:snapToGrid w:val="0"/>
              <w:jc w:val="right"/>
              <w:rPr>
                <w:highlight w:val="none"/>
              </w:rPr>
            </w:pPr>
            <w:r>
              <w:rPr>
                <w:color w:val="000000"/>
                <w:sz w:val="22"/>
                <w:szCs w:val="22"/>
                <w:highlight w:val="none"/>
              </w:rPr>
              <w:t>401,885</w:t>
            </w:r>
          </w:p>
        </w:tc>
        <w:tc>
          <w:tcPr>
            <w:tcW w:w="1384" w:type="pct"/>
            <w:vAlign w:val="center"/>
          </w:tcPr>
          <w:p w14:paraId="0EE9A2C1">
            <w:pPr>
              <w:adjustRightInd w:val="0"/>
              <w:snapToGrid w:val="0"/>
              <w:jc w:val="right"/>
              <w:rPr>
                <w:highlight w:val="none"/>
              </w:rPr>
            </w:pPr>
            <w:r>
              <w:rPr>
                <w:color w:val="000000"/>
                <w:sz w:val="22"/>
                <w:szCs w:val="22"/>
                <w:highlight w:val="none"/>
              </w:rPr>
              <w:t>1.1293%</w:t>
            </w:r>
          </w:p>
        </w:tc>
      </w:tr>
      <w:tr w14:paraId="14EC8194">
        <w:trPr>
          <w:trHeight w:val="454" w:hRule="atLeast"/>
          <w:jc w:val="center"/>
        </w:trPr>
        <w:tc>
          <w:tcPr>
            <w:tcW w:w="477" w:type="pct"/>
            <w:vAlign w:val="center"/>
          </w:tcPr>
          <w:p w14:paraId="53C4B1F9">
            <w:pPr>
              <w:numPr>
                <w:ilvl w:val="0"/>
                <w:numId w:val="9"/>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498DB22">
            <w:pPr>
              <w:adjustRightInd w:val="0"/>
              <w:snapToGrid w:val="0"/>
              <w:jc w:val="center"/>
              <w:rPr>
                <w:rFonts w:eastAsiaTheme="minorEastAsia"/>
                <w:szCs w:val="21"/>
                <w:highlight w:val="none"/>
              </w:rPr>
            </w:pPr>
            <w:r>
              <w:rPr>
                <w:rFonts w:eastAsiaTheme="minorEastAsia"/>
                <w:szCs w:val="21"/>
                <w:highlight w:val="none"/>
              </w:rPr>
              <w:t>和瑞创业投资基金管理（深圳）有限公司</w:t>
            </w:r>
          </w:p>
        </w:tc>
        <w:tc>
          <w:tcPr>
            <w:tcW w:w="1409" w:type="pct"/>
            <w:vAlign w:val="center"/>
          </w:tcPr>
          <w:p w14:paraId="71D3D91F">
            <w:pPr>
              <w:adjustRightInd w:val="0"/>
              <w:snapToGrid w:val="0"/>
              <w:jc w:val="right"/>
              <w:rPr>
                <w:highlight w:val="none"/>
              </w:rPr>
            </w:pPr>
            <w:r>
              <w:rPr>
                <w:color w:val="000000"/>
                <w:sz w:val="22"/>
                <w:szCs w:val="22"/>
                <w:highlight w:val="none"/>
              </w:rPr>
              <w:t>144,679</w:t>
            </w:r>
          </w:p>
        </w:tc>
        <w:tc>
          <w:tcPr>
            <w:tcW w:w="1384" w:type="pct"/>
            <w:vAlign w:val="center"/>
          </w:tcPr>
          <w:p w14:paraId="7C64429F">
            <w:pPr>
              <w:adjustRightInd w:val="0"/>
              <w:snapToGrid w:val="0"/>
              <w:jc w:val="right"/>
              <w:rPr>
                <w:highlight w:val="none"/>
              </w:rPr>
            </w:pPr>
            <w:r>
              <w:rPr>
                <w:color w:val="000000"/>
                <w:sz w:val="22"/>
                <w:szCs w:val="22"/>
                <w:highlight w:val="none"/>
              </w:rPr>
              <w:t>0.4066%</w:t>
            </w:r>
          </w:p>
        </w:tc>
      </w:tr>
      <w:tr w14:paraId="138DB50B">
        <w:trPr>
          <w:trHeight w:val="454" w:hRule="atLeast"/>
          <w:jc w:val="center"/>
        </w:trPr>
        <w:tc>
          <w:tcPr>
            <w:tcW w:w="477" w:type="pct"/>
            <w:vAlign w:val="center"/>
          </w:tcPr>
          <w:p w14:paraId="75670E4D">
            <w:pPr>
              <w:adjustRightInd w:val="0"/>
              <w:snapToGrid w:val="0"/>
              <w:rPr>
                <w:rFonts w:eastAsiaTheme="minorEastAsia"/>
                <w:b/>
                <w:szCs w:val="21"/>
              </w:rPr>
            </w:pPr>
            <w:r>
              <w:rPr>
                <w:rFonts w:eastAsiaTheme="minorEastAsia"/>
                <w:b/>
                <w:szCs w:val="21"/>
              </w:rPr>
              <w:t>合计</w:t>
            </w:r>
          </w:p>
        </w:tc>
        <w:tc>
          <w:tcPr>
            <w:tcW w:w="1730" w:type="pct"/>
            <w:vAlign w:val="center"/>
          </w:tcPr>
          <w:p w14:paraId="58CB8EB7">
            <w:pPr>
              <w:adjustRightInd w:val="0"/>
              <w:snapToGrid w:val="0"/>
              <w:rPr>
                <w:rFonts w:eastAsiaTheme="minorEastAsia"/>
                <w:b/>
                <w:szCs w:val="21"/>
              </w:rPr>
            </w:pPr>
          </w:p>
        </w:tc>
        <w:tc>
          <w:tcPr>
            <w:tcW w:w="1409" w:type="pct"/>
            <w:vAlign w:val="center"/>
          </w:tcPr>
          <w:p w14:paraId="461C0BDB">
            <w:pPr>
              <w:adjustRightInd w:val="0"/>
              <w:snapToGrid w:val="0"/>
              <w:jc w:val="right"/>
              <w:rPr>
                <w:rFonts w:eastAsiaTheme="minorEastAsia"/>
                <w:b/>
                <w:bCs/>
                <w:szCs w:val="21"/>
              </w:rPr>
            </w:pPr>
            <w:r>
              <w:rPr>
                <w:rFonts w:eastAsiaTheme="minorEastAsia"/>
                <w:b/>
                <w:bCs/>
                <w:szCs w:val="21"/>
              </w:rPr>
              <w:fldChar w:fldCharType="begin"/>
            </w:r>
            <w:r>
              <w:rPr>
                <w:rFonts w:eastAsiaTheme="minorEastAsia"/>
                <w:b/>
                <w:bCs/>
                <w:szCs w:val="21"/>
              </w:rPr>
              <w:instrText xml:space="preserve"> =SUM(ABOVE) </w:instrText>
            </w:r>
            <w:r>
              <w:rPr>
                <w:rFonts w:eastAsiaTheme="minorEastAsia"/>
                <w:b/>
                <w:bCs/>
                <w:szCs w:val="21"/>
              </w:rPr>
              <w:fldChar w:fldCharType="separate"/>
            </w:r>
            <w:r>
              <w:rPr>
                <w:rFonts w:eastAsiaTheme="minorEastAsia"/>
                <w:b/>
                <w:bCs/>
                <w:szCs w:val="21"/>
              </w:rPr>
              <w:t>35,586,901</w:t>
            </w:r>
            <w:r>
              <w:rPr>
                <w:rFonts w:eastAsiaTheme="minorEastAsia"/>
                <w:b/>
                <w:bCs/>
                <w:szCs w:val="21"/>
              </w:rPr>
              <w:fldChar w:fldCharType="end"/>
            </w:r>
          </w:p>
        </w:tc>
        <w:tc>
          <w:tcPr>
            <w:tcW w:w="1384" w:type="pct"/>
            <w:vAlign w:val="center"/>
          </w:tcPr>
          <w:p w14:paraId="3BE7C3E5">
            <w:pPr>
              <w:adjustRightInd w:val="0"/>
              <w:snapToGrid w:val="0"/>
              <w:jc w:val="right"/>
              <w:rPr>
                <w:rFonts w:eastAsiaTheme="minorEastAsia"/>
                <w:b/>
                <w:szCs w:val="21"/>
              </w:rPr>
            </w:pPr>
            <w:r>
              <w:rPr>
                <w:b/>
                <w:szCs w:val="21"/>
              </w:rPr>
              <w:fldChar w:fldCharType="begin"/>
            </w:r>
            <w:r>
              <w:rPr>
                <w:b/>
                <w:szCs w:val="21"/>
              </w:rPr>
              <w:instrText xml:space="preserve"> =SUM(ABOVE)*100 \# "0.00%" </w:instrText>
            </w:r>
            <w:r>
              <w:rPr>
                <w:b/>
                <w:szCs w:val="21"/>
              </w:rPr>
              <w:fldChar w:fldCharType="separate"/>
            </w:r>
            <w:r>
              <w:rPr>
                <w:b/>
                <w:szCs w:val="21"/>
              </w:rPr>
              <w:t>100.00%</w:t>
            </w:r>
            <w:r>
              <w:rPr>
                <w:b/>
                <w:szCs w:val="21"/>
              </w:rPr>
              <w:fldChar w:fldCharType="end"/>
            </w:r>
          </w:p>
        </w:tc>
      </w:tr>
    </w:tbl>
    <w:p w14:paraId="660201D4">
      <w:pPr>
        <w:pStyle w:val="91"/>
        <w:ind w:left="0" w:leftChars="0" w:firstLine="0" w:firstLineChars="0"/>
        <w:rPr>
          <w:rFonts w:hint="eastAsia" w:ascii="仿宋" w:hAnsi="仿宋" w:eastAsia="仿宋"/>
          <w:color w:val="0000FF"/>
          <w:sz w:val="21"/>
          <w:szCs w:val="21"/>
          <w:lang w:val="en-US" w:eastAsia="zh-CN"/>
        </w:rPr>
      </w:pPr>
    </w:p>
    <w:p w14:paraId="64408969">
      <w:pPr>
        <w:pStyle w:val="86"/>
        <w:rPr>
          <w:color w:val="auto"/>
        </w:rPr>
      </w:pPr>
      <w:bookmarkStart w:id="21" w:name="_Toc1426260893"/>
      <w:r>
        <w:rPr>
          <w:rFonts w:hint="eastAsia"/>
          <w:color w:val="auto"/>
        </w:rPr>
        <w:t>经营团队</w:t>
      </w:r>
      <w:bookmarkEnd w:id="21"/>
    </w:p>
    <w:p w14:paraId="1AE47270">
      <w:pPr>
        <w:pStyle w:val="88"/>
        <w:numPr>
          <w:ilvl w:val="0"/>
          <w:numId w:val="10"/>
        </w:numPr>
        <w:rPr>
          <w:color w:val="auto"/>
        </w:rPr>
      </w:pPr>
      <w:bookmarkStart w:id="22" w:name="_Toc954360837"/>
      <w:r>
        <w:rPr>
          <w:rFonts w:hint="eastAsia"/>
          <w:color w:val="auto"/>
        </w:rPr>
        <w:t>团队架构</w:t>
      </w:r>
      <w:bookmarkEnd w:id="22"/>
    </w:p>
    <w:p w14:paraId="3355E8C3">
      <w:pPr>
        <w:pStyle w:val="91"/>
        <w:rPr>
          <w:rFonts w:hint="eastAsia"/>
          <w:color w:val="auto"/>
          <w:lang w:eastAsia="zh-CN"/>
        </w:rPr>
      </w:pPr>
      <w:r>
        <w:rPr>
          <w:rFonts w:hint="eastAsia"/>
          <w:color w:val="auto"/>
          <w:lang w:eastAsia="zh-CN"/>
        </w:rPr>
        <w:t>截至2026年3月，公司总人数为141人，其中博士4人、硕士20人、本科63人，本科及以上学历占比约62%；研发团队占比约36%，生产团队占比约38%，临床与市场团队占比约14%，团队结构与学历层次匹配公司“研发+产业化”双轮驱动的发展阶段，为侵入式脑机接口产品的研发、临床推进与商业化落地提供了坚实保障。</w:t>
      </w:r>
    </w:p>
    <w:p w14:paraId="1F4A67D7">
      <w:pPr>
        <w:pStyle w:val="91"/>
        <w:ind w:left="0" w:leftChars="0" w:firstLine="0" w:firstLineChars="0"/>
        <w:rPr>
          <w:rFonts w:hint="eastAsia"/>
          <w:color w:val="0000FF"/>
        </w:rPr>
      </w:pPr>
      <w:r>
        <w:drawing>
          <wp:inline distT="0" distB="0" distL="114300" distR="114300">
            <wp:extent cx="5273040" cy="2476500"/>
            <wp:effectExtent l="0" t="0" r="10160" b="1270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8"/>
                    <a:stretch>
                      <a:fillRect/>
                    </a:stretch>
                  </pic:blipFill>
                  <pic:spPr>
                    <a:xfrm>
                      <a:off x="0" y="0"/>
                      <a:ext cx="5273040" cy="2476500"/>
                    </a:xfrm>
                    <a:prstGeom prst="rect">
                      <a:avLst/>
                    </a:prstGeom>
                    <a:noFill/>
                    <a:ln>
                      <a:noFill/>
                    </a:ln>
                  </pic:spPr>
                </pic:pic>
              </a:graphicData>
            </a:graphic>
          </wp:inline>
        </w:drawing>
      </w:r>
    </w:p>
    <w:p w14:paraId="2C678083">
      <w:pPr>
        <w:pStyle w:val="88"/>
        <w:ind w:firstLine="80"/>
        <w:rPr>
          <w:color w:val="auto"/>
        </w:rPr>
      </w:pPr>
      <w:bookmarkStart w:id="23" w:name="_Toc387228016"/>
      <w:r>
        <w:rPr>
          <w:rFonts w:hint="eastAsia"/>
          <w:color w:val="auto"/>
        </w:rPr>
        <w:t>联合创始人团队</w:t>
      </w:r>
      <w:bookmarkEnd w:id="23"/>
    </w:p>
    <w:p w14:paraId="6D9B932B">
      <w:pPr>
        <w:pStyle w:val="122"/>
        <w:bidi w:val="0"/>
      </w:pPr>
      <w:bookmarkStart w:id="24" w:name="_Toc1265814502"/>
      <w:bookmarkStart w:id="25" w:name="_Toc4695"/>
      <w:r>
        <w:t>曹鹏</w:t>
      </w:r>
      <w:bookmarkEnd w:id="24"/>
    </w:p>
    <w:p w14:paraId="6BBC95AB">
      <w:pPr>
        <w:pStyle w:val="91"/>
        <w:bidi w:val="0"/>
        <w:rPr>
          <w:color w:val="1F2329"/>
          <w:szCs w:val="32"/>
        </w:rPr>
      </w:pPr>
      <w:r>
        <w:rPr>
          <w:rFonts w:hint="eastAsia"/>
          <w:lang w:val="en-US" w:eastAsia="zh-CN"/>
        </w:rPr>
        <w:t>创始人&amp;CEO，</w:t>
      </w:r>
      <w:r>
        <w:rPr>
          <w:lang w:val="en-US" w:eastAsia="zh-CN"/>
        </w:rPr>
        <w:t>拥有西安交大本科、法国贡比涅技术大学硕士及博士学历，具备GE医疗、健世生物高管多年从业经历，深耕生物医学工程与神经医疗器械领域多年；兼具科研学术、产业运营与创业复合背景，主持多项省市级重大科技专项，手握数十项发明专利，斩获多项行业创新创业顶级奖项，产业资源整合、战略规划与企业经营能力突出，是</w:t>
      </w:r>
      <w:r>
        <w:rPr>
          <w:rFonts w:hint="eastAsia"/>
          <w:lang w:val="en-US" w:eastAsia="zh-CN"/>
        </w:rPr>
        <w:t>佳量脑科学</w:t>
      </w:r>
      <w:r>
        <w:rPr>
          <w:lang w:val="en-US" w:eastAsia="zh-CN"/>
        </w:rPr>
        <w:t>整体战略与全业务布局核心掌舵人。</w:t>
      </w:r>
    </w:p>
    <w:p w14:paraId="41151177">
      <w:pPr>
        <w:pStyle w:val="122"/>
        <w:bidi w:val="0"/>
      </w:pPr>
      <w:bookmarkStart w:id="26" w:name="_Toc1571327932"/>
      <w:r>
        <w:t>曾燕</w:t>
      </w:r>
      <w:bookmarkEnd w:id="26"/>
    </w:p>
    <w:p w14:paraId="6F2D0B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560" w:firstLineChars="200"/>
        <w:jc w:val="left"/>
        <w:rPr>
          <w:rFonts w:ascii="仿宋" w:hAnsi="仿宋" w:eastAsia="仿宋" w:cs="Arial"/>
          <w:sz w:val="28"/>
          <w:szCs w:val="28"/>
          <w:lang w:val="en-US" w:eastAsia="zh-CN" w:bidi="ar-SA"/>
        </w:rPr>
      </w:pPr>
      <w:r>
        <w:rPr>
          <w:rFonts w:ascii="仿宋" w:hAnsi="仿宋" w:eastAsia="仿宋" w:cs="Arial"/>
          <w:sz w:val="28"/>
          <w:szCs w:val="28"/>
          <w:lang w:val="en-US" w:eastAsia="zh-CN" w:bidi="ar-SA"/>
        </w:rPr>
        <w:t>管理者代表/质量总监/注册总监</w:t>
      </w:r>
      <w:r>
        <w:rPr>
          <w:rFonts w:hint="eastAsia" w:ascii="仿宋" w:hAnsi="仿宋" w:eastAsia="仿宋" w:cs="Arial"/>
          <w:sz w:val="28"/>
          <w:szCs w:val="28"/>
          <w:lang w:val="en-US" w:eastAsia="zh-CN" w:bidi="ar-SA"/>
        </w:rPr>
        <w:t>，</w:t>
      </w:r>
      <w:r>
        <w:rPr>
          <w:rFonts w:ascii="仿宋" w:hAnsi="仿宋" w:eastAsia="仿宋" w:cs="Arial"/>
          <w:sz w:val="28"/>
          <w:szCs w:val="28"/>
          <w:lang w:val="en-US" w:eastAsia="zh-CN" w:bidi="ar-SA"/>
        </w:rPr>
        <w:t>天津大学微电子专业硕士，拥有迈瑞医疗、协合医疗、承诺医疗多年质量法规与产品注册资深经验，深耕二类三类有源植入医疗器械全流程管理；精通ISO13485、FDAQSR820等国内外质量体系，熟练NMPA、CE全注册流程，主导公司多款创新医疗器械申报、型式检验与体系搭建，具备极强合规把控、产品注册及供应链管理能力，为佳量管线合规落地提供核心保障。</w:t>
      </w:r>
    </w:p>
    <w:p w14:paraId="73C5E3C8">
      <w:pPr>
        <w:pStyle w:val="122"/>
        <w:bidi w:val="0"/>
      </w:pPr>
      <w:bookmarkStart w:id="27" w:name="_Toc1702145965"/>
      <w:r>
        <w:t>贺循</w:t>
      </w:r>
      <w:bookmarkEnd w:id="27"/>
    </w:p>
    <w:p w14:paraId="5557DA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560" w:firstLineChars="200"/>
        <w:jc w:val="left"/>
        <w:rPr>
          <w:rFonts w:ascii="仿宋" w:hAnsi="仿宋" w:eastAsia="仿宋" w:cs="Arial"/>
          <w:sz w:val="28"/>
          <w:szCs w:val="28"/>
          <w:lang w:val="en-US" w:eastAsia="zh-CN" w:bidi="ar-SA"/>
        </w:rPr>
      </w:pPr>
      <w:r>
        <w:rPr>
          <w:rFonts w:hint="eastAsia" w:ascii="仿宋" w:hAnsi="仿宋" w:eastAsia="仿宋" w:cs="Arial"/>
          <w:sz w:val="28"/>
          <w:szCs w:val="28"/>
          <w:lang w:val="en-US" w:eastAsia="zh-CN" w:bidi="ar-SA"/>
        </w:rPr>
        <w:t>市场负责人，</w:t>
      </w:r>
      <w:r>
        <w:rPr>
          <w:rFonts w:ascii="仿宋" w:hAnsi="仿宋" w:eastAsia="仿宋" w:cs="Arial"/>
          <w:sz w:val="28"/>
          <w:szCs w:val="28"/>
          <w:lang w:val="en-US" w:eastAsia="zh-CN" w:bidi="ar-SA"/>
        </w:rPr>
        <w:t>武汉大学临床医学学士、巴黎第六大学急诊医学硕士，具备波科、鑫君特、PrecisionRobotics等国际医械及手术机器人企业市场操盘经验，拥有临床科研、学术推广、品牌营销、融资路演复合能力；深耕神经医疗与高端医械商业化领域，擅长KOL资源搭建、学术共识输出与市场体系从零搭建，主导佳量产品商业化布局与外部资源拓展。</w:t>
      </w:r>
    </w:p>
    <w:p w14:paraId="09CE3501">
      <w:pPr>
        <w:pStyle w:val="122"/>
        <w:bidi w:val="0"/>
      </w:pPr>
      <w:bookmarkStart w:id="28" w:name="_Toc1337572068"/>
      <w:r>
        <w:rPr>
          <w:rFonts w:hint="eastAsia"/>
          <w:lang w:val="en-US" w:eastAsia="zh-CN"/>
        </w:rPr>
        <w:t>贾佳</w:t>
      </w:r>
      <w:bookmarkEnd w:id="28"/>
    </w:p>
    <w:p w14:paraId="3AE4A3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560" w:firstLineChars="200"/>
        <w:jc w:val="left"/>
        <w:rPr>
          <w:rFonts w:ascii="仿宋" w:hAnsi="仿宋" w:eastAsia="仿宋" w:cs="Arial"/>
          <w:sz w:val="28"/>
          <w:szCs w:val="28"/>
          <w:lang w:val="en-US" w:eastAsia="zh-CN" w:bidi="ar-SA"/>
        </w:rPr>
      </w:pPr>
      <w:r>
        <w:rPr>
          <w:rFonts w:ascii="仿宋" w:hAnsi="仿宋" w:eastAsia="仿宋" w:cs="Arial"/>
          <w:sz w:val="28"/>
          <w:szCs w:val="28"/>
          <w:lang w:val="en-US" w:eastAsia="zh-CN" w:bidi="ar-SA"/>
        </w:rPr>
        <w:t>神经调控平台研发总监</w:t>
      </w:r>
      <w:r>
        <w:rPr>
          <w:rFonts w:hint="eastAsia" w:ascii="仿宋" w:hAnsi="仿宋" w:eastAsia="仿宋" w:cs="Arial"/>
          <w:sz w:val="28"/>
          <w:szCs w:val="28"/>
          <w:lang w:val="en-US" w:eastAsia="zh-CN" w:bidi="ar-SA"/>
        </w:rPr>
        <w:t>，</w:t>
      </w:r>
      <w:r>
        <w:rPr>
          <w:rFonts w:ascii="仿宋" w:hAnsi="仿宋" w:eastAsia="仿宋" w:cs="Arial"/>
          <w:sz w:val="28"/>
          <w:szCs w:val="28"/>
          <w:lang w:val="en-US" w:eastAsia="zh-CN" w:bidi="ar-SA"/>
        </w:rPr>
        <w:t>西安交大本科、浙江大学硕士，深耕生物医学工程与智能硬件研发领域，先后任职NI、智能科技企业研发核心岗位，拥有FES康复设备、无创血糖、智能机器人等多品类研发落地经验；精通三类植入式脑机相关产品设计、硬件开发与项目管理，主导佳量SEEG电极等核心管线研发，是公司神经调控技术板块核心研发骨干。</w:t>
      </w:r>
    </w:p>
    <w:p w14:paraId="3447723D">
      <w:pPr>
        <w:pStyle w:val="122"/>
        <w:bidi w:val="0"/>
        <w:rPr>
          <w:rFonts w:hint="eastAsia"/>
          <w:lang w:val="en-US" w:eastAsia="zh-CN"/>
        </w:rPr>
      </w:pPr>
      <w:bookmarkStart w:id="29" w:name="_Toc714930080"/>
      <w:r>
        <w:rPr>
          <w:rFonts w:hint="eastAsia"/>
          <w:lang w:val="en-US" w:eastAsia="zh-CN"/>
        </w:rPr>
        <w:t>李冰莹</w:t>
      </w:r>
      <w:bookmarkEnd w:id="29"/>
    </w:p>
    <w:p w14:paraId="7C5FA3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560" w:firstLineChars="200"/>
        <w:jc w:val="left"/>
        <w:rPr>
          <w:rFonts w:ascii="仿宋" w:hAnsi="仿宋" w:eastAsia="仿宋" w:cs="Arial"/>
          <w:sz w:val="28"/>
          <w:szCs w:val="28"/>
          <w:lang w:val="en-US" w:eastAsia="zh-CN" w:bidi="ar-SA"/>
        </w:rPr>
      </w:pPr>
      <w:r>
        <w:rPr>
          <w:rFonts w:hint="eastAsia" w:ascii="仿宋" w:hAnsi="仿宋" w:eastAsia="仿宋" w:cs="Arial"/>
          <w:sz w:val="28"/>
          <w:szCs w:val="28"/>
          <w:lang w:val="en-US" w:eastAsia="zh-CN" w:bidi="ar-SA"/>
        </w:rPr>
        <w:t>副总裁，</w:t>
      </w:r>
      <w:r>
        <w:rPr>
          <w:rFonts w:ascii="仿宋" w:hAnsi="仿宋" w:eastAsia="仿宋" w:cs="Arial"/>
          <w:sz w:val="28"/>
          <w:szCs w:val="28"/>
          <w:lang w:val="en-US" w:eastAsia="zh-CN" w:bidi="ar-SA"/>
        </w:rPr>
        <w:t>南京财经大学学士、美国杜兰大学及长江商学院双MBA，拥有普华永道合规、东兴资本、中缔资本、幂方健康基金多年财务合规与一级投融资从业背景；深度熟悉医疗行业投融资、基金募集、上市公司治理及三会运作，擅长投资者关系、资本运作与合规内控，全面负责佳量战略落地、公司治理、资本市场对接及上市相关筹备工作。</w:t>
      </w:r>
    </w:p>
    <w:p w14:paraId="07269802">
      <w:pPr>
        <w:pStyle w:val="122"/>
        <w:bidi w:val="0"/>
        <w:rPr>
          <w:rFonts w:hint="eastAsia"/>
          <w:lang w:val="en-US" w:eastAsia="zh-CN"/>
        </w:rPr>
      </w:pPr>
      <w:bookmarkStart w:id="30" w:name="_Toc658849595"/>
      <w:r>
        <w:rPr>
          <w:rFonts w:hint="eastAsia"/>
          <w:lang w:val="en-US" w:eastAsia="zh-CN"/>
        </w:rPr>
        <w:t>夏良道</w:t>
      </w:r>
      <w:bookmarkEnd w:id="30"/>
    </w:p>
    <w:p w14:paraId="2D81DC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560" w:firstLineChars="200"/>
        <w:jc w:val="left"/>
        <w:rPr>
          <w:rFonts w:hint="eastAsia"/>
          <w:color w:val="0000FF"/>
        </w:rPr>
      </w:pPr>
      <w:r>
        <w:rPr>
          <w:rFonts w:hint="eastAsia" w:ascii="仿宋" w:hAnsi="仿宋" w:eastAsia="仿宋" w:cs="Arial"/>
          <w:sz w:val="28"/>
          <w:szCs w:val="28"/>
          <w:lang w:val="en-US" w:eastAsia="zh-CN" w:bidi="ar-SA"/>
        </w:rPr>
        <w:t>激光能量平台研发总监，清华大学本科、上海交大硕士、美国肯塔基大学博士，拥有JDSU、Canesta、BD、波士顿科学等全球顶尖激光医械企业多年首席研发及总工经历，深耕医用激光、光机系统、植入器械研发三十余年；精通激光设备整机设计、验证量产及跨国企业研发管理，全面负责佳量LaserRO激光消融、SEEG电极等核心产品研发，为公司激光技术平台构筑技术壁垒。</w:t>
      </w:r>
    </w:p>
    <w:p w14:paraId="06447935">
      <w:pPr>
        <w:pStyle w:val="86"/>
        <w:shd w:val="clear" w:color="auto" w:fill="FFFFFF"/>
        <w:rPr>
          <w:color w:val="auto"/>
        </w:rPr>
      </w:pPr>
      <w:bookmarkStart w:id="31" w:name="_Toc859459233"/>
      <w:r>
        <w:rPr>
          <w:rFonts w:hint="eastAsia"/>
          <w:color w:val="auto"/>
        </w:rPr>
        <w:t>知识产权</w:t>
      </w:r>
      <w:bookmarkEnd w:id="31"/>
    </w:p>
    <w:p w14:paraId="1A801173">
      <w:pPr>
        <w:pStyle w:val="91"/>
        <w:ind w:left="0" w:leftChars="0" w:firstLine="0" w:firstLineChars="0"/>
        <w:rPr>
          <w:rFonts w:hint="eastAsia"/>
          <w:color w:val="auto"/>
          <w:lang w:val="en-US" w:eastAsia="zh-CN"/>
        </w:rPr>
      </w:pPr>
      <w:r>
        <w:rPr>
          <w:rFonts w:hint="eastAsia"/>
          <w:color w:val="auto"/>
          <w:lang w:val="en-US" w:eastAsia="zh-CN"/>
        </w:rPr>
        <w:t>佳量脑科学的专利布局保护全面。</w:t>
      </w:r>
    </w:p>
    <w:p w14:paraId="3D1DACCE">
      <w:pPr>
        <w:pStyle w:val="91"/>
        <w:ind w:left="0" w:leftChars="0" w:firstLine="0" w:firstLineChars="0"/>
      </w:pPr>
      <w:r>
        <w:drawing>
          <wp:inline distT="0" distB="0" distL="114300" distR="114300">
            <wp:extent cx="5272405" cy="2823845"/>
            <wp:effectExtent l="0" t="0" r="10795" b="2095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9"/>
                    <a:stretch>
                      <a:fillRect/>
                    </a:stretch>
                  </pic:blipFill>
                  <pic:spPr>
                    <a:xfrm>
                      <a:off x="0" y="0"/>
                      <a:ext cx="5272405" cy="2823845"/>
                    </a:xfrm>
                    <a:prstGeom prst="rect">
                      <a:avLst/>
                    </a:prstGeom>
                    <a:noFill/>
                    <a:ln>
                      <a:noFill/>
                    </a:ln>
                  </pic:spPr>
                </pic:pic>
              </a:graphicData>
            </a:graphic>
          </wp:inline>
        </w:drawing>
      </w:r>
    </w:p>
    <w:p w14:paraId="3432BCF0">
      <w:pPr>
        <w:pStyle w:val="91"/>
        <w:ind w:left="0" w:leftChars="0" w:firstLine="0" w:firstLineChars="0"/>
      </w:pPr>
      <w:r>
        <w:drawing>
          <wp:inline distT="0" distB="0" distL="114300" distR="114300">
            <wp:extent cx="5267325" cy="2853055"/>
            <wp:effectExtent l="0" t="0" r="15875" b="1714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0"/>
                    <a:stretch>
                      <a:fillRect/>
                    </a:stretch>
                  </pic:blipFill>
                  <pic:spPr>
                    <a:xfrm>
                      <a:off x="0" y="0"/>
                      <a:ext cx="5267325" cy="2853055"/>
                    </a:xfrm>
                    <a:prstGeom prst="rect">
                      <a:avLst/>
                    </a:prstGeom>
                    <a:noFill/>
                    <a:ln>
                      <a:noFill/>
                    </a:ln>
                  </pic:spPr>
                </pic:pic>
              </a:graphicData>
            </a:graphic>
          </wp:inline>
        </w:drawing>
      </w:r>
    </w:p>
    <w:p w14:paraId="6DF09955">
      <w:pPr>
        <w:pStyle w:val="91"/>
        <w:ind w:left="0" w:leftChars="0" w:firstLine="0" w:firstLineChars="0"/>
      </w:pPr>
      <w:r>
        <w:drawing>
          <wp:inline distT="0" distB="0" distL="114300" distR="114300">
            <wp:extent cx="5267325" cy="2793365"/>
            <wp:effectExtent l="0" t="0" r="15875" b="63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11"/>
                    <a:stretch>
                      <a:fillRect/>
                    </a:stretch>
                  </pic:blipFill>
                  <pic:spPr>
                    <a:xfrm>
                      <a:off x="0" y="0"/>
                      <a:ext cx="5267325" cy="2793365"/>
                    </a:xfrm>
                    <a:prstGeom prst="rect">
                      <a:avLst/>
                    </a:prstGeom>
                    <a:noFill/>
                    <a:ln>
                      <a:noFill/>
                    </a:ln>
                  </pic:spPr>
                </pic:pic>
              </a:graphicData>
            </a:graphic>
          </wp:inline>
        </w:drawing>
      </w:r>
    </w:p>
    <w:p w14:paraId="1A360BE6">
      <w:pPr>
        <w:pStyle w:val="91"/>
        <w:ind w:left="0" w:leftChars="0" w:firstLine="0" w:firstLineChars="0"/>
      </w:pPr>
      <w:r>
        <w:drawing>
          <wp:inline distT="0" distB="0" distL="114300" distR="114300">
            <wp:extent cx="5267325" cy="2776855"/>
            <wp:effectExtent l="0" t="0" r="15875" b="1714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12"/>
                    <a:stretch>
                      <a:fillRect/>
                    </a:stretch>
                  </pic:blipFill>
                  <pic:spPr>
                    <a:xfrm>
                      <a:off x="0" y="0"/>
                      <a:ext cx="5267325" cy="2776855"/>
                    </a:xfrm>
                    <a:prstGeom prst="rect">
                      <a:avLst/>
                    </a:prstGeom>
                    <a:noFill/>
                    <a:ln>
                      <a:noFill/>
                    </a:ln>
                  </pic:spPr>
                </pic:pic>
              </a:graphicData>
            </a:graphic>
          </wp:inline>
        </w:drawing>
      </w:r>
    </w:p>
    <w:p w14:paraId="48FD9FE0">
      <w:pPr>
        <w:pStyle w:val="91"/>
        <w:ind w:left="0" w:leftChars="0" w:firstLine="0" w:firstLineChars="0"/>
      </w:pPr>
      <w:r>
        <w:drawing>
          <wp:inline distT="0" distB="0" distL="114300" distR="114300">
            <wp:extent cx="5276850" cy="2856230"/>
            <wp:effectExtent l="0" t="0" r="6350" b="1397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13"/>
                    <a:stretch>
                      <a:fillRect/>
                    </a:stretch>
                  </pic:blipFill>
                  <pic:spPr>
                    <a:xfrm>
                      <a:off x="0" y="0"/>
                      <a:ext cx="5276850" cy="2856230"/>
                    </a:xfrm>
                    <a:prstGeom prst="rect">
                      <a:avLst/>
                    </a:prstGeom>
                    <a:noFill/>
                    <a:ln>
                      <a:noFill/>
                    </a:ln>
                  </pic:spPr>
                </pic:pic>
              </a:graphicData>
            </a:graphic>
          </wp:inline>
        </w:drawing>
      </w:r>
    </w:p>
    <w:p w14:paraId="690B8FB4">
      <w:pPr>
        <w:pStyle w:val="91"/>
        <w:ind w:left="0" w:leftChars="0" w:firstLine="0" w:firstLineChars="0"/>
        <w:rPr>
          <w:rFonts w:hint="eastAsia"/>
          <w:color w:val="auto"/>
          <w:lang w:val="en-US" w:eastAsia="zh-CN"/>
        </w:rPr>
      </w:pPr>
      <w:r>
        <w:rPr>
          <w:color w:val="auto"/>
        </w:rPr>
        <w:drawing>
          <wp:inline distT="0" distB="0" distL="114300" distR="114300">
            <wp:extent cx="5276850" cy="2811145"/>
            <wp:effectExtent l="0" t="0" r="6350" b="8255"/>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14"/>
                    <a:stretch>
                      <a:fillRect/>
                    </a:stretch>
                  </pic:blipFill>
                  <pic:spPr>
                    <a:xfrm>
                      <a:off x="0" y="0"/>
                      <a:ext cx="5276850" cy="2811145"/>
                    </a:xfrm>
                    <a:prstGeom prst="rect">
                      <a:avLst/>
                    </a:prstGeom>
                    <a:noFill/>
                    <a:ln>
                      <a:noFill/>
                    </a:ln>
                  </pic:spPr>
                </pic:pic>
              </a:graphicData>
            </a:graphic>
          </wp:inline>
        </w:drawing>
      </w:r>
    </w:p>
    <w:bookmarkEnd w:id="1"/>
    <w:bookmarkEnd w:id="25"/>
    <w:p w14:paraId="3C096F20">
      <w:pPr>
        <w:pStyle w:val="79"/>
        <w:numPr>
          <w:ilvl w:val="0"/>
          <w:numId w:val="7"/>
        </w:numPr>
        <w:ind w:firstLine="0"/>
        <w:rPr>
          <w:rFonts w:hint="eastAsia"/>
          <w:color w:val="auto"/>
        </w:rPr>
      </w:pPr>
      <w:bookmarkStart w:id="32" w:name="_Toc956319309"/>
      <w:bookmarkStart w:id="33" w:name="_Hlk195628065"/>
      <w:r>
        <w:rPr>
          <w:rFonts w:hint="eastAsia"/>
          <w:color w:val="auto"/>
          <w:lang w:val="en-US" w:eastAsia="zh-CN"/>
        </w:rPr>
        <w:t>产品管线及研发进展</w:t>
      </w:r>
      <w:bookmarkEnd w:id="32"/>
    </w:p>
    <w:p w14:paraId="6EB655A8">
      <w:pPr>
        <w:pStyle w:val="91"/>
        <w:numPr>
          <w:ilvl w:val="0"/>
          <w:numId w:val="0"/>
        </w:numPr>
        <w:bidi w:val="0"/>
        <w:rPr>
          <w:rFonts w:hint="eastAsia" w:eastAsia="仿宋"/>
          <w:lang w:eastAsia="zh-CN"/>
        </w:rPr>
      </w:pPr>
      <w:r>
        <w:rPr>
          <w:rFonts w:hint="eastAsia"/>
        </w:rPr>
        <w:t>公司仅用5年时间即获得4款III类有源医疗器械注册证，即将获得自我造血能力</w:t>
      </w:r>
      <w:r>
        <w:rPr>
          <w:rFonts w:hint="eastAsia"/>
          <w:lang w:eastAsia="zh-CN"/>
        </w:rPr>
        <w:t>。</w:t>
      </w:r>
    </w:p>
    <w:p w14:paraId="280EB65C">
      <w:pPr>
        <w:pStyle w:val="91"/>
        <w:numPr>
          <w:ilvl w:val="0"/>
          <w:numId w:val="0"/>
        </w:numPr>
        <w:bidi w:val="0"/>
      </w:pPr>
    </w:p>
    <w:p w14:paraId="27528F5B">
      <w:pPr>
        <w:pStyle w:val="91"/>
        <w:numPr>
          <w:ilvl w:val="0"/>
          <w:numId w:val="0"/>
        </w:numPr>
        <w:bidi w:val="0"/>
        <w:rPr>
          <w:rFonts w:hint="eastAsia"/>
          <w:color w:val="0000FF"/>
        </w:rPr>
      </w:pPr>
      <w:r>
        <w:drawing>
          <wp:inline distT="0" distB="0" distL="114300" distR="114300">
            <wp:extent cx="5276850" cy="2330450"/>
            <wp:effectExtent l="0" t="0" r="6350" b="6350"/>
            <wp:docPr id="1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
                    <pic:cNvPicPr>
                      <a:picLocks noChangeAspect="1"/>
                    </pic:cNvPicPr>
                  </pic:nvPicPr>
                  <pic:blipFill>
                    <a:blip r:embed="rId15"/>
                    <a:stretch>
                      <a:fillRect/>
                    </a:stretch>
                  </pic:blipFill>
                  <pic:spPr>
                    <a:xfrm>
                      <a:off x="0" y="0"/>
                      <a:ext cx="5276850" cy="2330450"/>
                    </a:xfrm>
                    <a:prstGeom prst="rect">
                      <a:avLst/>
                    </a:prstGeom>
                    <a:noFill/>
                    <a:ln>
                      <a:noFill/>
                    </a:ln>
                  </pic:spPr>
                </pic:pic>
              </a:graphicData>
            </a:graphic>
          </wp:inline>
        </w:drawing>
      </w:r>
    </w:p>
    <w:p w14:paraId="534083AE">
      <w:pPr>
        <w:pStyle w:val="86"/>
        <w:numPr>
          <w:ilvl w:val="0"/>
          <w:numId w:val="11"/>
        </w:numPr>
        <w:rPr>
          <w:color w:val="auto"/>
        </w:rPr>
      </w:pPr>
      <w:bookmarkStart w:id="34" w:name="_Toc1091012215"/>
      <w:r>
        <w:rPr>
          <w:rFonts w:hint="eastAsia"/>
          <w:color w:val="auto"/>
          <w:lang w:val="en-US" w:eastAsia="zh-CN"/>
        </w:rPr>
        <w:t>管线分析</w:t>
      </w:r>
      <w:bookmarkEnd w:id="34"/>
    </w:p>
    <w:p w14:paraId="0C0F6DC7">
      <w:pPr>
        <w:pStyle w:val="88"/>
        <w:numPr>
          <w:ilvl w:val="0"/>
          <w:numId w:val="12"/>
        </w:numPr>
        <w:bidi w:val="0"/>
      </w:pPr>
      <w:bookmarkStart w:id="35" w:name="_Toc1426919419"/>
      <w:r>
        <w:t>Epilcure植入式神经刺激系统（RNS反应性神经调控）</w:t>
      </w:r>
      <w:bookmarkEnd w:id="35"/>
    </w:p>
    <w:p w14:paraId="0BB48756">
      <w:pPr>
        <w:pStyle w:val="122"/>
        <w:numPr>
          <w:ilvl w:val="0"/>
          <w:numId w:val="13"/>
        </w:numPr>
        <w:bidi w:val="0"/>
      </w:pPr>
      <w:bookmarkStart w:id="36" w:name="_Toc1284789084"/>
      <w:r>
        <w:t>行业背景</w:t>
      </w:r>
      <w:bookmarkEnd w:id="36"/>
    </w:p>
    <w:p w14:paraId="7534A8B8">
      <w:pPr>
        <w:pStyle w:val="91"/>
        <w:bidi w:val="0"/>
      </w:pPr>
      <w:r>
        <w:t>我国药物难治性癫痫（DRE）患者约300万，仅5%-10%患者可通过传统外科手术实现发作缓解，每年癫痫手术治疗不足1万例，临床治疗缺口巨大。传统切除手术存在致痫灶定位难、功能脑区无法切除、患者惧怕不可逆手术等痛点，微创神经调控成为填补治疗缺口的核心方向。</w:t>
      </w:r>
    </w:p>
    <w:p w14:paraId="6910D168">
      <w:pPr>
        <w:pStyle w:val="91"/>
        <w:bidi w:val="0"/>
      </w:pPr>
      <w:r>
        <w:t>目前全球已获批癫痫神经调控方式包含VNS迷走神经电刺激、ANT-DBS脑深部电刺激、RNS反应性神经刺激三大类，其中RNS为新一代脑机交互闭环治疗技术，疗效优于传统开环刺激方案。</w:t>
      </w:r>
    </w:p>
    <w:p w14:paraId="57BE7360">
      <w:pPr>
        <w:pStyle w:val="122"/>
        <w:numPr>
          <w:ilvl w:val="0"/>
          <w:numId w:val="13"/>
        </w:numPr>
        <w:bidi w:val="0"/>
      </w:pPr>
      <w:bookmarkStart w:id="37" w:name="_Toc502064203"/>
      <w:r>
        <w:t>技术原理</w:t>
      </w:r>
      <w:bookmarkEnd w:id="37"/>
    </w:p>
    <w:p w14:paraId="4091E8FB">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Epilcure™属于闭环反应性神经刺激系统，类比「癫痫发作智能灭火器」：24小时实时监测颅内脑电信号，识别异常癫痫电活动后，按需精准释放电刺激干预发作；区别于VNS/ANT-DBS定时无差别刺激的开环模式，仅在脑电异常时启动治疗。</w:t>
      </w:r>
    </w:p>
    <w:p w14:paraId="7BD07567">
      <w:pPr>
        <w:pStyle w:val="122"/>
        <w:numPr>
          <w:ilvl w:val="0"/>
          <w:numId w:val="13"/>
        </w:numPr>
        <w:bidi w:val="0"/>
      </w:pPr>
      <w:bookmarkStart w:id="38" w:name="_Toc729810758"/>
      <w:r>
        <w:t>核心产品特点</w:t>
      </w:r>
      <w:bookmarkEnd w:id="38"/>
    </w:p>
    <w:p w14:paraId="257EECDD">
      <w:pPr>
        <w:pStyle w:val="91"/>
        <w:numPr>
          <w:ilvl w:val="0"/>
          <w:numId w:val="14"/>
        </w:numPr>
        <w:bidi w:val="0"/>
      </w:pPr>
      <w:r>
        <w:t>算法优势：自研时域+时频域多维度闭环检测算法，低功耗、低延迟、高稳定性，精准捕捉微弱脑电异常信号；</w:t>
      </w:r>
    </w:p>
    <w:p w14:paraId="1B4DA012">
      <w:pPr>
        <w:pStyle w:val="91"/>
        <w:numPr>
          <w:ilvl w:val="0"/>
          <w:numId w:val="14"/>
        </w:numPr>
        <w:bidi w:val="0"/>
      </w:pPr>
      <w:r>
        <w:t>全颅骨植入设计：相较于胸部植入，提升脑电信噪比、降低电极移位/断裂风险、手术创伤小、美观性更佳；</w:t>
      </w:r>
    </w:p>
    <w:p w14:paraId="7295806A">
      <w:pPr>
        <w:pStyle w:val="91"/>
        <w:numPr>
          <w:ilvl w:val="0"/>
          <w:numId w:val="14"/>
        </w:numPr>
        <w:bidi w:val="0"/>
      </w:pPr>
      <w:r>
        <w:t>无线长续航：支持无线充电，设备使用寿命可达10年，远高于进口NeuroPaceRNS的3.5-3.9年，减少二次手术更换风险；</w:t>
      </w:r>
    </w:p>
    <w:p w14:paraId="2057390A">
      <w:pPr>
        <w:pStyle w:val="91"/>
        <w:numPr>
          <w:ilvl w:val="0"/>
          <w:numId w:val="14"/>
        </w:numPr>
        <w:bidi w:val="0"/>
      </w:pPr>
      <w:r>
        <w:t>小型化轻量化：刺激器体积10.7cc、重量18g，优于进口产品12.9cc/20g，兼容1.5T核磁检查；</w:t>
      </w:r>
    </w:p>
    <w:p w14:paraId="42072079">
      <w:pPr>
        <w:pStyle w:val="91"/>
        <w:numPr>
          <w:ilvl w:val="0"/>
          <w:numId w:val="14"/>
        </w:numPr>
        <w:bidi w:val="0"/>
      </w:pPr>
      <w:r>
        <w:t>数据赋能诊疗：搭载脑电数据云平台，可长期记录颅内iEEG数据，辅助医生定位致痫灶、评估药效、个性化程控调参。</w:t>
      </w:r>
    </w:p>
    <w:p w14:paraId="5D67AFAD">
      <w:pPr>
        <w:pStyle w:val="122"/>
        <w:numPr>
          <w:ilvl w:val="0"/>
          <w:numId w:val="13"/>
        </w:numPr>
        <w:bidi w:val="0"/>
      </w:pPr>
      <w:bookmarkStart w:id="39" w:name="_Toc1650301689"/>
      <w:r>
        <w:t>临床适用人群</w:t>
      </w:r>
      <w:bookmarkEnd w:id="39"/>
    </w:p>
    <w:p w14:paraId="6C81733E">
      <w:pPr>
        <w:pStyle w:val="91"/>
        <w:numPr>
          <w:ilvl w:val="0"/>
          <w:numId w:val="15"/>
        </w:numPr>
        <w:bidi w:val="0"/>
      </w:pPr>
      <w:r>
        <w:t>2种及以上抗癫痫药物规范治疗失败的药物难治性局灶性癫痫患者；</w:t>
      </w:r>
    </w:p>
    <w:p w14:paraId="261D8FAF">
      <w:pPr>
        <w:pStyle w:val="91"/>
        <w:numPr>
          <w:ilvl w:val="0"/>
          <w:numId w:val="15"/>
        </w:numPr>
        <w:bidi w:val="0"/>
      </w:pPr>
      <w:r>
        <w:t>每月发作≥3次失能性发作，致痫灶不超过2个；</w:t>
      </w:r>
    </w:p>
    <w:p w14:paraId="1DF6CE2B">
      <w:pPr>
        <w:pStyle w:val="91"/>
        <w:numPr>
          <w:ilvl w:val="0"/>
          <w:numId w:val="15"/>
        </w:numPr>
        <w:bidi w:val="0"/>
      </w:pPr>
      <w:r>
        <w:t>致痫灶位于脑功能区、岛叶、深部病灶等手术切除困难区域；</w:t>
      </w:r>
    </w:p>
    <w:p w14:paraId="0C7AE965">
      <w:pPr>
        <w:pStyle w:val="91"/>
        <w:numPr>
          <w:ilvl w:val="0"/>
          <w:numId w:val="15"/>
        </w:numPr>
        <w:bidi w:val="0"/>
      </w:pPr>
      <w:r>
        <w:t>双侧内侧颞叶癫痫、既往切除/消融/VNS/DBS治疗失败患者。</w:t>
      </w:r>
    </w:p>
    <w:p w14:paraId="2EF4321E">
      <w:pPr>
        <w:pStyle w:val="122"/>
        <w:numPr>
          <w:ilvl w:val="0"/>
          <w:numId w:val="13"/>
        </w:numPr>
        <w:bidi w:val="0"/>
      </w:pPr>
      <w:bookmarkStart w:id="40" w:name="_Toc1869186018"/>
      <w:r>
        <w:t>临床疗效</w:t>
      </w:r>
      <w:bookmarkEnd w:id="40"/>
    </w:p>
    <w:p w14:paraId="710E34F4">
      <w:pPr>
        <w:pStyle w:val="91"/>
        <w:bidi w:val="0"/>
      </w:pPr>
      <w:r>
        <w:t>RNS长期疗效显著，3年平均癫痫发作减少率达68.4%；真实世界研究中3年中位发作减少率82%，18%患者实现无癫痫发作，75%患者长期疗效稳定。同时可拓展应用于Lennox-Gastaut综合征、重度抑郁症、创伤后应激障碍、抽动秽语综合征等神经精神疾病临床研究。</w:t>
      </w:r>
    </w:p>
    <w:p w14:paraId="7C431232">
      <w:pPr>
        <w:pStyle w:val="88"/>
        <w:bidi w:val="0"/>
      </w:pPr>
      <w:bookmarkStart w:id="41" w:name="_Toc2018616210"/>
      <w:r>
        <w:t>LaserRO™磁共振监测半导体激光治疗系统（MRgLITT激光间质热疗）</w:t>
      </w:r>
      <w:bookmarkEnd w:id="41"/>
    </w:p>
    <w:p w14:paraId="546A4DF8">
      <w:pPr>
        <w:pStyle w:val="122"/>
        <w:numPr>
          <w:ilvl w:val="0"/>
          <w:numId w:val="16"/>
        </w:numPr>
        <w:bidi w:val="0"/>
      </w:pPr>
      <w:bookmarkStart w:id="42" w:name="_Toc935986164"/>
      <w:r>
        <w:t>技术定义</w:t>
      </w:r>
      <w:bookmarkEnd w:id="42"/>
    </w:p>
    <w:p w14:paraId="17001B61">
      <w:pPr>
        <w:pStyle w:val="91"/>
        <w:bidi w:val="0"/>
      </w:pPr>
      <w:r>
        <w:t>MRgLITT磁共振引导激光间质热疗，是颅内微创精准消融手术技术：将激光光纤微创植入颅内病灶，依托MRI实时温度成像监测，利用激光光热效应在50-90℃可控温度下，靶向消融病灶组织，保护周边正常脑组织。</w:t>
      </w:r>
    </w:p>
    <w:p w14:paraId="7E624C87">
      <w:pPr>
        <w:pStyle w:val="122"/>
        <w:numPr>
          <w:ilvl w:val="0"/>
          <w:numId w:val="16"/>
        </w:numPr>
        <w:bidi w:val="0"/>
      </w:pPr>
      <w:bookmarkStart w:id="43" w:name="_Toc801744073"/>
      <w:r>
        <w:t>技术原理</w:t>
      </w:r>
      <w:bookmarkEnd w:id="43"/>
    </w:p>
    <w:p w14:paraId="0E62E1C8">
      <w:pPr>
        <w:pStyle w:val="91"/>
        <w:bidi w:val="0"/>
      </w:pPr>
      <w:r>
        <w:t>激光能量被人体水和血红蛋白吸收转化为热能，通过软组织内热传导实现病灶消融；依托MRI质子共振频率温度成像技术，实时生成温度图谱，结合算法量化消融范围，医生可动态调整激光参数，避免消融过度或不足。</w:t>
      </w:r>
    </w:p>
    <w:p w14:paraId="36EE57F2">
      <w:pPr>
        <w:pStyle w:val="122"/>
        <w:numPr>
          <w:ilvl w:val="0"/>
          <w:numId w:val="16"/>
        </w:numPr>
        <w:bidi w:val="0"/>
      </w:pPr>
      <w:bookmarkStart w:id="44" w:name="_Toc1600233633"/>
      <w:r>
        <w:t>核心产品优势</w:t>
      </w:r>
      <w:bookmarkEnd w:id="44"/>
    </w:p>
    <w:p w14:paraId="35AC846A">
      <w:pPr>
        <w:pStyle w:val="91"/>
        <w:numPr>
          <w:ilvl w:val="0"/>
          <w:numId w:val="17"/>
        </w:numPr>
        <w:bidi w:val="0"/>
      </w:pPr>
      <w:r>
        <w:t>全球首创双波长平台：搭载980nm+1064nm双波长双光源，980nm升温快、适合细小病灶精准消融；1064nm穿透性强、适合大病灶稳定消融，术中可自由切换波长适配不同病灶；</w:t>
      </w:r>
    </w:p>
    <w:p w14:paraId="55407A96">
      <w:pPr>
        <w:pStyle w:val="91"/>
        <w:numPr>
          <w:ilvl w:val="0"/>
          <w:numId w:val="17"/>
        </w:numPr>
        <w:bidi w:val="0"/>
      </w:pPr>
      <w:r>
        <w:t>超精细微创耗材：光纤导管最小外径仅1.55mm，5种规格适配深部细小病灶、大区域病灶等多种场景；光纤与水冷一体化设计，无术中装配漏液风险；外圆内方双套管结构，保证传热均匀；</w:t>
      </w:r>
    </w:p>
    <w:p w14:paraId="5875945B">
      <w:pPr>
        <w:pStyle w:val="91"/>
        <w:numPr>
          <w:ilvl w:val="0"/>
          <w:numId w:val="17"/>
        </w:numPr>
        <w:bidi w:val="0"/>
      </w:pPr>
      <w:r>
        <w:t>全流程智能软件：术前GLPATH™智能规划手术路径、自动分割脑区与血管、智能推荐消融参数；术中实时热成像、位移预警、超温自动暂停、冷却液可视化监控；术后即刻对比计划与实际消融范围，量化评估疗效；</w:t>
      </w:r>
    </w:p>
    <w:p w14:paraId="61DC8B64">
      <w:pPr>
        <w:pStyle w:val="91"/>
        <w:numPr>
          <w:ilvl w:val="0"/>
          <w:numId w:val="17"/>
        </w:numPr>
        <w:bidi w:val="0"/>
      </w:pPr>
      <w:r>
        <w:t>临床价值突出：对比传统开颅手术，创伤从7-10cm降至微创穿刺切口，永久性功能缺损发生率大幅降低，平均住院仅2天，恢复更快。</w:t>
      </w:r>
    </w:p>
    <w:p w14:paraId="1216F7B8">
      <w:pPr>
        <w:pStyle w:val="122"/>
        <w:numPr>
          <w:ilvl w:val="0"/>
          <w:numId w:val="16"/>
        </w:numPr>
        <w:bidi w:val="0"/>
      </w:pPr>
      <w:bookmarkStart w:id="45" w:name="_Toc41474803"/>
      <w:r>
        <w:t>临床适应症</w:t>
      </w:r>
      <w:bookmarkEnd w:id="45"/>
    </w:p>
    <w:p w14:paraId="69F845E5">
      <w:pPr>
        <w:pStyle w:val="91"/>
        <w:numPr>
          <w:ilvl w:val="0"/>
          <w:numId w:val="18"/>
        </w:numPr>
        <w:bidi w:val="0"/>
      </w:pPr>
      <w:r>
        <w:t>药物难治性癫痫：内侧颞叶癫痫、下丘脑错构瘤、局灶性皮质发育不良、结节性硬化症、脑室旁结节状灰质异位、海绵状血管畸形等；</w:t>
      </w:r>
    </w:p>
    <w:p w14:paraId="3EAE9DFE">
      <w:pPr>
        <w:pStyle w:val="91"/>
        <w:numPr>
          <w:ilvl w:val="0"/>
          <w:numId w:val="18"/>
        </w:numPr>
        <w:bidi w:val="0"/>
      </w:pPr>
      <w:r>
        <w:t>脑部肿瘤：原发性/复发性胶质瘤、脑转移瘤、颅内放射性坏死；</w:t>
      </w:r>
    </w:p>
    <w:p w14:paraId="54632682">
      <w:pPr>
        <w:pStyle w:val="91"/>
        <w:numPr>
          <w:ilvl w:val="0"/>
          <w:numId w:val="18"/>
        </w:numPr>
        <w:bidi w:val="0"/>
      </w:pPr>
      <w:r>
        <w:t>适配不愿或不适合开颅手术的颅内病灶患者，获NCCN、AANS、ASSFN国际权威学会临床推荐。</w:t>
      </w:r>
    </w:p>
    <w:p w14:paraId="5AB2FDB3">
      <w:pPr>
        <w:pStyle w:val="122"/>
        <w:numPr>
          <w:ilvl w:val="0"/>
          <w:numId w:val="16"/>
        </w:numPr>
        <w:bidi w:val="0"/>
      </w:pPr>
      <w:bookmarkStart w:id="46" w:name="_Toc1282312393"/>
      <w:r>
        <w:t>额外临床价值</w:t>
      </w:r>
      <w:bookmarkEnd w:id="46"/>
    </w:p>
    <w:p w14:paraId="76C1283F">
      <w:pPr>
        <w:pStyle w:val="91"/>
        <w:bidi w:val="0"/>
      </w:pPr>
      <w:r>
        <w:t>肿瘤消融可激发机体抗原特异性细胞免疫，协同抗肿瘤；短暂开放血脑屏障，为靶向药物治疗提供黄金治疗窗口。</w:t>
      </w:r>
    </w:p>
    <w:p w14:paraId="5C33AF9C">
      <w:pPr>
        <w:pStyle w:val="88"/>
        <w:bidi w:val="0"/>
      </w:pPr>
      <w:bookmarkStart w:id="47" w:name="_Toc1825991506"/>
      <w:r>
        <w:t>S-DEEP™脑深部电极系统（SEEG立体定向脑电图）</w:t>
      </w:r>
      <w:bookmarkEnd w:id="47"/>
    </w:p>
    <w:p w14:paraId="56EBB9D5">
      <w:pPr>
        <w:pStyle w:val="122"/>
        <w:numPr>
          <w:ilvl w:val="0"/>
          <w:numId w:val="19"/>
        </w:numPr>
        <w:bidi w:val="0"/>
      </w:pPr>
      <w:bookmarkStart w:id="48" w:name="_Toc1897925712"/>
      <w:r>
        <w:t>技术概述</w:t>
      </w:r>
      <w:bookmarkEnd w:id="48"/>
    </w:p>
    <w:p w14:paraId="719E7133">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SEEG立体定向脑电图，是药物难治性癫痫术前致痫灶定位金标准：借助立体定向三维坐标技术，通过微钻孔将深部电极精准植入脑内海马、岛叶、扣带回等深部区域，直接采集颅内脑电信号，定位癫痫发作起源、传导路径，并可电刺激测绘脑功能区。</w:t>
      </w:r>
    </w:p>
    <w:p w14:paraId="29422646">
      <w:pPr>
        <w:pStyle w:val="122"/>
        <w:numPr>
          <w:ilvl w:val="0"/>
          <w:numId w:val="19"/>
        </w:numPr>
        <w:bidi w:val="0"/>
      </w:pPr>
      <w:bookmarkStart w:id="49" w:name="_Toc1862832693"/>
      <w:r>
        <w:t>产品核心配置</w:t>
      </w:r>
      <w:bookmarkEnd w:id="49"/>
    </w:p>
    <w:p w14:paraId="1064BCFD">
      <w:pPr>
        <w:pStyle w:val="91"/>
        <w:bidi w:val="0"/>
      </w:pPr>
      <w:r>
        <w:t>整套系统包含脑深部电极、脑电连接线缆、导向螺丝、专用手术工具套件四大核心部分：</w:t>
      </w:r>
    </w:p>
    <w:p w14:paraId="4560FFA5">
      <w:pPr>
        <w:pStyle w:val="91"/>
        <w:bidi w:val="0"/>
      </w:pPr>
      <w:r>
        <w:t>脑深部电极：6种型号，触点8-18个可选，铂铱合金触点，磁兼容材质，定位误差≤1.5mm，信号保真度高；</w:t>
      </w:r>
    </w:p>
    <w:p w14:paraId="6B48D471">
      <w:pPr>
        <w:pStyle w:val="91"/>
        <w:bidi w:val="0"/>
      </w:pPr>
      <w:r>
        <w:t>连接线缆：2.5M全长，全18通道通用设计，铜针导电、排针工艺，防弯折防脱落，彩色通道标签便于快速识别；</w:t>
      </w:r>
    </w:p>
    <w:p w14:paraId="0350593A">
      <w:pPr>
        <w:pStyle w:val="91"/>
        <w:bidi w:val="0"/>
      </w:pPr>
      <w:r>
        <w:t>导向螺丝：20/25/30mm三种钛合金规格，喇叭口结构，植入便捷稳固；</w:t>
      </w:r>
    </w:p>
    <w:p w14:paraId="0FBC31EE">
      <w:pPr>
        <w:pStyle w:val="91"/>
        <w:bidi w:val="0"/>
      </w:pPr>
      <w:r>
        <w:t>手术工具：适配Leksell立体定向头架及主流神经外科手术机器人，全套专用耗材满足临床手术全流程需求。</w:t>
      </w:r>
    </w:p>
    <w:p w14:paraId="42F4D660">
      <w:pPr>
        <w:pStyle w:val="122"/>
        <w:numPr>
          <w:ilvl w:val="0"/>
          <w:numId w:val="19"/>
        </w:numPr>
        <w:bidi w:val="0"/>
      </w:pPr>
      <w:bookmarkStart w:id="50" w:name="_Toc464981638"/>
      <w:r>
        <w:t>核心产品特点</w:t>
      </w:r>
      <w:bookmarkEnd w:id="50"/>
    </w:p>
    <w:p w14:paraId="1D2A39E9">
      <w:pPr>
        <w:pStyle w:val="91"/>
        <w:numPr>
          <w:ilvl w:val="0"/>
          <w:numId w:val="20"/>
        </w:numPr>
        <w:bidi w:val="0"/>
      </w:pPr>
      <w:r>
        <w:t>信号精准稳定：铂铱合金触点导通阻抗低、抗干扰强，可捕捉细微异常脑电放电；磁兼容设计，可配合核磁影像复查；</w:t>
      </w:r>
    </w:p>
    <w:p w14:paraId="730715F4">
      <w:pPr>
        <w:pStyle w:val="91"/>
        <w:numPr>
          <w:ilvl w:val="0"/>
          <w:numId w:val="20"/>
        </w:numPr>
        <w:bidi w:val="0"/>
      </w:pPr>
      <w:r>
        <w:t>临床安全可靠：电极抗拉伸、抗弯折，密封塞密闭设计严防脑脊液流失；L型接口+船型插头双重防脱落，术中术后使用安全；</w:t>
      </w:r>
    </w:p>
    <w:p w14:paraId="0A6ED1C2">
      <w:pPr>
        <w:pStyle w:val="91"/>
        <w:numPr>
          <w:ilvl w:val="0"/>
          <w:numId w:val="20"/>
        </w:numPr>
        <w:bidi w:val="0"/>
      </w:pPr>
      <w:r>
        <w:t>操作便捷高效：一种线缆适配全通道，无需区分型号；锁紧柱圆角、导向螺丝特殊结构设计，降低手术操作难度；</w:t>
      </w:r>
    </w:p>
    <w:p w14:paraId="5ADE5E1E">
      <w:pPr>
        <w:pStyle w:val="91"/>
        <w:numPr>
          <w:ilvl w:val="0"/>
          <w:numId w:val="20"/>
        </w:numPr>
        <w:bidi w:val="0"/>
      </w:pPr>
      <w:r>
        <w:t>临床数据优异：多中心临床试验显示，电极植入成功率98.89%，脑电记录成功率100%，无产品相关不良事件。</w:t>
      </w:r>
    </w:p>
    <w:p w14:paraId="2A5D622B">
      <w:pPr>
        <w:pStyle w:val="122"/>
        <w:numPr>
          <w:ilvl w:val="0"/>
          <w:numId w:val="19"/>
        </w:numPr>
        <w:bidi w:val="0"/>
      </w:pPr>
      <w:bookmarkStart w:id="51" w:name="_Toc253398433"/>
      <w:r>
        <w:t>临床定位与价值</w:t>
      </w:r>
      <w:bookmarkEnd w:id="51"/>
    </w:p>
    <w:p w14:paraId="4B56E421">
      <w:pPr>
        <w:pStyle w:val="91"/>
        <w:bidi w:val="0"/>
      </w:pPr>
      <w:r>
        <w:t>SEEG是</w:t>
      </w:r>
      <w:r>
        <w:rPr>
          <w:rFonts w:hint="eastAsia"/>
          <w:lang w:eastAsia="zh-CN"/>
        </w:rPr>
        <w:t>佳量脑科学</w:t>
      </w:r>
      <w:r>
        <w:t>「精准定位-微创毁损-闭环调控」癫痫全流程解决方案的基础核心：精准解码致痫灶与脑功能区，为LaserROLITT激光消融提供精准靶点，为EpilcureRNS神经刺激提供电极植入位置和程控参数依据，实现癫痫个体化精准诊疗。</w:t>
      </w:r>
    </w:p>
    <w:p w14:paraId="05A0CA21">
      <w:pPr>
        <w:pStyle w:val="86"/>
        <w:numPr>
          <w:ilvl w:val="0"/>
          <w:numId w:val="11"/>
        </w:numPr>
        <w:rPr>
          <w:color w:val="auto"/>
        </w:rPr>
      </w:pPr>
      <w:bookmarkStart w:id="52" w:name="_Toc407391430"/>
      <w:r>
        <w:rPr>
          <w:rFonts w:hint="eastAsia"/>
          <w:color w:val="auto"/>
          <w:lang w:val="en-US" w:eastAsia="zh-CN"/>
        </w:rPr>
        <w:t>临床进展</w:t>
      </w:r>
      <w:bookmarkEnd w:id="52"/>
    </w:p>
    <w:p w14:paraId="01C60D56">
      <w:pPr>
        <w:pStyle w:val="88"/>
        <w:numPr>
          <w:ilvl w:val="0"/>
          <w:numId w:val="21"/>
        </w:numPr>
        <w:bidi w:val="0"/>
      </w:pPr>
      <w:bookmarkStart w:id="53" w:name="_Toc849897374"/>
      <w:r>
        <w:t>Epilcure™植入式神经刺激系统（RNS）临床进展</w:t>
      </w:r>
      <w:bookmarkEnd w:id="53"/>
    </w:p>
    <w:p w14:paraId="0B719EBE">
      <w:pPr>
        <w:pStyle w:val="91"/>
        <w:numPr>
          <w:ilvl w:val="0"/>
          <w:numId w:val="22"/>
        </w:numPr>
        <w:bidi w:val="0"/>
      </w:pPr>
      <w:r>
        <w:t>临床中心布局：汇聚国内顶级神经外科中心，包括复旦大学附属华山医院、首都医科大学宣武医院、浙江大学医学院附属第二医院、中国科学技术大学附属第一医院、中南大学湘雅医院、四川大学华西医院、河北医科大学第二医院、福建医科大学附属协和医院等头部神外机构，多中心临床网络全面落地。</w:t>
      </w:r>
    </w:p>
    <w:p w14:paraId="49D3F54C">
      <w:pPr>
        <w:pStyle w:val="91"/>
        <w:numPr>
          <w:ilvl w:val="0"/>
          <w:numId w:val="22"/>
        </w:numPr>
        <w:bidi w:val="0"/>
      </w:pPr>
      <w:r>
        <w:t>核心牵头专家：由毛颖教授（华山医院院长）、赵国光教授（宣武医院院长）担任Co-PI，均为国内神经外科、癫痫领域国家级领军专家，引领临床试验规范开展。</w:t>
      </w:r>
    </w:p>
    <w:p w14:paraId="0E2F82AA">
      <w:pPr>
        <w:pStyle w:val="91"/>
        <w:numPr>
          <w:ilvl w:val="0"/>
          <w:numId w:val="22"/>
        </w:numPr>
        <w:bidi w:val="0"/>
      </w:pPr>
      <w:r>
        <w:t>临床入组进度：多中心三期临床试验已完成全部入组，累计完成近百例临床植入，是国内进展最快的三类有源植入式脑机接口产品。</w:t>
      </w:r>
    </w:p>
    <w:p w14:paraId="0130CF15">
      <w:pPr>
        <w:pStyle w:val="91"/>
        <w:numPr>
          <w:ilvl w:val="0"/>
          <w:numId w:val="22"/>
        </w:numPr>
        <w:bidi w:val="0"/>
      </w:pPr>
      <w:r>
        <w:t>里程碑节点：2022年在首都医科大学宣武医院完成国内首例三期临床植入手术；目前临床随访稳步推进，有望成为国内首个商业化获批的闭环神经刺激脑机接口产品。</w:t>
      </w:r>
    </w:p>
    <w:p w14:paraId="3D54E1A6">
      <w:pPr>
        <w:pStyle w:val="91"/>
        <w:numPr>
          <w:ilvl w:val="0"/>
          <w:numId w:val="22"/>
        </w:numPr>
        <w:bidi w:val="0"/>
      </w:pPr>
      <w:r>
        <w:t>临床价值：临床试验验证产品全颅骨植入、无线长续航、时频域融合算法等核心优势，安全性与有效性表现优异，无重大产品相关不良事件。</w:t>
      </w:r>
    </w:p>
    <w:p w14:paraId="434C6048">
      <w:pPr>
        <w:pStyle w:val="88"/>
        <w:numPr>
          <w:ilvl w:val="0"/>
          <w:numId w:val="21"/>
        </w:numPr>
        <w:bidi w:val="0"/>
      </w:pPr>
      <w:bookmarkStart w:id="54" w:name="_Toc1311428621"/>
      <w:r>
        <w:t>LaserRO™磁共振监测半导体激光治疗系统（MRgLITT）临床进展</w:t>
      </w:r>
      <w:bookmarkEnd w:id="54"/>
    </w:p>
    <w:p w14:paraId="322592D8">
      <w:pPr>
        <w:pStyle w:val="91"/>
        <w:numPr>
          <w:ilvl w:val="0"/>
          <w:numId w:val="23"/>
        </w:numPr>
        <w:bidi w:val="0"/>
      </w:pPr>
      <w:r>
        <w:t>确证性临床试验结果：癫痫适应症确证性临床数据达到预设终点，FAS人群消融有效率91.82%，PPS人群消融有效率92.23%；两组95%置信区间下限均远高于72%目标值，临床试验证实产品安全、疗效确切。</w:t>
      </w:r>
    </w:p>
    <w:p w14:paraId="6DF4CB37">
      <w:pPr>
        <w:pStyle w:val="91"/>
        <w:numPr>
          <w:ilvl w:val="0"/>
          <w:numId w:val="23"/>
        </w:numPr>
        <w:bidi w:val="0"/>
      </w:pPr>
      <w:r>
        <w:t>审批与上市进展：2025年10月，磁共振监测半导体激光治疗设备、一次性使用激光光纤套件、立体定向手术计划软件三大组件同步通过国家药监局创新医疗器械审批，正式获批上市，为国内首款自主可控MRgLITT系统。</w:t>
      </w:r>
    </w:p>
    <w:p w14:paraId="3944E1B7">
      <w:pPr>
        <w:pStyle w:val="91"/>
        <w:numPr>
          <w:ilvl w:val="0"/>
          <w:numId w:val="23"/>
        </w:numPr>
        <w:bidi w:val="0"/>
      </w:pPr>
      <w:r>
        <w:t>临床应用落地：依托双波长激光、超细光纤、全流程智能规划等优势，已在全国多家中心开展难治性癫痫、脑胶质瘤、脑转移瘤等临床应用，微创、精准、恢复快的临床优势得到临床专家认可。</w:t>
      </w:r>
    </w:p>
    <w:p w14:paraId="75B86162">
      <w:pPr>
        <w:pStyle w:val="88"/>
        <w:numPr>
          <w:ilvl w:val="0"/>
          <w:numId w:val="21"/>
        </w:numPr>
        <w:bidi w:val="0"/>
      </w:pPr>
      <w:bookmarkStart w:id="55" w:name="_Toc1556163986"/>
      <w:r>
        <w:t>S-DEEP™脑深部电极系统（SEEG）临床进展</w:t>
      </w:r>
      <w:bookmarkEnd w:id="55"/>
    </w:p>
    <w:p w14:paraId="24E32818">
      <w:pPr>
        <w:pStyle w:val="91"/>
        <w:numPr>
          <w:ilvl w:val="0"/>
          <w:numId w:val="24"/>
        </w:numPr>
        <w:bidi w:val="0"/>
      </w:pPr>
      <w:r>
        <w:t>多中心临床试验成果：完成90例前瞻性多中心临床试验，电极植入成功率98.89%、脑电信号记录成功率100%；所有监测周期内电极触点阻抗稳定达标，未发生任何产品相关不良事件。</w:t>
      </w:r>
    </w:p>
    <w:p w14:paraId="0B54EFDE">
      <w:pPr>
        <w:pStyle w:val="91"/>
        <w:numPr>
          <w:ilvl w:val="0"/>
          <w:numId w:val="24"/>
        </w:numPr>
        <w:bidi w:val="0"/>
      </w:pPr>
      <w:r>
        <w:t>临床落地定位：已全面应用于国内癫痫中心术前致痫灶精准定位，适配Leksell立体定向头架及主流神经外科机器人，成为</w:t>
      </w:r>
      <w:r>
        <w:rPr>
          <w:rFonts w:hint="eastAsia"/>
          <w:lang w:eastAsia="zh-CN"/>
        </w:rPr>
        <w:t>佳量脑科学</w:t>
      </w:r>
      <w:r>
        <w:t>癫痫全流程解决方案（SEEG定位-LITT消融-RNS调控）的核心基础支撑产品。</w:t>
      </w:r>
    </w:p>
    <w:p w14:paraId="62D52B7B">
      <w:pPr>
        <w:pStyle w:val="91"/>
        <w:numPr>
          <w:ilvl w:val="0"/>
          <w:numId w:val="24"/>
        </w:numPr>
        <w:bidi w:val="0"/>
      </w:pPr>
      <w:r>
        <w:t>产品性能验证：铂铱合金触点、L型防脱落接口、全规格适配线缆等设计，经临床验证信号清晰、操作便捷、安全可靠，达到进口同类产品水平，实现国产替代。</w:t>
      </w:r>
    </w:p>
    <w:p w14:paraId="3E6BB4FC">
      <w:pPr>
        <w:pStyle w:val="88"/>
        <w:numPr>
          <w:ilvl w:val="0"/>
          <w:numId w:val="21"/>
        </w:numPr>
        <w:bidi w:val="0"/>
      </w:pPr>
      <w:bookmarkStart w:id="56" w:name="_Toc244775889"/>
      <w:r>
        <w:t>整体临床总结</w:t>
      </w:r>
      <w:bookmarkEnd w:id="56"/>
    </w:p>
    <w:p w14:paraId="76D5C1BA">
      <w:pPr>
        <w:pStyle w:val="91"/>
        <w:numPr>
          <w:ilvl w:val="0"/>
          <w:numId w:val="25"/>
        </w:numPr>
        <w:bidi w:val="0"/>
      </w:pPr>
      <w:r>
        <w:t>三大核心产品均完成多中心临床试验，数据严谨、终点达标，安全性与有效性全面得到临床验证；</w:t>
      </w:r>
    </w:p>
    <w:p w14:paraId="57B9C112">
      <w:pPr>
        <w:pStyle w:val="91"/>
        <w:numPr>
          <w:ilvl w:val="0"/>
          <w:numId w:val="25"/>
        </w:numPr>
        <w:bidi w:val="0"/>
      </w:pPr>
      <w:r>
        <w:t>依托国内顶尖神外中心及行业领军PI团队，临床试验规范性、行业认可度处于国内领先水平；</w:t>
      </w:r>
    </w:p>
    <w:p w14:paraId="4717984B">
      <w:pPr>
        <w:pStyle w:val="91"/>
        <w:numPr>
          <w:ilvl w:val="0"/>
          <w:numId w:val="25"/>
        </w:numPr>
        <w:bidi w:val="0"/>
      </w:pPr>
      <w:r>
        <w:t>LaserRO已获批商业化上市，Epilcure冲刺三类注册证、SEEG全面临床普及，形成定位-消融-闭环调控完整癫痫诊疗闭环，领跑国内神经调控与脑机接口产业化进程。</w:t>
      </w:r>
    </w:p>
    <w:bookmarkEnd w:id="33"/>
    <w:p w14:paraId="1025B81B">
      <w:pPr>
        <w:pStyle w:val="86"/>
        <w:numPr>
          <w:ilvl w:val="0"/>
          <w:numId w:val="11"/>
        </w:numPr>
        <w:rPr>
          <w:color w:val="auto"/>
        </w:rPr>
      </w:pPr>
      <w:bookmarkStart w:id="57" w:name="_Toc1517182418"/>
      <w:bookmarkStart w:id="58" w:name="_Toc12331"/>
      <w:bookmarkStart w:id="59" w:name="_Toc641173569"/>
      <w:bookmarkStart w:id="60" w:name="_Toc2125410903"/>
      <w:r>
        <w:rPr>
          <w:rFonts w:hint="eastAsia"/>
          <w:color w:val="auto"/>
          <w:lang w:val="en-US" w:eastAsia="zh-CN"/>
        </w:rPr>
        <w:t>营收测算</w:t>
      </w:r>
      <w:bookmarkEnd w:id="57"/>
    </w:p>
    <w:p w14:paraId="59995B8E">
      <w:pPr>
        <w:pStyle w:val="122"/>
        <w:numPr>
          <w:ilvl w:val="0"/>
          <w:numId w:val="26"/>
        </w:numPr>
        <w:bidi w:val="0"/>
        <w:rPr>
          <w:rFonts w:hint="default"/>
          <w:lang w:val="en-US" w:eastAsia="zh-CN"/>
        </w:rPr>
      </w:pPr>
      <w:bookmarkStart w:id="61" w:name="_Toc64074848"/>
      <w:r>
        <w:rPr>
          <w:rFonts w:hint="eastAsia"/>
          <w:lang w:val="en-US" w:eastAsia="zh-CN"/>
        </w:rPr>
        <w:t>材料价格、成本&amp;毛利率（项目方提供）</w:t>
      </w:r>
      <w:bookmarkEnd w:id="61"/>
    </w:p>
    <w:p w14:paraId="25176AA6">
      <w:pPr>
        <w:pStyle w:val="125"/>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4"/>
        <w:gridCol w:w="2082"/>
        <w:gridCol w:w="2082"/>
        <w:gridCol w:w="2082"/>
      </w:tblGrid>
      <w:tr w14:paraId="1C0B795C">
        <w:tc>
          <w:tcPr>
            <w:tcW w:w="2234"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309DEBB4">
            <w:pPr>
              <w:pStyle w:val="99"/>
              <w:bidi w:val="0"/>
            </w:pPr>
            <w:r>
              <w:t>管线</w:t>
            </w:r>
          </w:p>
        </w:tc>
        <w:tc>
          <w:tcPr>
            <w:tcW w:w="2082"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571A0F98">
            <w:pPr>
              <w:pStyle w:val="99"/>
              <w:bidi w:val="0"/>
              <w:rPr>
                <w:rFonts w:hint="eastAsia" w:eastAsia="仿宋"/>
                <w:lang w:val="en-US" w:eastAsia="zh-CN"/>
              </w:rPr>
            </w:pPr>
            <w:r>
              <w:rPr>
                <w:rFonts w:hint="eastAsia"/>
                <w:lang w:val="en-US" w:eastAsia="zh-CN"/>
              </w:rPr>
              <w:t>价格</w:t>
            </w:r>
          </w:p>
        </w:tc>
        <w:tc>
          <w:tcPr>
            <w:tcW w:w="2082"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23412BFD">
            <w:pPr>
              <w:pStyle w:val="99"/>
              <w:bidi w:val="0"/>
            </w:pPr>
            <w:r>
              <w:t>材料成本占比</w:t>
            </w:r>
          </w:p>
        </w:tc>
        <w:tc>
          <w:tcPr>
            <w:tcW w:w="2082"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39D3703A">
            <w:pPr>
              <w:pStyle w:val="99"/>
              <w:bidi w:val="0"/>
            </w:pPr>
            <w:r>
              <w:t>毛利率</w:t>
            </w:r>
          </w:p>
        </w:tc>
      </w:tr>
      <w:tr w14:paraId="6641B9E4">
        <w:tc>
          <w:tcPr>
            <w:tcW w:w="223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639D2D2">
            <w:pPr>
              <w:pStyle w:val="99"/>
              <w:bidi w:val="0"/>
            </w:pPr>
            <w:r>
              <w:t>LITT</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8C9F751">
            <w:pPr>
              <w:pStyle w:val="99"/>
              <w:bidi w:val="0"/>
              <w:rPr>
                <w:rFonts w:hint="default" w:eastAsia="仿宋"/>
                <w:lang w:val="en-US" w:eastAsia="zh-CN"/>
              </w:rPr>
            </w:pPr>
            <w:r>
              <w:rPr>
                <w:rFonts w:hint="eastAsia"/>
                <w:lang w:val="en-US" w:eastAsia="zh-CN"/>
              </w:rPr>
              <w:t>400万元/台</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86B76BA">
            <w:pPr>
              <w:pStyle w:val="99"/>
              <w:bidi w:val="0"/>
            </w:pPr>
            <w:r>
              <w:t>80%</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3527704">
            <w:pPr>
              <w:pStyle w:val="99"/>
              <w:bidi w:val="0"/>
            </w:pPr>
            <w:r>
              <w:t>20%</w:t>
            </w:r>
          </w:p>
        </w:tc>
      </w:tr>
      <w:tr w14:paraId="3D82A3D1">
        <w:tc>
          <w:tcPr>
            <w:tcW w:w="223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67AC261">
            <w:pPr>
              <w:pStyle w:val="99"/>
              <w:bidi w:val="0"/>
            </w:pPr>
            <w:r>
              <w:t>Epilcure（RNS）</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558081A">
            <w:pPr>
              <w:pStyle w:val="99"/>
              <w:bidi w:val="0"/>
              <w:rPr>
                <w:rFonts w:hint="default" w:eastAsia="仿宋"/>
                <w:lang w:val="en-US" w:eastAsia="zh-CN"/>
              </w:rPr>
            </w:pPr>
            <w:r>
              <w:rPr>
                <w:rFonts w:hint="eastAsia"/>
                <w:lang w:val="en-US" w:eastAsia="zh-CN"/>
              </w:rPr>
              <w:t>22.5万元/套</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C769284">
            <w:pPr>
              <w:pStyle w:val="99"/>
              <w:bidi w:val="0"/>
            </w:pPr>
            <w:r>
              <w:t>85%</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665E55C">
            <w:pPr>
              <w:pStyle w:val="99"/>
              <w:bidi w:val="0"/>
            </w:pPr>
            <w:r>
              <w:t>15%</w:t>
            </w:r>
          </w:p>
        </w:tc>
      </w:tr>
      <w:tr w14:paraId="0E20180D">
        <w:tc>
          <w:tcPr>
            <w:tcW w:w="223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FDDEA9">
            <w:pPr>
              <w:pStyle w:val="99"/>
              <w:bidi w:val="0"/>
            </w:pPr>
            <w:r>
              <w:t>SEEG深部电极</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6B8C225">
            <w:pPr>
              <w:pStyle w:val="99"/>
              <w:bidi w:val="0"/>
              <w:rPr>
                <w:rFonts w:hint="default" w:eastAsia="仿宋"/>
                <w:lang w:val="en-US" w:eastAsia="zh-CN"/>
              </w:rPr>
            </w:pPr>
            <w:r>
              <w:rPr>
                <w:rFonts w:hint="eastAsia"/>
                <w:lang w:val="en-US" w:eastAsia="zh-CN"/>
              </w:rPr>
              <w:t>4000元/套</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17AA6C8">
            <w:pPr>
              <w:pStyle w:val="99"/>
              <w:bidi w:val="0"/>
            </w:pPr>
            <w:r>
              <w:t>60%</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3A4C943">
            <w:pPr>
              <w:pStyle w:val="99"/>
              <w:bidi w:val="0"/>
            </w:pPr>
            <w:r>
              <w:t>40%</w:t>
            </w:r>
          </w:p>
        </w:tc>
      </w:tr>
      <w:tr w14:paraId="345D4F4A">
        <w:tc>
          <w:tcPr>
            <w:tcW w:w="223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24733CE">
            <w:pPr>
              <w:pStyle w:val="99"/>
              <w:bidi w:val="0"/>
            </w:pPr>
            <w:r>
              <w:t>iSBS（DBS）</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CFA81F3">
            <w:pPr>
              <w:pStyle w:val="99"/>
              <w:bidi w:val="0"/>
              <w:rPr>
                <w:rFonts w:hint="default" w:eastAsia="仿宋"/>
                <w:lang w:val="en-US" w:eastAsia="zh-CN"/>
              </w:rPr>
            </w:pPr>
            <w:r>
              <w:rPr>
                <w:rFonts w:hint="eastAsia"/>
                <w:lang w:val="en-US" w:eastAsia="zh-CN"/>
              </w:rPr>
              <w:t>32万/套</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887584D">
            <w:pPr>
              <w:pStyle w:val="99"/>
              <w:bidi w:val="0"/>
            </w:pPr>
            <w:r>
              <w:t>55%</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E4391CF">
            <w:pPr>
              <w:pStyle w:val="99"/>
              <w:bidi w:val="0"/>
            </w:pPr>
            <w:r>
              <w:t>45%</w:t>
            </w:r>
          </w:p>
        </w:tc>
      </w:tr>
      <w:tr w14:paraId="49037051">
        <w:tc>
          <w:tcPr>
            <w:tcW w:w="223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2750071">
            <w:pPr>
              <w:pStyle w:val="99"/>
              <w:bidi w:val="0"/>
            </w:pPr>
            <w:r>
              <w:t>EES脊髓刺激</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63A9E1A">
            <w:pPr>
              <w:pStyle w:val="99"/>
              <w:bidi w:val="0"/>
              <w:rPr>
                <w:rFonts w:hint="default" w:eastAsia="仿宋"/>
                <w:lang w:val="en-US" w:eastAsia="zh-CN"/>
              </w:rPr>
            </w:pPr>
            <w:r>
              <w:rPr>
                <w:rFonts w:hint="eastAsia"/>
                <w:lang w:val="en-US" w:eastAsia="zh-CN"/>
              </w:rPr>
              <w:t>38万/套</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37E8CCD">
            <w:pPr>
              <w:pStyle w:val="99"/>
              <w:bidi w:val="0"/>
            </w:pPr>
            <w:r>
              <w:t>58%</w:t>
            </w:r>
          </w:p>
        </w:tc>
        <w:tc>
          <w:tcPr>
            <w:tcW w:w="208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7C5DFAE">
            <w:pPr>
              <w:pStyle w:val="99"/>
              <w:bidi w:val="0"/>
            </w:pPr>
            <w:r>
              <w:t>42%</w:t>
            </w:r>
          </w:p>
        </w:tc>
      </w:tr>
    </w:tbl>
    <w:p w14:paraId="2EE27C93">
      <w:pPr>
        <w:pStyle w:val="122"/>
        <w:numPr>
          <w:ilvl w:val="0"/>
          <w:numId w:val="26"/>
        </w:numPr>
        <w:bidi w:val="0"/>
        <w:rPr>
          <w:rFonts w:hint="eastAsia"/>
          <w:lang w:val="en-US" w:eastAsia="zh-CN"/>
        </w:rPr>
      </w:pPr>
      <w:bookmarkStart w:id="62" w:name="_Toc1016663189"/>
      <w:r>
        <w:rPr>
          <w:rFonts w:hint="eastAsia"/>
          <w:lang w:val="en-US" w:eastAsia="zh-CN"/>
        </w:rPr>
        <w:t>流行病学数据（弗若斯特沙利文报告）</w:t>
      </w:r>
      <w:bookmarkEnd w:id="62"/>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5"/>
        <w:gridCol w:w="1278"/>
        <w:gridCol w:w="1143"/>
        <w:gridCol w:w="1436"/>
        <w:gridCol w:w="1262"/>
        <w:gridCol w:w="1258"/>
      </w:tblGrid>
      <w:tr w14:paraId="626748B7">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12CAD4FB">
            <w:pPr>
              <w:pStyle w:val="99"/>
              <w:bidi w:val="0"/>
            </w:pPr>
            <w:r>
              <w:t>适应症</w:t>
            </w:r>
          </w:p>
        </w:tc>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0EB82D9F">
            <w:pPr>
              <w:pStyle w:val="99"/>
              <w:bidi w:val="0"/>
            </w:pPr>
            <w:r>
              <w:t>中国存量患者</w:t>
            </w:r>
          </w:p>
        </w:tc>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5FF3E850">
            <w:pPr>
              <w:pStyle w:val="99"/>
              <w:bidi w:val="0"/>
            </w:pPr>
            <w:r>
              <w:t>年新增患者</w:t>
            </w:r>
          </w:p>
        </w:tc>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2C985993">
            <w:pPr>
              <w:pStyle w:val="99"/>
              <w:bidi w:val="0"/>
            </w:pPr>
            <w:r>
              <w:t>适配治疗人群占比</w:t>
            </w:r>
          </w:p>
        </w:tc>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05E86087">
            <w:pPr>
              <w:pStyle w:val="99"/>
              <w:bidi w:val="0"/>
            </w:pPr>
            <w:r>
              <w:t>适配存量</w:t>
            </w:r>
          </w:p>
        </w:tc>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0D0087AC">
            <w:pPr>
              <w:pStyle w:val="99"/>
              <w:bidi w:val="0"/>
            </w:pPr>
            <w:r>
              <w:t>年新增适配</w:t>
            </w:r>
          </w:p>
        </w:tc>
      </w:tr>
      <w:tr w14:paraId="5CF3A1E9">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8109B7C">
            <w:pPr>
              <w:pStyle w:val="99"/>
              <w:bidi w:val="0"/>
            </w:pPr>
            <w:r>
              <w:t>癫痫（SEEG/LITT/RNS）</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C5646E7">
            <w:pPr>
              <w:pStyle w:val="99"/>
              <w:bidi w:val="0"/>
            </w:pPr>
            <w:r>
              <w:t>1000万人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6229087">
            <w:pPr>
              <w:pStyle w:val="99"/>
              <w:bidi w:val="0"/>
            </w:pPr>
            <w:r>
              <w:t>40万人/年</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505B344">
            <w:pPr>
              <w:pStyle w:val="99"/>
              <w:bidi w:val="0"/>
            </w:pPr>
            <w:r>
              <w:t>药物难治性30%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1FDCECC">
            <w:pPr>
              <w:pStyle w:val="99"/>
              <w:bidi w:val="0"/>
            </w:pPr>
            <w:r>
              <w:t>300万人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BBB7EB6">
            <w:pPr>
              <w:pStyle w:val="99"/>
              <w:bidi w:val="0"/>
            </w:pPr>
            <w:r>
              <w:t>12万人/年</w:t>
            </w:r>
          </w:p>
        </w:tc>
      </w:tr>
      <w:tr w14:paraId="11C510E2">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E50F951">
            <w:pPr>
              <w:pStyle w:val="99"/>
              <w:bidi w:val="0"/>
            </w:pPr>
            <w:r>
              <w:t>帕金森病（iSBS）</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7A8FD54">
            <w:pPr>
              <w:pStyle w:val="99"/>
              <w:bidi w:val="0"/>
            </w:pPr>
            <w:r>
              <w:t>340万人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6F0C429">
            <w:pPr>
              <w:pStyle w:val="99"/>
              <w:bidi w:val="0"/>
            </w:pPr>
            <w:r>
              <w:t>12万人/年</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35F6498">
            <w:pPr>
              <w:pStyle w:val="99"/>
              <w:bidi w:val="0"/>
            </w:pPr>
            <w:r>
              <w:t>中晚期适配DBS15%</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D105FB2">
            <w:pPr>
              <w:pStyle w:val="99"/>
              <w:bidi w:val="0"/>
            </w:pPr>
            <w:r>
              <w:t>51万人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BAEC67B">
            <w:pPr>
              <w:pStyle w:val="99"/>
              <w:bidi w:val="0"/>
            </w:pPr>
            <w:r>
              <w:t>1.8万人/年</w:t>
            </w:r>
          </w:p>
        </w:tc>
      </w:tr>
      <w:tr w14:paraId="15489099">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4F6B2B0">
            <w:pPr>
              <w:pStyle w:val="99"/>
              <w:bidi w:val="0"/>
            </w:pPr>
            <w:r>
              <w:t>脊髓损伤（截瘫，EES）</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9A489C5">
            <w:pPr>
              <w:pStyle w:val="99"/>
              <w:bidi w:val="0"/>
            </w:pPr>
            <w:r>
              <w:t>380万人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42928FF">
            <w:pPr>
              <w:pStyle w:val="99"/>
              <w:bidi w:val="0"/>
            </w:pPr>
            <w:r>
              <w:t>8万人/年</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8C69198">
            <w:pPr>
              <w:pStyle w:val="99"/>
              <w:bidi w:val="0"/>
            </w:pPr>
            <w:r>
              <w:t>适合运动重建8%</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7A28398">
            <w:pPr>
              <w:pStyle w:val="99"/>
              <w:bidi w:val="0"/>
            </w:pPr>
            <w:r>
              <w:t>30.4万人</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902D3D6">
            <w:pPr>
              <w:pStyle w:val="99"/>
              <w:bidi w:val="0"/>
            </w:pPr>
            <w:r>
              <w:t>0.64万人/年</w:t>
            </w:r>
          </w:p>
        </w:tc>
      </w:tr>
    </w:tbl>
    <w:p w14:paraId="33091148">
      <w:pPr>
        <w:pStyle w:val="122"/>
        <w:numPr>
          <w:ilvl w:val="0"/>
          <w:numId w:val="6"/>
        </w:numPr>
        <w:bidi w:val="0"/>
      </w:pPr>
      <w:bookmarkStart w:id="63" w:name="_Toc1678321991"/>
      <w:r>
        <w:t>SEEG深部电极</w:t>
      </w:r>
      <w:r>
        <w:rPr>
          <w:rFonts w:hint="eastAsia"/>
          <w:lang w:val="en-US" w:eastAsia="zh-CN"/>
        </w:rPr>
        <w:t>营收预测</w:t>
      </w:r>
      <w:bookmarkEnd w:id="63"/>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6"/>
        <w:gridCol w:w="1322"/>
        <w:gridCol w:w="1284"/>
        <w:gridCol w:w="1226"/>
        <w:gridCol w:w="1164"/>
        <w:gridCol w:w="1170"/>
        <w:gridCol w:w="1270"/>
      </w:tblGrid>
      <w:tr w14:paraId="4E785DB0">
        <w:trPr>
          <w:trHeight w:val="347" w:hRule="atLeast"/>
        </w:trPr>
        <w:tc>
          <w:tcPr>
            <w:tcW w:w="1116" w:type="dxa"/>
            <w:shd w:val="clear" w:color="auto" w:fill="BEBEBE" w:themeFill="background1" w:themeFillShade="BF"/>
            <w:tcMar>
              <w:top w:w="60" w:type="dxa"/>
              <w:left w:w="120" w:type="dxa"/>
              <w:bottom w:w="30" w:type="dxa"/>
              <w:right w:w="120" w:type="dxa"/>
            </w:tcMar>
          </w:tcPr>
          <w:p w14:paraId="7C40E536">
            <w:pPr>
              <w:pStyle w:val="99"/>
              <w:bidi w:val="0"/>
            </w:pPr>
            <w:r>
              <w:t>年份</w:t>
            </w:r>
          </w:p>
        </w:tc>
        <w:tc>
          <w:tcPr>
            <w:tcW w:w="1322" w:type="dxa"/>
            <w:shd w:val="clear" w:color="auto" w:fill="BEBEBE" w:themeFill="background1" w:themeFillShade="BF"/>
            <w:tcMar>
              <w:top w:w="60" w:type="dxa"/>
              <w:left w:w="120" w:type="dxa"/>
              <w:bottom w:w="30" w:type="dxa"/>
              <w:right w:w="120" w:type="dxa"/>
            </w:tcMar>
          </w:tcPr>
          <w:p w14:paraId="35310017">
            <w:pPr>
              <w:pStyle w:val="99"/>
              <w:bidi w:val="0"/>
            </w:pPr>
            <w:r>
              <w:t>行业渗透率</w:t>
            </w:r>
          </w:p>
        </w:tc>
        <w:tc>
          <w:tcPr>
            <w:tcW w:w="1284" w:type="dxa"/>
            <w:shd w:val="clear" w:color="auto" w:fill="BEBEBE" w:themeFill="background1" w:themeFillShade="BF"/>
            <w:tcMar>
              <w:top w:w="60" w:type="dxa"/>
              <w:left w:w="120" w:type="dxa"/>
              <w:bottom w:w="30" w:type="dxa"/>
              <w:right w:w="120" w:type="dxa"/>
            </w:tcMar>
          </w:tcPr>
          <w:p w14:paraId="44135E19">
            <w:pPr>
              <w:pStyle w:val="99"/>
              <w:bidi w:val="0"/>
              <w:rPr>
                <w:rFonts w:hint="eastAsia" w:eastAsia="仿宋"/>
                <w:lang w:val="en-US" w:eastAsia="zh-CN"/>
              </w:rPr>
            </w:pPr>
            <w:r>
              <w:t>佳量市占</w:t>
            </w:r>
            <w:r>
              <w:rPr>
                <w:rFonts w:hint="eastAsia"/>
                <w:lang w:val="en-US" w:eastAsia="zh-CN"/>
              </w:rPr>
              <w:t>率</w:t>
            </w:r>
          </w:p>
        </w:tc>
        <w:tc>
          <w:tcPr>
            <w:tcW w:w="1226" w:type="dxa"/>
            <w:shd w:val="clear" w:color="auto" w:fill="BEBEBE" w:themeFill="background1" w:themeFillShade="BF"/>
            <w:tcMar>
              <w:top w:w="60" w:type="dxa"/>
              <w:left w:w="120" w:type="dxa"/>
              <w:bottom w:w="30" w:type="dxa"/>
              <w:right w:w="120" w:type="dxa"/>
            </w:tcMar>
          </w:tcPr>
          <w:p w14:paraId="1C68F53A">
            <w:pPr>
              <w:pStyle w:val="99"/>
              <w:bidi w:val="0"/>
            </w:pPr>
            <w:r>
              <w:t>行业年量</w:t>
            </w:r>
          </w:p>
        </w:tc>
        <w:tc>
          <w:tcPr>
            <w:tcW w:w="1164" w:type="dxa"/>
            <w:shd w:val="clear" w:color="auto" w:fill="BEBEBE" w:themeFill="background1" w:themeFillShade="BF"/>
            <w:tcMar>
              <w:top w:w="60" w:type="dxa"/>
              <w:left w:w="120" w:type="dxa"/>
              <w:bottom w:w="30" w:type="dxa"/>
              <w:right w:w="120" w:type="dxa"/>
            </w:tcMar>
          </w:tcPr>
          <w:p w14:paraId="59F2FAE4">
            <w:pPr>
              <w:pStyle w:val="99"/>
              <w:bidi w:val="0"/>
            </w:pPr>
            <w:r>
              <w:t>佳量年量</w:t>
            </w:r>
          </w:p>
        </w:tc>
        <w:tc>
          <w:tcPr>
            <w:tcW w:w="1170" w:type="dxa"/>
            <w:shd w:val="clear" w:color="auto" w:fill="BEBEBE" w:themeFill="background1" w:themeFillShade="BF"/>
            <w:tcMar>
              <w:top w:w="60" w:type="dxa"/>
              <w:left w:w="120" w:type="dxa"/>
              <w:bottom w:w="30" w:type="dxa"/>
              <w:right w:w="120" w:type="dxa"/>
            </w:tcMar>
          </w:tcPr>
          <w:p w14:paraId="08C89F25">
            <w:pPr>
              <w:pStyle w:val="99"/>
              <w:bidi w:val="0"/>
            </w:pPr>
            <w:r>
              <w:t>单价(万</w:t>
            </w:r>
            <w:r>
              <w:rPr>
                <w:rFonts w:hint="eastAsia"/>
                <w:lang w:val="en-US" w:eastAsia="zh-CN"/>
              </w:rPr>
              <w:t>元</w:t>
            </w:r>
            <w:r>
              <w:t>)</w:t>
            </w:r>
          </w:p>
        </w:tc>
        <w:tc>
          <w:tcPr>
            <w:tcW w:w="1270" w:type="dxa"/>
            <w:shd w:val="clear" w:color="auto" w:fill="BEBEBE" w:themeFill="background1" w:themeFillShade="BF"/>
            <w:tcMar>
              <w:top w:w="60" w:type="dxa"/>
              <w:left w:w="120" w:type="dxa"/>
              <w:bottom w:w="30" w:type="dxa"/>
              <w:right w:w="120" w:type="dxa"/>
            </w:tcMar>
          </w:tcPr>
          <w:p w14:paraId="59D56854">
            <w:pPr>
              <w:pStyle w:val="99"/>
              <w:bidi w:val="0"/>
            </w:pPr>
            <w:r>
              <w:t>营收(万元)</w:t>
            </w:r>
          </w:p>
        </w:tc>
      </w:tr>
      <w:tr w14:paraId="3FB16928">
        <w:tc>
          <w:tcPr>
            <w:tcW w:w="1116" w:type="dxa"/>
            <w:tcMar>
              <w:top w:w="60" w:type="dxa"/>
              <w:left w:w="120" w:type="dxa"/>
              <w:bottom w:w="30" w:type="dxa"/>
              <w:right w:w="120" w:type="dxa"/>
            </w:tcMar>
            <w:vAlign w:val="center"/>
          </w:tcPr>
          <w:p w14:paraId="3CFAD191">
            <w:pPr>
              <w:pStyle w:val="99"/>
              <w:framePr w:wrap="around"/>
              <w:bidi w:val="0"/>
            </w:pPr>
            <w:r>
              <w:rPr>
                <w:rFonts w:hint="eastAsia"/>
                <w:lang w:val="en-US" w:eastAsia="zh-CN"/>
              </w:rPr>
              <w:t>2026</w:t>
            </w:r>
          </w:p>
        </w:tc>
        <w:tc>
          <w:tcPr>
            <w:tcW w:w="1322" w:type="dxa"/>
            <w:tcMar>
              <w:top w:w="60" w:type="dxa"/>
              <w:left w:w="120" w:type="dxa"/>
              <w:bottom w:w="30" w:type="dxa"/>
              <w:right w:w="120" w:type="dxa"/>
            </w:tcMar>
            <w:vAlign w:val="center"/>
          </w:tcPr>
          <w:p w14:paraId="7A70CAD6">
            <w:pPr>
              <w:pStyle w:val="99"/>
              <w:framePr w:wrap="around"/>
              <w:bidi w:val="0"/>
            </w:pPr>
            <w:r>
              <w:rPr>
                <w:rFonts w:hint="eastAsia"/>
                <w:lang w:val="en-US" w:eastAsia="zh-CN"/>
              </w:rPr>
              <w:t>2.00%</w:t>
            </w:r>
          </w:p>
        </w:tc>
        <w:tc>
          <w:tcPr>
            <w:tcW w:w="1284" w:type="dxa"/>
            <w:tcMar>
              <w:top w:w="60" w:type="dxa"/>
              <w:left w:w="120" w:type="dxa"/>
              <w:bottom w:w="30" w:type="dxa"/>
              <w:right w:w="120" w:type="dxa"/>
            </w:tcMar>
            <w:vAlign w:val="center"/>
          </w:tcPr>
          <w:p w14:paraId="41C78355">
            <w:pPr>
              <w:pStyle w:val="99"/>
              <w:framePr w:wrap="around"/>
              <w:bidi w:val="0"/>
            </w:pPr>
            <w:r>
              <w:rPr>
                <w:rFonts w:hint="eastAsia"/>
                <w:lang w:val="en-US" w:eastAsia="zh-CN"/>
              </w:rPr>
              <w:t>9.50%</w:t>
            </w:r>
          </w:p>
        </w:tc>
        <w:tc>
          <w:tcPr>
            <w:tcW w:w="1226" w:type="dxa"/>
            <w:tcMar>
              <w:top w:w="60" w:type="dxa"/>
              <w:left w:w="120" w:type="dxa"/>
              <w:bottom w:w="30" w:type="dxa"/>
              <w:right w:w="120" w:type="dxa"/>
            </w:tcMar>
            <w:vAlign w:val="center"/>
          </w:tcPr>
          <w:p w14:paraId="01E9A5A6">
            <w:pPr>
              <w:pStyle w:val="99"/>
              <w:framePr w:wrap="around"/>
              <w:bidi w:val="0"/>
            </w:pPr>
            <w:r>
              <w:rPr>
                <w:rFonts w:hint="eastAsia"/>
                <w:lang w:val="en-US" w:eastAsia="zh-CN"/>
              </w:rPr>
              <w:t>2400</w:t>
            </w:r>
          </w:p>
        </w:tc>
        <w:tc>
          <w:tcPr>
            <w:tcW w:w="1164" w:type="dxa"/>
            <w:tcMar>
              <w:top w:w="60" w:type="dxa"/>
              <w:left w:w="120" w:type="dxa"/>
              <w:bottom w:w="30" w:type="dxa"/>
              <w:right w:w="120" w:type="dxa"/>
            </w:tcMar>
            <w:vAlign w:val="center"/>
          </w:tcPr>
          <w:p w14:paraId="72FDB50C">
            <w:pPr>
              <w:pStyle w:val="99"/>
              <w:framePr w:wrap="around"/>
              <w:bidi w:val="0"/>
            </w:pPr>
            <w:r>
              <w:rPr>
                <w:rFonts w:hint="eastAsia"/>
                <w:lang w:val="en-US" w:eastAsia="zh-CN"/>
              </w:rPr>
              <w:t>228</w:t>
            </w:r>
          </w:p>
        </w:tc>
        <w:tc>
          <w:tcPr>
            <w:tcW w:w="1170" w:type="dxa"/>
            <w:tcMar>
              <w:top w:w="60" w:type="dxa"/>
              <w:left w:w="120" w:type="dxa"/>
              <w:bottom w:w="30" w:type="dxa"/>
              <w:right w:w="120" w:type="dxa"/>
            </w:tcMar>
            <w:vAlign w:val="center"/>
          </w:tcPr>
          <w:p w14:paraId="65D495A2">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50C39418">
            <w:pPr>
              <w:pStyle w:val="99"/>
              <w:framePr w:wrap="around"/>
              <w:bidi w:val="0"/>
            </w:pPr>
            <w:r>
              <w:rPr>
                <w:rFonts w:hint="eastAsia"/>
                <w:lang w:val="en-US" w:eastAsia="zh-CN"/>
              </w:rPr>
              <w:t>91.2</w:t>
            </w:r>
          </w:p>
        </w:tc>
      </w:tr>
      <w:tr w14:paraId="45AED951">
        <w:tc>
          <w:tcPr>
            <w:tcW w:w="1116" w:type="dxa"/>
            <w:tcMar>
              <w:top w:w="60" w:type="dxa"/>
              <w:left w:w="120" w:type="dxa"/>
              <w:bottom w:w="30" w:type="dxa"/>
              <w:right w:w="120" w:type="dxa"/>
            </w:tcMar>
            <w:vAlign w:val="center"/>
          </w:tcPr>
          <w:p w14:paraId="111DAD26">
            <w:pPr>
              <w:pStyle w:val="99"/>
              <w:framePr w:wrap="around"/>
              <w:bidi w:val="0"/>
            </w:pPr>
            <w:r>
              <w:rPr>
                <w:rFonts w:hint="eastAsia"/>
                <w:lang w:val="en-US" w:eastAsia="zh-CN"/>
              </w:rPr>
              <w:t>2027</w:t>
            </w:r>
          </w:p>
        </w:tc>
        <w:tc>
          <w:tcPr>
            <w:tcW w:w="1322" w:type="dxa"/>
            <w:tcMar>
              <w:top w:w="60" w:type="dxa"/>
              <w:left w:w="120" w:type="dxa"/>
              <w:bottom w:w="30" w:type="dxa"/>
              <w:right w:w="120" w:type="dxa"/>
            </w:tcMar>
            <w:vAlign w:val="center"/>
          </w:tcPr>
          <w:p w14:paraId="79D852CA">
            <w:pPr>
              <w:pStyle w:val="99"/>
              <w:framePr w:wrap="around"/>
              <w:bidi w:val="0"/>
            </w:pPr>
            <w:r>
              <w:rPr>
                <w:rFonts w:hint="eastAsia"/>
                <w:lang w:val="en-US" w:eastAsia="zh-CN"/>
              </w:rPr>
              <w:t>3.10%</w:t>
            </w:r>
          </w:p>
        </w:tc>
        <w:tc>
          <w:tcPr>
            <w:tcW w:w="1284" w:type="dxa"/>
            <w:tcMar>
              <w:top w:w="60" w:type="dxa"/>
              <w:left w:w="120" w:type="dxa"/>
              <w:bottom w:w="30" w:type="dxa"/>
              <w:right w:w="120" w:type="dxa"/>
            </w:tcMar>
            <w:vAlign w:val="center"/>
          </w:tcPr>
          <w:p w14:paraId="7F4C2E95">
            <w:pPr>
              <w:pStyle w:val="99"/>
              <w:framePr w:wrap="around"/>
              <w:bidi w:val="0"/>
            </w:pPr>
            <w:r>
              <w:rPr>
                <w:rFonts w:hint="eastAsia"/>
                <w:lang w:val="en-US" w:eastAsia="zh-CN"/>
              </w:rPr>
              <w:t>12.00%</w:t>
            </w:r>
          </w:p>
        </w:tc>
        <w:tc>
          <w:tcPr>
            <w:tcW w:w="1226" w:type="dxa"/>
            <w:tcMar>
              <w:top w:w="60" w:type="dxa"/>
              <w:left w:w="120" w:type="dxa"/>
              <w:bottom w:w="30" w:type="dxa"/>
              <w:right w:w="120" w:type="dxa"/>
            </w:tcMar>
            <w:vAlign w:val="center"/>
          </w:tcPr>
          <w:p w14:paraId="2FC18764">
            <w:pPr>
              <w:pStyle w:val="99"/>
              <w:framePr w:wrap="around"/>
              <w:bidi w:val="0"/>
            </w:pPr>
            <w:r>
              <w:rPr>
                <w:rFonts w:hint="eastAsia"/>
                <w:lang w:val="en-US" w:eastAsia="zh-CN"/>
              </w:rPr>
              <w:t>3720</w:t>
            </w:r>
          </w:p>
        </w:tc>
        <w:tc>
          <w:tcPr>
            <w:tcW w:w="1164" w:type="dxa"/>
            <w:tcMar>
              <w:top w:w="60" w:type="dxa"/>
              <w:left w:w="120" w:type="dxa"/>
              <w:bottom w:w="30" w:type="dxa"/>
              <w:right w:w="120" w:type="dxa"/>
            </w:tcMar>
            <w:vAlign w:val="center"/>
          </w:tcPr>
          <w:p w14:paraId="776B33F5">
            <w:pPr>
              <w:pStyle w:val="99"/>
              <w:framePr w:wrap="around"/>
              <w:bidi w:val="0"/>
            </w:pPr>
            <w:r>
              <w:rPr>
                <w:rFonts w:hint="eastAsia"/>
                <w:lang w:val="en-US" w:eastAsia="zh-CN"/>
              </w:rPr>
              <w:t>446</w:t>
            </w:r>
          </w:p>
        </w:tc>
        <w:tc>
          <w:tcPr>
            <w:tcW w:w="1170" w:type="dxa"/>
            <w:tcMar>
              <w:top w:w="60" w:type="dxa"/>
              <w:left w:w="120" w:type="dxa"/>
              <w:bottom w:w="30" w:type="dxa"/>
              <w:right w:w="120" w:type="dxa"/>
            </w:tcMar>
            <w:vAlign w:val="center"/>
          </w:tcPr>
          <w:p w14:paraId="201CD899">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03F04ACC">
            <w:pPr>
              <w:pStyle w:val="99"/>
              <w:framePr w:wrap="around"/>
              <w:bidi w:val="0"/>
            </w:pPr>
            <w:r>
              <w:rPr>
                <w:rFonts w:hint="eastAsia"/>
                <w:lang w:val="en-US" w:eastAsia="zh-CN"/>
              </w:rPr>
              <w:t>178.4</w:t>
            </w:r>
          </w:p>
        </w:tc>
      </w:tr>
      <w:tr w14:paraId="21821C12">
        <w:tc>
          <w:tcPr>
            <w:tcW w:w="1116" w:type="dxa"/>
            <w:tcMar>
              <w:top w:w="60" w:type="dxa"/>
              <w:left w:w="120" w:type="dxa"/>
              <w:bottom w:w="30" w:type="dxa"/>
              <w:right w:w="120" w:type="dxa"/>
            </w:tcMar>
            <w:vAlign w:val="center"/>
          </w:tcPr>
          <w:p w14:paraId="1B841E4C">
            <w:pPr>
              <w:pStyle w:val="99"/>
              <w:framePr w:wrap="around"/>
              <w:bidi w:val="0"/>
            </w:pPr>
            <w:r>
              <w:rPr>
                <w:rFonts w:hint="eastAsia"/>
                <w:lang w:val="en-US" w:eastAsia="zh-CN"/>
              </w:rPr>
              <w:t>2028</w:t>
            </w:r>
          </w:p>
        </w:tc>
        <w:tc>
          <w:tcPr>
            <w:tcW w:w="1322" w:type="dxa"/>
            <w:tcMar>
              <w:top w:w="60" w:type="dxa"/>
              <w:left w:w="120" w:type="dxa"/>
              <w:bottom w:w="30" w:type="dxa"/>
              <w:right w:w="120" w:type="dxa"/>
            </w:tcMar>
            <w:vAlign w:val="center"/>
          </w:tcPr>
          <w:p w14:paraId="1B700336">
            <w:pPr>
              <w:pStyle w:val="99"/>
              <w:framePr w:wrap="around"/>
              <w:bidi w:val="0"/>
            </w:pPr>
            <w:r>
              <w:rPr>
                <w:rFonts w:hint="eastAsia"/>
                <w:lang w:val="en-US" w:eastAsia="zh-CN"/>
              </w:rPr>
              <w:t>4.40%</w:t>
            </w:r>
          </w:p>
        </w:tc>
        <w:tc>
          <w:tcPr>
            <w:tcW w:w="1284" w:type="dxa"/>
            <w:tcMar>
              <w:top w:w="60" w:type="dxa"/>
              <w:left w:w="120" w:type="dxa"/>
              <w:bottom w:w="30" w:type="dxa"/>
              <w:right w:w="120" w:type="dxa"/>
            </w:tcMar>
            <w:vAlign w:val="center"/>
          </w:tcPr>
          <w:p w14:paraId="6B58E695">
            <w:pPr>
              <w:pStyle w:val="99"/>
              <w:framePr w:wrap="around"/>
              <w:bidi w:val="0"/>
            </w:pPr>
            <w:r>
              <w:rPr>
                <w:rFonts w:hint="eastAsia"/>
                <w:lang w:val="en-US" w:eastAsia="zh-CN"/>
              </w:rPr>
              <w:t>14.50%</w:t>
            </w:r>
          </w:p>
        </w:tc>
        <w:tc>
          <w:tcPr>
            <w:tcW w:w="1226" w:type="dxa"/>
            <w:tcMar>
              <w:top w:w="60" w:type="dxa"/>
              <w:left w:w="120" w:type="dxa"/>
              <w:bottom w:w="30" w:type="dxa"/>
              <w:right w:w="120" w:type="dxa"/>
            </w:tcMar>
            <w:vAlign w:val="center"/>
          </w:tcPr>
          <w:p w14:paraId="3CE00CA9">
            <w:pPr>
              <w:pStyle w:val="99"/>
              <w:framePr w:wrap="around"/>
              <w:bidi w:val="0"/>
            </w:pPr>
            <w:r>
              <w:rPr>
                <w:rFonts w:hint="eastAsia"/>
                <w:lang w:val="en-US" w:eastAsia="zh-CN"/>
              </w:rPr>
              <w:t>5280</w:t>
            </w:r>
          </w:p>
        </w:tc>
        <w:tc>
          <w:tcPr>
            <w:tcW w:w="1164" w:type="dxa"/>
            <w:tcMar>
              <w:top w:w="60" w:type="dxa"/>
              <w:left w:w="120" w:type="dxa"/>
              <w:bottom w:w="30" w:type="dxa"/>
              <w:right w:w="120" w:type="dxa"/>
            </w:tcMar>
            <w:vAlign w:val="center"/>
          </w:tcPr>
          <w:p w14:paraId="0C65B800">
            <w:pPr>
              <w:pStyle w:val="99"/>
              <w:framePr w:wrap="around"/>
              <w:bidi w:val="0"/>
            </w:pPr>
            <w:r>
              <w:rPr>
                <w:rFonts w:hint="eastAsia"/>
                <w:lang w:val="en-US" w:eastAsia="zh-CN"/>
              </w:rPr>
              <w:t>766</w:t>
            </w:r>
          </w:p>
        </w:tc>
        <w:tc>
          <w:tcPr>
            <w:tcW w:w="1170" w:type="dxa"/>
            <w:tcMar>
              <w:top w:w="60" w:type="dxa"/>
              <w:left w:w="120" w:type="dxa"/>
              <w:bottom w:w="30" w:type="dxa"/>
              <w:right w:w="120" w:type="dxa"/>
            </w:tcMar>
            <w:vAlign w:val="center"/>
          </w:tcPr>
          <w:p w14:paraId="29C618D7">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14FE9D77">
            <w:pPr>
              <w:pStyle w:val="99"/>
              <w:framePr w:wrap="around"/>
              <w:bidi w:val="0"/>
            </w:pPr>
            <w:r>
              <w:rPr>
                <w:rFonts w:hint="eastAsia"/>
                <w:lang w:val="en-US" w:eastAsia="zh-CN"/>
              </w:rPr>
              <w:t>306.4</w:t>
            </w:r>
          </w:p>
        </w:tc>
      </w:tr>
      <w:tr w14:paraId="2A4D1AF2">
        <w:tc>
          <w:tcPr>
            <w:tcW w:w="1116" w:type="dxa"/>
            <w:tcMar>
              <w:top w:w="60" w:type="dxa"/>
              <w:left w:w="120" w:type="dxa"/>
              <w:bottom w:w="30" w:type="dxa"/>
              <w:right w:w="120" w:type="dxa"/>
            </w:tcMar>
            <w:vAlign w:val="center"/>
          </w:tcPr>
          <w:p w14:paraId="41BC1128">
            <w:pPr>
              <w:pStyle w:val="99"/>
              <w:framePr w:wrap="around"/>
              <w:bidi w:val="0"/>
            </w:pPr>
            <w:r>
              <w:rPr>
                <w:rFonts w:hint="eastAsia"/>
                <w:lang w:val="en-US" w:eastAsia="zh-CN"/>
              </w:rPr>
              <w:t>2029</w:t>
            </w:r>
          </w:p>
        </w:tc>
        <w:tc>
          <w:tcPr>
            <w:tcW w:w="1322" w:type="dxa"/>
            <w:tcMar>
              <w:top w:w="60" w:type="dxa"/>
              <w:left w:w="120" w:type="dxa"/>
              <w:bottom w:w="30" w:type="dxa"/>
              <w:right w:w="120" w:type="dxa"/>
            </w:tcMar>
            <w:vAlign w:val="center"/>
          </w:tcPr>
          <w:p w14:paraId="22F429F4">
            <w:pPr>
              <w:pStyle w:val="99"/>
              <w:framePr w:wrap="around"/>
              <w:bidi w:val="0"/>
            </w:pPr>
            <w:r>
              <w:rPr>
                <w:rFonts w:hint="eastAsia"/>
                <w:lang w:val="en-US" w:eastAsia="zh-CN"/>
              </w:rPr>
              <w:t>5.90%</w:t>
            </w:r>
          </w:p>
        </w:tc>
        <w:tc>
          <w:tcPr>
            <w:tcW w:w="1284" w:type="dxa"/>
            <w:tcMar>
              <w:top w:w="60" w:type="dxa"/>
              <w:left w:w="120" w:type="dxa"/>
              <w:bottom w:w="30" w:type="dxa"/>
              <w:right w:w="120" w:type="dxa"/>
            </w:tcMar>
            <w:vAlign w:val="center"/>
          </w:tcPr>
          <w:p w14:paraId="63ACC465">
            <w:pPr>
              <w:pStyle w:val="99"/>
              <w:framePr w:wrap="around"/>
              <w:bidi w:val="0"/>
            </w:pPr>
            <w:r>
              <w:rPr>
                <w:rFonts w:hint="eastAsia"/>
                <w:lang w:val="en-US" w:eastAsia="zh-CN"/>
              </w:rPr>
              <w:t>17.00%</w:t>
            </w:r>
          </w:p>
        </w:tc>
        <w:tc>
          <w:tcPr>
            <w:tcW w:w="1226" w:type="dxa"/>
            <w:tcMar>
              <w:top w:w="60" w:type="dxa"/>
              <w:left w:w="120" w:type="dxa"/>
              <w:bottom w:w="30" w:type="dxa"/>
              <w:right w:w="120" w:type="dxa"/>
            </w:tcMar>
            <w:vAlign w:val="center"/>
          </w:tcPr>
          <w:p w14:paraId="1FAF1B19">
            <w:pPr>
              <w:pStyle w:val="99"/>
              <w:framePr w:wrap="around"/>
              <w:bidi w:val="0"/>
            </w:pPr>
            <w:r>
              <w:rPr>
                <w:rFonts w:hint="eastAsia"/>
                <w:lang w:val="en-US" w:eastAsia="zh-CN"/>
              </w:rPr>
              <w:t>7080</w:t>
            </w:r>
          </w:p>
        </w:tc>
        <w:tc>
          <w:tcPr>
            <w:tcW w:w="1164" w:type="dxa"/>
            <w:tcMar>
              <w:top w:w="60" w:type="dxa"/>
              <w:left w:w="120" w:type="dxa"/>
              <w:bottom w:w="30" w:type="dxa"/>
              <w:right w:w="120" w:type="dxa"/>
            </w:tcMar>
            <w:vAlign w:val="center"/>
          </w:tcPr>
          <w:p w14:paraId="5EE1E576">
            <w:pPr>
              <w:pStyle w:val="99"/>
              <w:framePr w:wrap="around"/>
              <w:bidi w:val="0"/>
            </w:pPr>
            <w:r>
              <w:rPr>
                <w:rFonts w:hint="eastAsia"/>
                <w:lang w:val="en-US" w:eastAsia="zh-CN"/>
              </w:rPr>
              <w:t>1204</w:t>
            </w:r>
          </w:p>
        </w:tc>
        <w:tc>
          <w:tcPr>
            <w:tcW w:w="1170" w:type="dxa"/>
            <w:tcMar>
              <w:top w:w="60" w:type="dxa"/>
              <w:left w:w="120" w:type="dxa"/>
              <w:bottom w:w="30" w:type="dxa"/>
              <w:right w:w="120" w:type="dxa"/>
            </w:tcMar>
            <w:vAlign w:val="center"/>
          </w:tcPr>
          <w:p w14:paraId="65466719">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6845C641">
            <w:pPr>
              <w:pStyle w:val="99"/>
              <w:framePr w:wrap="around"/>
              <w:bidi w:val="0"/>
            </w:pPr>
            <w:r>
              <w:rPr>
                <w:rFonts w:hint="eastAsia"/>
                <w:lang w:val="en-US" w:eastAsia="zh-CN"/>
              </w:rPr>
              <w:t>481.6</w:t>
            </w:r>
          </w:p>
        </w:tc>
      </w:tr>
      <w:tr w14:paraId="4C5BCC8D">
        <w:tc>
          <w:tcPr>
            <w:tcW w:w="1116" w:type="dxa"/>
            <w:tcMar>
              <w:top w:w="60" w:type="dxa"/>
              <w:left w:w="120" w:type="dxa"/>
              <w:bottom w:w="30" w:type="dxa"/>
              <w:right w:w="120" w:type="dxa"/>
            </w:tcMar>
            <w:vAlign w:val="center"/>
          </w:tcPr>
          <w:p w14:paraId="7495CC84">
            <w:pPr>
              <w:pStyle w:val="99"/>
              <w:framePr w:wrap="around"/>
              <w:bidi w:val="0"/>
            </w:pPr>
            <w:r>
              <w:rPr>
                <w:rFonts w:hint="eastAsia"/>
                <w:lang w:val="en-US" w:eastAsia="zh-CN"/>
              </w:rPr>
              <w:t>2030</w:t>
            </w:r>
          </w:p>
        </w:tc>
        <w:tc>
          <w:tcPr>
            <w:tcW w:w="1322" w:type="dxa"/>
            <w:tcMar>
              <w:top w:w="60" w:type="dxa"/>
              <w:left w:w="120" w:type="dxa"/>
              <w:bottom w:w="30" w:type="dxa"/>
              <w:right w:w="120" w:type="dxa"/>
            </w:tcMar>
            <w:vAlign w:val="center"/>
          </w:tcPr>
          <w:p w14:paraId="4ECC6804">
            <w:pPr>
              <w:pStyle w:val="99"/>
              <w:framePr w:wrap="around"/>
              <w:bidi w:val="0"/>
            </w:pPr>
            <w:r>
              <w:rPr>
                <w:rFonts w:hint="eastAsia"/>
                <w:lang w:val="en-US" w:eastAsia="zh-CN"/>
              </w:rPr>
              <w:t>7.50%</w:t>
            </w:r>
          </w:p>
        </w:tc>
        <w:tc>
          <w:tcPr>
            <w:tcW w:w="1284" w:type="dxa"/>
            <w:tcMar>
              <w:top w:w="60" w:type="dxa"/>
              <w:left w:w="120" w:type="dxa"/>
              <w:bottom w:w="30" w:type="dxa"/>
              <w:right w:w="120" w:type="dxa"/>
            </w:tcMar>
            <w:vAlign w:val="center"/>
          </w:tcPr>
          <w:p w14:paraId="66CBCB2B">
            <w:pPr>
              <w:pStyle w:val="99"/>
              <w:framePr w:wrap="around"/>
              <w:bidi w:val="0"/>
            </w:pPr>
            <w:r>
              <w:rPr>
                <w:rFonts w:hint="eastAsia"/>
                <w:lang w:val="en-US" w:eastAsia="zh-CN"/>
              </w:rPr>
              <w:t>19.50%</w:t>
            </w:r>
          </w:p>
        </w:tc>
        <w:tc>
          <w:tcPr>
            <w:tcW w:w="1226" w:type="dxa"/>
            <w:tcMar>
              <w:top w:w="60" w:type="dxa"/>
              <w:left w:w="120" w:type="dxa"/>
              <w:bottom w:w="30" w:type="dxa"/>
              <w:right w:w="120" w:type="dxa"/>
            </w:tcMar>
            <w:vAlign w:val="center"/>
          </w:tcPr>
          <w:p w14:paraId="052744D1">
            <w:pPr>
              <w:pStyle w:val="99"/>
              <w:framePr w:wrap="around"/>
              <w:bidi w:val="0"/>
            </w:pPr>
            <w:r>
              <w:rPr>
                <w:rFonts w:hint="eastAsia"/>
                <w:lang w:val="en-US" w:eastAsia="zh-CN"/>
              </w:rPr>
              <w:t>9000</w:t>
            </w:r>
          </w:p>
        </w:tc>
        <w:tc>
          <w:tcPr>
            <w:tcW w:w="1164" w:type="dxa"/>
            <w:tcMar>
              <w:top w:w="60" w:type="dxa"/>
              <w:left w:w="120" w:type="dxa"/>
              <w:bottom w:w="30" w:type="dxa"/>
              <w:right w:w="120" w:type="dxa"/>
            </w:tcMar>
            <w:vAlign w:val="center"/>
          </w:tcPr>
          <w:p w14:paraId="47D17DD4">
            <w:pPr>
              <w:pStyle w:val="99"/>
              <w:framePr w:wrap="around"/>
              <w:bidi w:val="0"/>
            </w:pPr>
            <w:r>
              <w:rPr>
                <w:rFonts w:hint="eastAsia"/>
                <w:lang w:val="en-US" w:eastAsia="zh-CN"/>
              </w:rPr>
              <w:t>1755</w:t>
            </w:r>
          </w:p>
        </w:tc>
        <w:tc>
          <w:tcPr>
            <w:tcW w:w="1170" w:type="dxa"/>
            <w:tcMar>
              <w:top w:w="60" w:type="dxa"/>
              <w:left w:w="120" w:type="dxa"/>
              <w:bottom w:w="30" w:type="dxa"/>
              <w:right w:w="120" w:type="dxa"/>
            </w:tcMar>
            <w:vAlign w:val="center"/>
          </w:tcPr>
          <w:p w14:paraId="4C186E78">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798172E9">
            <w:pPr>
              <w:pStyle w:val="99"/>
              <w:framePr w:wrap="around"/>
              <w:bidi w:val="0"/>
            </w:pPr>
            <w:r>
              <w:rPr>
                <w:rFonts w:hint="eastAsia"/>
                <w:lang w:val="en-US" w:eastAsia="zh-CN"/>
              </w:rPr>
              <w:t>702</w:t>
            </w:r>
          </w:p>
        </w:tc>
      </w:tr>
      <w:tr w14:paraId="2ED6E4C3">
        <w:tc>
          <w:tcPr>
            <w:tcW w:w="1116" w:type="dxa"/>
            <w:tcMar>
              <w:top w:w="60" w:type="dxa"/>
              <w:left w:w="120" w:type="dxa"/>
              <w:bottom w:w="30" w:type="dxa"/>
              <w:right w:w="120" w:type="dxa"/>
            </w:tcMar>
            <w:vAlign w:val="center"/>
          </w:tcPr>
          <w:p w14:paraId="0F8574BC">
            <w:pPr>
              <w:pStyle w:val="99"/>
              <w:framePr w:wrap="around"/>
              <w:bidi w:val="0"/>
            </w:pPr>
            <w:r>
              <w:rPr>
                <w:rFonts w:hint="eastAsia"/>
                <w:lang w:val="en-US" w:eastAsia="zh-CN"/>
              </w:rPr>
              <w:t>2031</w:t>
            </w:r>
          </w:p>
        </w:tc>
        <w:tc>
          <w:tcPr>
            <w:tcW w:w="1322" w:type="dxa"/>
            <w:tcMar>
              <w:top w:w="60" w:type="dxa"/>
              <w:left w:w="120" w:type="dxa"/>
              <w:bottom w:w="30" w:type="dxa"/>
              <w:right w:w="120" w:type="dxa"/>
            </w:tcMar>
            <w:vAlign w:val="center"/>
          </w:tcPr>
          <w:p w14:paraId="1763F488">
            <w:pPr>
              <w:pStyle w:val="99"/>
              <w:framePr w:wrap="around"/>
              <w:bidi w:val="0"/>
            </w:pPr>
            <w:r>
              <w:rPr>
                <w:rFonts w:hint="eastAsia"/>
                <w:lang w:val="en-US" w:eastAsia="zh-CN"/>
              </w:rPr>
              <w:t>9.30%</w:t>
            </w:r>
          </w:p>
        </w:tc>
        <w:tc>
          <w:tcPr>
            <w:tcW w:w="1284" w:type="dxa"/>
            <w:tcMar>
              <w:top w:w="60" w:type="dxa"/>
              <w:left w:w="120" w:type="dxa"/>
              <w:bottom w:w="30" w:type="dxa"/>
              <w:right w:w="120" w:type="dxa"/>
            </w:tcMar>
            <w:vAlign w:val="center"/>
          </w:tcPr>
          <w:p w14:paraId="502BD43C">
            <w:pPr>
              <w:pStyle w:val="99"/>
              <w:framePr w:wrap="around"/>
              <w:bidi w:val="0"/>
            </w:pPr>
            <w:r>
              <w:rPr>
                <w:rFonts w:hint="eastAsia"/>
                <w:lang w:val="en-US" w:eastAsia="zh-CN"/>
              </w:rPr>
              <w:t>22.00%</w:t>
            </w:r>
          </w:p>
        </w:tc>
        <w:tc>
          <w:tcPr>
            <w:tcW w:w="1226" w:type="dxa"/>
            <w:tcMar>
              <w:top w:w="60" w:type="dxa"/>
              <w:left w:w="120" w:type="dxa"/>
              <w:bottom w:w="30" w:type="dxa"/>
              <w:right w:w="120" w:type="dxa"/>
            </w:tcMar>
            <w:vAlign w:val="center"/>
          </w:tcPr>
          <w:p w14:paraId="2ED067E4">
            <w:pPr>
              <w:pStyle w:val="99"/>
              <w:framePr w:wrap="around"/>
              <w:bidi w:val="0"/>
            </w:pPr>
            <w:r>
              <w:rPr>
                <w:rFonts w:hint="eastAsia"/>
                <w:lang w:val="en-US" w:eastAsia="zh-CN"/>
              </w:rPr>
              <w:t>11160</w:t>
            </w:r>
          </w:p>
        </w:tc>
        <w:tc>
          <w:tcPr>
            <w:tcW w:w="1164" w:type="dxa"/>
            <w:tcMar>
              <w:top w:w="60" w:type="dxa"/>
              <w:left w:w="120" w:type="dxa"/>
              <w:bottom w:w="30" w:type="dxa"/>
              <w:right w:w="120" w:type="dxa"/>
            </w:tcMar>
            <w:vAlign w:val="center"/>
          </w:tcPr>
          <w:p w14:paraId="32CCA8A1">
            <w:pPr>
              <w:pStyle w:val="99"/>
              <w:framePr w:wrap="around"/>
              <w:bidi w:val="0"/>
            </w:pPr>
            <w:r>
              <w:rPr>
                <w:rFonts w:hint="eastAsia"/>
                <w:lang w:val="en-US" w:eastAsia="zh-CN"/>
              </w:rPr>
              <w:t>2455</w:t>
            </w:r>
          </w:p>
        </w:tc>
        <w:tc>
          <w:tcPr>
            <w:tcW w:w="1170" w:type="dxa"/>
            <w:tcMar>
              <w:top w:w="60" w:type="dxa"/>
              <w:left w:w="120" w:type="dxa"/>
              <w:bottom w:w="30" w:type="dxa"/>
              <w:right w:w="120" w:type="dxa"/>
            </w:tcMar>
            <w:vAlign w:val="center"/>
          </w:tcPr>
          <w:p w14:paraId="743ED3C3">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1ECCBDD2">
            <w:pPr>
              <w:pStyle w:val="99"/>
              <w:framePr w:wrap="around"/>
              <w:bidi w:val="0"/>
            </w:pPr>
            <w:r>
              <w:rPr>
                <w:rFonts w:hint="eastAsia"/>
                <w:lang w:val="en-US" w:eastAsia="zh-CN"/>
              </w:rPr>
              <w:t>982</w:t>
            </w:r>
          </w:p>
        </w:tc>
      </w:tr>
      <w:tr w14:paraId="3CA99BD9">
        <w:tc>
          <w:tcPr>
            <w:tcW w:w="1116" w:type="dxa"/>
            <w:tcMar>
              <w:top w:w="60" w:type="dxa"/>
              <w:left w:w="120" w:type="dxa"/>
              <w:bottom w:w="30" w:type="dxa"/>
              <w:right w:w="120" w:type="dxa"/>
            </w:tcMar>
            <w:vAlign w:val="center"/>
          </w:tcPr>
          <w:p w14:paraId="2C51F355">
            <w:pPr>
              <w:pStyle w:val="99"/>
              <w:framePr w:wrap="around"/>
              <w:bidi w:val="0"/>
            </w:pPr>
            <w:r>
              <w:rPr>
                <w:rFonts w:hint="eastAsia"/>
                <w:lang w:val="en-US" w:eastAsia="zh-CN"/>
              </w:rPr>
              <w:t>2032</w:t>
            </w:r>
          </w:p>
        </w:tc>
        <w:tc>
          <w:tcPr>
            <w:tcW w:w="1322" w:type="dxa"/>
            <w:tcMar>
              <w:top w:w="60" w:type="dxa"/>
              <w:left w:w="120" w:type="dxa"/>
              <w:bottom w:w="30" w:type="dxa"/>
              <w:right w:w="120" w:type="dxa"/>
            </w:tcMar>
            <w:vAlign w:val="center"/>
          </w:tcPr>
          <w:p w14:paraId="1FF391A6">
            <w:pPr>
              <w:pStyle w:val="99"/>
              <w:framePr w:wrap="around"/>
              <w:bidi w:val="0"/>
            </w:pPr>
            <w:r>
              <w:rPr>
                <w:rFonts w:hint="eastAsia"/>
                <w:lang w:val="en-US" w:eastAsia="zh-CN"/>
              </w:rPr>
              <w:t>12.20%</w:t>
            </w:r>
          </w:p>
        </w:tc>
        <w:tc>
          <w:tcPr>
            <w:tcW w:w="1284" w:type="dxa"/>
            <w:tcMar>
              <w:top w:w="60" w:type="dxa"/>
              <w:left w:w="120" w:type="dxa"/>
              <w:bottom w:w="30" w:type="dxa"/>
              <w:right w:w="120" w:type="dxa"/>
            </w:tcMar>
            <w:vAlign w:val="center"/>
          </w:tcPr>
          <w:p w14:paraId="171C107B">
            <w:pPr>
              <w:pStyle w:val="99"/>
              <w:framePr w:wrap="around"/>
              <w:bidi w:val="0"/>
            </w:pPr>
            <w:r>
              <w:rPr>
                <w:rFonts w:hint="eastAsia"/>
                <w:lang w:val="en-US" w:eastAsia="zh-CN"/>
              </w:rPr>
              <w:t>27.00%</w:t>
            </w:r>
          </w:p>
        </w:tc>
        <w:tc>
          <w:tcPr>
            <w:tcW w:w="1226" w:type="dxa"/>
            <w:tcMar>
              <w:top w:w="60" w:type="dxa"/>
              <w:left w:w="120" w:type="dxa"/>
              <w:bottom w:w="30" w:type="dxa"/>
              <w:right w:w="120" w:type="dxa"/>
            </w:tcMar>
            <w:vAlign w:val="center"/>
          </w:tcPr>
          <w:p w14:paraId="1E179AFC">
            <w:pPr>
              <w:pStyle w:val="99"/>
              <w:framePr w:wrap="around"/>
              <w:bidi w:val="0"/>
            </w:pPr>
            <w:r>
              <w:rPr>
                <w:rFonts w:hint="eastAsia"/>
                <w:lang w:val="en-US" w:eastAsia="zh-CN"/>
              </w:rPr>
              <w:t>14640</w:t>
            </w:r>
          </w:p>
        </w:tc>
        <w:tc>
          <w:tcPr>
            <w:tcW w:w="1164" w:type="dxa"/>
            <w:tcMar>
              <w:top w:w="60" w:type="dxa"/>
              <w:left w:w="120" w:type="dxa"/>
              <w:bottom w:w="30" w:type="dxa"/>
              <w:right w:w="120" w:type="dxa"/>
            </w:tcMar>
            <w:vAlign w:val="center"/>
          </w:tcPr>
          <w:p w14:paraId="10A105D3">
            <w:pPr>
              <w:pStyle w:val="99"/>
              <w:framePr w:wrap="around"/>
              <w:bidi w:val="0"/>
            </w:pPr>
            <w:r>
              <w:rPr>
                <w:rFonts w:hint="eastAsia"/>
                <w:lang w:val="en-US" w:eastAsia="zh-CN"/>
              </w:rPr>
              <w:t>3953</w:t>
            </w:r>
          </w:p>
        </w:tc>
        <w:tc>
          <w:tcPr>
            <w:tcW w:w="1170" w:type="dxa"/>
            <w:tcMar>
              <w:top w:w="60" w:type="dxa"/>
              <w:left w:w="120" w:type="dxa"/>
              <w:bottom w:w="30" w:type="dxa"/>
              <w:right w:w="120" w:type="dxa"/>
            </w:tcMar>
            <w:vAlign w:val="center"/>
          </w:tcPr>
          <w:p w14:paraId="2067B138">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7A7E6546">
            <w:pPr>
              <w:pStyle w:val="99"/>
              <w:framePr w:wrap="around"/>
              <w:bidi w:val="0"/>
            </w:pPr>
            <w:r>
              <w:rPr>
                <w:rFonts w:hint="eastAsia"/>
                <w:lang w:val="en-US" w:eastAsia="zh-CN"/>
              </w:rPr>
              <w:t>1581.2</w:t>
            </w:r>
          </w:p>
        </w:tc>
      </w:tr>
      <w:tr w14:paraId="5DEC4589">
        <w:tc>
          <w:tcPr>
            <w:tcW w:w="1116" w:type="dxa"/>
            <w:tcMar>
              <w:top w:w="60" w:type="dxa"/>
              <w:left w:w="120" w:type="dxa"/>
              <w:bottom w:w="30" w:type="dxa"/>
              <w:right w:w="120" w:type="dxa"/>
            </w:tcMar>
            <w:vAlign w:val="center"/>
          </w:tcPr>
          <w:p w14:paraId="20577B04">
            <w:pPr>
              <w:pStyle w:val="99"/>
              <w:framePr w:wrap="around"/>
              <w:bidi w:val="0"/>
            </w:pPr>
            <w:r>
              <w:rPr>
                <w:rFonts w:hint="eastAsia"/>
                <w:lang w:val="en-US" w:eastAsia="zh-CN"/>
              </w:rPr>
              <w:t>2033</w:t>
            </w:r>
          </w:p>
        </w:tc>
        <w:tc>
          <w:tcPr>
            <w:tcW w:w="1322" w:type="dxa"/>
            <w:tcMar>
              <w:top w:w="60" w:type="dxa"/>
              <w:left w:w="120" w:type="dxa"/>
              <w:bottom w:w="30" w:type="dxa"/>
              <w:right w:w="120" w:type="dxa"/>
            </w:tcMar>
            <w:vAlign w:val="center"/>
          </w:tcPr>
          <w:p w14:paraId="0699842D">
            <w:pPr>
              <w:pStyle w:val="99"/>
              <w:framePr w:wrap="around"/>
              <w:bidi w:val="0"/>
            </w:pPr>
            <w:r>
              <w:rPr>
                <w:rFonts w:hint="eastAsia"/>
                <w:lang w:val="en-US" w:eastAsia="zh-CN"/>
              </w:rPr>
              <w:t>12.20%</w:t>
            </w:r>
          </w:p>
        </w:tc>
        <w:tc>
          <w:tcPr>
            <w:tcW w:w="1284" w:type="dxa"/>
            <w:tcMar>
              <w:top w:w="60" w:type="dxa"/>
              <w:left w:w="120" w:type="dxa"/>
              <w:bottom w:w="30" w:type="dxa"/>
              <w:right w:w="120" w:type="dxa"/>
            </w:tcMar>
            <w:vAlign w:val="center"/>
          </w:tcPr>
          <w:p w14:paraId="6E7373BF">
            <w:pPr>
              <w:pStyle w:val="99"/>
              <w:framePr w:wrap="around"/>
              <w:bidi w:val="0"/>
            </w:pPr>
            <w:r>
              <w:rPr>
                <w:rFonts w:hint="eastAsia"/>
                <w:lang w:val="en-US" w:eastAsia="zh-CN"/>
              </w:rPr>
              <w:t>26.60%</w:t>
            </w:r>
          </w:p>
        </w:tc>
        <w:tc>
          <w:tcPr>
            <w:tcW w:w="1226" w:type="dxa"/>
            <w:tcMar>
              <w:top w:w="60" w:type="dxa"/>
              <w:left w:w="120" w:type="dxa"/>
              <w:bottom w:w="30" w:type="dxa"/>
              <w:right w:w="120" w:type="dxa"/>
            </w:tcMar>
            <w:vAlign w:val="center"/>
          </w:tcPr>
          <w:p w14:paraId="42D1632D">
            <w:pPr>
              <w:pStyle w:val="99"/>
              <w:framePr w:wrap="around"/>
              <w:bidi w:val="0"/>
            </w:pPr>
            <w:r>
              <w:rPr>
                <w:rFonts w:hint="eastAsia"/>
                <w:lang w:val="en-US" w:eastAsia="zh-CN"/>
              </w:rPr>
              <w:t>14640</w:t>
            </w:r>
          </w:p>
        </w:tc>
        <w:tc>
          <w:tcPr>
            <w:tcW w:w="1164" w:type="dxa"/>
            <w:tcMar>
              <w:top w:w="60" w:type="dxa"/>
              <w:left w:w="120" w:type="dxa"/>
              <w:bottom w:w="30" w:type="dxa"/>
              <w:right w:w="120" w:type="dxa"/>
            </w:tcMar>
            <w:vAlign w:val="center"/>
          </w:tcPr>
          <w:p w14:paraId="27B64344">
            <w:pPr>
              <w:pStyle w:val="99"/>
              <w:framePr w:wrap="around"/>
              <w:bidi w:val="0"/>
            </w:pPr>
            <w:r>
              <w:rPr>
                <w:rFonts w:hint="eastAsia"/>
                <w:lang w:val="en-US" w:eastAsia="zh-CN"/>
              </w:rPr>
              <w:t>3893</w:t>
            </w:r>
          </w:p>
        </w:tc>
        <w:tc>
          <w:tcPr>
            <w:tcW w:w="1170" w:type="dxa"/>
            <w:tcMar>
              <w:top w:w="60" w:type="dxa"/>
              <w:left w:w="120" w:type="dxa"/>
              <w:bottom w:w="30" w:type="dxa"/>
              <w:right w:w="120" w:type="dxa"/>
            </w:tcMar>
            <w:vAlign w:val="center"/>
          </w:tcPr>
          <w:p w14:paraId="7F187CEE">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33B33972">
            <w:pPr>
              <w:pStyle w:val="99"/>
              <w:framePr w:wrap="around"/>
              <w:bidi w:val="0"/>
            </w:pPr>
            <w:r>
              <w:rPr>
                <w:rFonts w:hint="eastAsia"/>
                <w:lang w:val="en-US" w:eastAsia="zh-CN"/>
              </w:rPr>
              <w:t>1557.48</w:t>
            </w:r>
          </w:p>
        </w:tc>
      </w:tr>
      <w:tr w14:paraId="252DB2BE">
        <w:tc>
          <w:tcPr>
            <w:tcW w:w="1116" w:type="dxa"/>
            <w:tcMar>
              <w:top w:w="60" w:type="dxa"/>
              <w:left w:w="120" w:type="dxa"/>
              <w:bottom w:w="30" w:type="dxa"/>
              <w:right w:w="120" w:type="dxa"/>
            </w:tcMar>
            <w:vAlign w:val="center"/>
          </w:tcPr>
          <w:p w14:paraId="31ED0187">
            <w:pPr>
              <w:pStyle w:val="99"/>
              <w:framePr w:wrap="around"/>
              <w:bidi w:val="0"/>
            </w:pPr>
            <w:r>
              <w:rPr>
                <w:rFonts w:hint="eastAsia"/>
                <w:lang w:val="en-US" w:eastAsia="zh-CN"/>
              </w:rPr>
              <w:t>2034</w:t>
            </w:r>
          </w:p>
        </w:tc>
        <w:tc>
          <w:tcPr>
            <w:tcW w:w="1322" w:type="dxa"/>
            <w:tcMar>
              <w:top w:w="60" w:type="dxa"/>
              <w:left w:w="120" w:type="dxa"/>
              <w:bottom w:w="30" w:type="dxa"/>
              <w:right w:w="120" w:type="dxa"/>
            </w:tcMar>
            <w:vAlign w:val="center"/>
          </w:tcPr>
          <w:p w14:paraId="4AF6291A">
            <w:pPr>
              <w:pStyle w:val="99"/>
              <w:framePr w:wrap="around"/>
              <w:bidi w:val="0"/>
            </w:pPr>
            <w:r>
              <w:rPr>
                <w:rFonts w:hint="eastAsia"/>
                <w:lang w:val="en-US" w:eastAsia="zh-CN"/>
              </w:rPr>
              <w:t>12.20%</w:t>
            </w:r>
          </w:p>
        </w:tc>
        <w:tc>
          <w:tcPr>
            <w:tcW w:w="1284" w:type="dxa"/>
            <w:tcMar>
              <w:top w:w="60" w:type="dxa"/>
              <w:left w:w="120" w:type="dxa"/>
              <w:bottom w:w="30" w:type="dxa"/>
              <w:right w:w="120" w:type="dxa"/>
            </w:tcMar>
            <w:vAlign w:val="center"/>
          </w:tcPr>
          <w:p w14:paraId="23C5F97C">
            <w:pPr>
              <w:pStyle w:val="99"/>
              <w:framePr w:wrap="around"/>
              <w:bidi w:val="0"/>
            </w:pPr>
            <w:r>
              <w:rPr>
                <w:rFonts w:hint="eastAsia"/>
                <w:lang w:val="en-US" w:eastAsia="zh-CN"/>
              </w:rPr>
              <w:t>26.33%</w:t>
            </w:r>
          </w:p>
        </w:tc>
        <w:tc>
          <w:tcPr>
            <w:tcW w:w="1226" w:type="dxa"/>
            <w:tcMar>
              <w:top w:w="60" w:type="dxa"/>
              <w:left w:w="120" w:type="dxa"/>
              <w:bottom w:w="30" w:type="dxa"/>
              <w:right w:w="120" w:type="dxa"/>
            </w:tcMar>
            <w:vAlign w:val="center"/>
          </w:tcPr>
          <w:p w14:paraId="0A19F79E">
            <w:pPr>
              <w:pStyle w:val="99"/>
              <w:framePr w:wrap="around"/>
              <w:bidi w:val="0"/>
            </w:pPr>
            <w:r>
              <w:rPr>
                <w:rFonts w:hint="eastAsia"/>
                <w:lang w:val="en-US" w:eastAsia="zh-CN"/>
              </w:rPr>
              <w:t>14640</w:t>
            </w:r>
          </w:p>
        </w:tc>
        <w:tc>
          <w:tcPr>
            <w:tcW w:w="1164" w:type="dxa"/>
            <w:tcMar>
              <w:top w:w="60" w:type="dxa"/>
              <w:left w:w="120" w:type="dxa"/>
              <w:bottom w:w="30" w:type="dxa"/>
              <w:right w:w="120" w:type="dxa"/>
            </w:tcMar>
            <w:vAlign w:val="center"/>
          </w:tcPr>
          <w:p w14:paraId="0ABDA3F3">
            <w:pPr>
              <w:pStyle w:val="99"/>
              <w:framePr w:wrap="around"/>
              <w:bidi w:val="0"/>
            </w:pPr>
            <w:r>
              <w:rPr>
                <w:rFonts w:hint="eastAsia"/>
                <w:lang w:val="en-US" w:eastAsia="zh-CN"/>
              </w:rPr>
              <w:t>3854</w:t>
            </w:r>
          </w:p>
        </w:tc>
        <w:tc>
          <w:tcPr>
            <w:tcW w:w="1170" w:type="dxa"/>
            <w:tcMar>
              <w:top w:w="60" w:type="dxa"/>
              <w:left w:w="120" w:type="dxa"/>
              <w:bottom w:w="30" w:type="dxa"/>
              <w:right w:w="120" w:type="dxa"/>
            </w:tcMar>
            <w:vAlign w:val="center"/>
          </w:tcPr>
          <w:p w14:paraId="72DE5051">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594C44FB">
            <w:pPr>
              <w:pStyle w:val="99"/>
              <w:framePr w:wrap="around"/>
              <w:bidi w:val="0"/>
            </w:pPr>
            <w:r>
              <w:rPr>
                <w:rFonts w:hint="eastAsia"/>
                <w:lang w:val="en-US" w:eastAsia="zh-CN"/>
              </w:rPr>
              <w:t>1541.67</w:t>
            </w:r>
          </w:p>
        </w:tc>
      </w:tr>
      <w:tr w14:paraId="36C66E64">
        <w:tc>
          <w:tcPr>
            <w:tcW w:w="1116" w:type="dxa"/>
            <w:tcMar>
              <w:top w:w="60" w:type="dxa"/>
              <w:left w:w="120" w:type="dxa"/>
              <w:bottom w:w="30" w:type="dxa"/>
              <w:right w:w="120" w:type="dxa"/>
            </w:tcMar>
            <w:vAlign w:val="center"/>
          </w:tcPr>
          <w:p w14:paraId="2C0CD3CE">
            <w:pPr>
              <w:pStyle w:val="99"/>
              <w:framePr w:wrap="around"/>
              <w:bidi w:val="0"/>
            </w:pPr>
            <w:r>
              <w:rPr>
                <w:rFonts w:hint="eastAsia"/>
                <w:lang w:val="en-US" w:eastAsia="zh-CN"/>
              </w:rPr>
              <w:t>2035</w:t>
            </w:r>
          </w:p>
        </w:tc>
        <w:tc>
          <w:tcPr>
            <w:tcW w:w="1322" w:type="dxa"/>
            <w:tcMar>
              <w:top w:w="60" w:type="dxa"/>
              <w:left w:w="120" w:type="dxa"/>
              <w:bottom w:w="30" w:type="dxa"/>
              <w:right w:w="120" w:type="dxa"/>
            </w:tcMar>
            <w:vAlign w:val="center"/>
          </w:tcPr>
          <w:p w14:paraId="3D7061B7">
            <w:pPr>
              <w:pStyle w:val="99"/>
              <w:framePr w:wrap="around"/>
              <w:bidi w:val="0"/>
            </w:pPr>
            <w:r>
              <w:rPr>
                <w:rFonts w:hint="eastAsia"/>
                <w:lang w:val="en-US" w:eastAsia="zh-CN"/>
              </w:rPr>
              <w:t>12.20%</w:t>
            </w:r>
          </w:p>
        </w:tc>
        <w:tc>
          <w:tcPr>
            <w:tcW w:w="1284" w:type="dxa"/>
            <w:tcMar>
              <w:top w:w="60" w:type="dxa"/>
              <w:left w:w="120" w:type="dxa"/>
              <w:bottom w:w="30" w:type="dxa"/>
              <w:right w:w="120" w:type="dxa"/>
            </w:tcMar>
            <w:vAlign w:val="center"/>
          </w:tcPr>
          <w:p w14:paraId="5A1E9F46">
            <w:pPr>
              <w:pStyle w:val="99"/>
              <w:framePr w:wrap="around"/>
              <w:bidi w:val="0"/>
            </w:pPr>
            <w:r>
              <w:rPr>
                <w:rFonts w:hint="eastAsia"/>
                <w:lang w:val="en-US" w:eastAsia="zh-CN"/>
              </w:rPr>
              <w:t>26.07%</w:t>
            </w:r>
          </w:p>
        </w:tc>
        <w:tc>
          <w:tcPr>
            <w:tcW w:w="1226" w:type="dxa"/>
            <w:tcMar>
              <w:top w:w="60" w:type="dxa"/>
              <w:left w:w="120" w:type="dxa"/>
              <w:bottom w:w="30" w:type="dxa"/>
              <w:right w:w="120" w:type="dxa"/>
            </w:tcMar>
            <w:vAlign w:val="center"/>
          </w:tcPr>
          <w:p w14:paraId="1C122E9E">
            <w:pPr>
              <w:pStyle w:val="99"/>
              <w:framePr w:wrap="around"/>
              <w:bidi w:val="0"/>
            </w:pPr>
            <w:r>
              <w:rPr>
                <w:rFonts w:hint="eastAsia"/>
                <w:lang w:val="en-US" w:eastAsia="zh-CN"/>
              </w:rPr>
              <w:t>14640</w:t>
            </w:r>
          </w:p>
        </w:tc>
        <w:tc>
          <w:tcPr>
            <w:tcW w:w="1164" w:type="dxa"/>
            <w:tcMar>
              <w:top w:w="60" w:type="dxa"/>
              <w:left w:w="120" w:type="dxa"/>
              <w:bottom w:w="30" w:type="dxa"/>
              <w:right w:w="120" w:type="dxa"/>
            </w:tcMar>
            <w:vAlign w:val="center"/>
          </w:tcPr>
          <w:p w14:paraId="2A1E14CA">
            <w:pPr>
              <w:pStyle w:val="99"/>
              <w:framePr w:wrap="around"/>
              <w:bidi w:val="0"/>
            </w:pPr>
            <w:r>
              <w:rPr>
                <w:rFonts w:hint="eastAsia"/>
                <w:lang w:val="en-US" w:eastAsia="zh-CN"/>
              </w:rPr>
              <w:t>3815</w:t>
            </w:r>
          </w:p>
        </w:tc>
        <w:tc>
          <w:tcPr>
            <w:tcW w:w="1170" w:type="dxa"/>
            <w:tcMar>
              <w:top w:w="60" w:type="dxa"/>
              <w:left w:w="120" w:type="dxa"/>
              <w:bottom w:w="30" w:type="dxa"/>
              <w:right w:w="120" w:type="dxa"/>
            </w:tcMar>
            <w:vAlign w:val="center"/>
          </w:tcPr>
          <w:p w14:paraId="0F91AF9A">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3DE2A388">
            <w:pPr>
              <w:pStyle w:val="99"/>
              <w:framePr w:wrap="around"/>
              <w:bidi w:val="0"/>
            </w:pPr>
            <w:r>
              <w:rPr>
                <w:rFonts w:hint="eastAsia"/>
                <w:lang w:val="en-US" w:eastAsia="zh-CN"/>
              </w:rPr>
              <w:t>1525.86</w:t>
            </w:r>
          </w:p>
        </w:tc>
      </w:tr>
      <w:tr w14:paraId="6F61C9C9">
        <w:tc>
          <w:tcPr>
            <w:tcW w:w="1116" w:type="dxa"/>
            <w:tcMar>
              <w:top w:w="60" w:type="dxa"/>
              <w:left w:w="120" w:type="dxa"/>
              <w:bottom w:w="30" w:type="dxa"/>
              <w:right w:w="120" w:type="dxa"/>
            </w:tcMar>
            <w:vAlign w:val="center"/>
          </w:tcPr>
          <w:p w14:paraId="152766AF">
            <w:pPr>
              <w:pStyle w:val="99"/>
              <w:framePr w:wrap="around"/>
              <w:bidi w:val="0"/>
            </w:pPr>
            <w:r>
              <w:rPr>
                <w:rFonts w:hint="eastAsia"/>
                <w:lang w:val="en-US" w:eastAsia="zh-CN"/>
              </w:rPr>
              <w:t>2036</w:t>
            </w:r>
          </w:p>
        </w:tc>
        <w:tc>
          <w:tcPr>
            <w:tcW w:w="1322" w:type="dxa"/>
            <w:tcMar>
              <w:top w:w="60" w:type="dxa"/>
              <w:left w:w="120" w:type="dxa"/>
              <w:bottom w:w="30" w:type="dxa"/>
              <w:right w:w="120" w:type="dxa"/>
            </w:tcMar>
            <w:vAlign w:val="center"/>
          </w:tcPr>
          <w:p w14:paraId="5A23EB2B">
            <w:pPr>
              <w:pStyle w:val="99"/>
              <w:framePr w:wrap="around"/>
              <w:bidi w:val="0"/>
            </w:pPr>
            <w:r>
              <w:rPr>
                <w:rFonts w:hint="eastAsia"/>
                <w:lang w:val="en-US" w:eastAsia="zh-CN"/>
              </w:rPr>
              <w:t>12.20%</w:t>
            </w:r>
          </w:p>
        </w:tc>
        <w:tc>
          <w:tcPr>
            <w:tcW w:w="1284" w:type="dxa"/>
            <w:tcMar>
              <w:top w:w="60" w:type="dxa"/>
              <w:left w:w="120" w:type="dxa"/>
              <w:bottom w:w="30" w:type="dxa"/>
              <w:right w:w="120" w:type="dxa"/>
            </w:tcMar>
            <w:vAlign w:val="center"/>
          </w:tcPr>
          <w:p w14:paraId="067BFAF3">
            <w:pPr>
              <w:pStyle w:val="99"/>
              <w:framePr w:wrap="around"/>
              <w:bidi w:val="0"/>
            </w:pPr>
            <w:r>
              <w:rPr>
                <w:rFonts w:hint="eastAsia"/>
                <w:lang w:val="en-US" w:eastAsia="zh-CN"/>
              </w:rPr>
              <w:t>25.81%</w:t>
            </w:r>
          </w:p>
        </w:tc>
        <w:tc>
          <w:tcPr>
            <w:tcW w:w="1226" w:type="dxa"/>
            <w:tcMar>
              <w:top w:w="60" w:type="dxa"/>
              <w:left w:w="120" w:type="dxa"/>
              <w:bottom w:w="30" w:type="dxa"/>
              <w:right w:w="120" w:type="dxa"/>
            </w:tcMar>
            <w:vAlign w:val="center"/>
          </w:tcPr>
          <w:p w14:paraId="4948C679">
            <w:pPr>
              <w:pStyle w:val="99"/>
              <w:framePr w:wrap="around"/>
              <w:bidi w:val="0"/>
            </w:pPr>
            <w:r>
              <w:rPr>
                <w:rFonts w:hint="eastAsia"/>
                <w:lang w:val="en-US" w:eastAsia="zh-CN"/>
              </w:rPr>
              <w:t>14640</w:t>
            </w:r>
          </w:p>
        </w:tc>
        <w:tc>
          <w:tcPr>
            <w:tcW w:w="1164" w:type="dxa"/>
            <w:tcMar>
              <w:top w:w="60" w:type="dxa"/>
              <w:left w:w="120" w:type="dxa"/>
              <w:bottom w:w="30" w:type="dxa"/>
              <w:right w:w="120" w:type="dxa"/>
            </w:tcMar>
            <w:vAlign w:val="center"/>
          </w:tcPr>
          <w:p w14:paraId="04CB5362">
            <w:pPr>
              <w:pStyle w:val="99"/>
              <w:framePr w:wrap="around"/>
              <w:bidi w:val="0"/>
            </w:pPr>
            <w:r>
              <w:rPr>
                <w:rFonts w:hint="eastAsia"/>
                <w:lang w:val="en-US" w:eastAsia="zh-CN"/>
              </w:rPr>
              <w:t>3775</w:t>
            </w:r>
          </w:p>
        </w:tc>
        <w:tc>
          <w:tcPr>
            <w:tcW w:w="1170" w:type="dxa"/>
            <w:tcMar>
              <w:top w:w="60" w:type="dxa"/>
              <w:left w:w="120" w:type="dxa"/>
              <w:bottom w:w="30" w:type="dxa"/>
              <w:right w:w="120" w:type="dxa"/>
            </w:tcMar>
            <w:vAlign w:val="center"/>
          </w:tcPr>
          <w:p w14:paraId="366D69CC">
            <w:pPr>
              <w:pStyle w:val="99"/>
              <w:framePr w:wrap="around"/>
              <w:bidi w:val="0"/>
            </w:pPr>
            <w:r>
              <w:rPr>
                <w:rFonts w:hint="eastAsia"/>
                <w:lang w:val="en-US" w:eastAsia="zh-CN"/>
              </w:rPr>
              <w:t>0.4</w:t>
            </w:r>
          </w:p>
        </w:tc>
        <w:tc>
          <w:tcPr>
            <w:tcW w:w="1270" w:type="dxa"/>
            <w:tcMar>
              <w:top w:w="60" w:type="dxa"/>
              <w:left w:w="120" w:type="dxa"/>
              <w:bottom w:w="30" w:type="dxa"/>
              <w:right w:w="120" w:type="dxa"/>
            </w:tcMar>
            <w:vAlign w:val="center"/>
          </w:tcPr>
          <w:p w14:paraId="74E6452A">
            <w:pPr>
              <w:pStyle w:val="99"/>
              <w:framePr w:wrap="around"/>
              <w:bidi w:val="0"/>
            </w:pPr>
            <w:r>
              <w:rPr>
                <w:rFonts w:hint="eastAsia"/>
                <w:lang w:val="en-US" w:eastAsia="zh-CN"/>
              </w:rPr>
              <w:t>1510.05</w:t>
            </w:r>
          </w:p>
        </w:tc>
      </w:tr>
    </w:tbl>
    <w:p w14:paraId="7EF86508">
      <w:pPr>
        <w:pStyle w:val="122"/>
        <w:numPr>
          <w:ilvl w:val="0"/>
          <w:numId w:val="6"/>
        </w:numPr>
        <w:bidi w:val="0"/>
      </w:pPr>
      <w:bookmarkStart w:id="64" w:name="_Toc359999392"/>
      <w:r>
        <w:rPr>
          <w:rFonts w:hint="eastAsia"/>
          <w:lang w:val="en-US" w:eastAsia="zh-CN"/>
        </w:rPr>
        <w:t>LITT激光消融营收预测</w:t>
      </w:r>
      <w:bookmarkEnd w:id="64"/>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9"/>
        <w:gridCol w:w="21"/>
        <w:gridCol w:w="1188"/>
        <w:gridCol w:w="17"/>
        <w:gridCol w:w="1192"/>
        <w:gridCol w:w="83"/>
        <w:gridCol w:w="1126"/>
        <w:gridCol w:w="103"/>
        <w:gridCol w:w="1106"/>
        <w:gridCol w:w="46"/>
        <w:gridCol w:w="1152"/>
        <w:gridCol w:w="55"/>
        <w:gridCol w:w="1254"/>
      </w:tblGrid>
      <w:tr w14:paraId="0876D61A">
        <w:tc>
          <w:tcPr>
            <w:tcW w:w="2760" w:type="dxa"/>
            <w:shd w:val="clear" w:color="auto" w:fill="BEBEBE" w:themeFill="background1" w:themeFillShade="BF"/>
            <w:tcMar>
              <w:top w:w="60" w:type="dxa"/>
              <w:left w:w="120" w:type="dxa"/>
              <w:bottom w:w="30" w:type="dxa"/>
              <w:right w:w="120" w:type="dxa"/>
            </w:tcMar>
          </w:tcPr>
          <w:p w14:paraId="583B81BA">
            <w:pPr>
              <w:pStyle w:val="99"/>
              <w:bidi w:val="0"/>
            </w:pPr>
            <w:r>
              <w:t>年份</w:t>
            </w:r>
          </w:p>
        </w:tc>
        <w:tc>
          <w:tcPr>
            <w:tcW w:w="2760" w:type="dxa"/>
            <w:gridSpan w:val="2"/>
            <w:shd w:val="clear" w:color="auto" w:fill="BEBEBE" w:themeFill="background1" w:themeFillShade="BF"/>
            <w:tcMar>
              <w:top w:w="60" w:type="dxa"/>
              <w:left w:w="120" w:type="dxa"/>
              <w:bottom w:w="30" w:type="dxa"/>
              <w:right w:w="120" w:type="dxa"/>
            </w:tcMar>
          </w:tcPr>
          <w:p w14:paraId="745798F3">
            <w:pPr>
              <w:pStyle w:val="99"/>
              <w:bidi w:val="0"/>
            </w:pPr>
            <w:r>
              <w:t>行业渗透率</w:t>
            </w:r>
          </w:p>
        </w:tc>
        <w:tc>
          <w:tcPr>
            <w:tcW w:w="2760" w:type="dxa"/>
            <w:gridSpan w:val="2"/>
            <w:shd w:val="clear" w:color="auto" w:fill="BEBEBE" w:themeFill="background1" w:themeFillShade="BF"/>
            <w:tcMar>
              <w:top w:w="60" w:type="dxa"/>
              <w:left w:w="120" w:type="dxa"/>
              <w:bottom w:w="30" w:type="dxa"/>
              <w:right w:w="120" w:type="dxa"/>
            </w:tcMar>
          </w:tcPr>
          <w:p w14:paraId="5852DD19">
            <w:pPr>
              <w:pStyle w:val="99"/>
              <w:bidi w:val="0"/>
              <w:rPr>
                <w:rFonts w:hint="eastAsia" w:eastAsia="仿宋"/>
                <w:lang w:val="en-US" w:eastAsia="zh-CN"/>
              </w:rPr>
            </w:pPr>
            <w:r>
              <w:t>佳量市占</w:t>
            </w:r>
            <w:r>
              <w:rPr>
                <w:rFonts w:hint="eastAsia"/>
                <w:lang w:val="en-US" w:eastAsia="zh-CN"/>
              </w:rPr>
              <w:t>率</w:t>
            </w:r>
          </w:p>
        </w:tc>
        <w:tc>
          <w:tcPr>
            <w:tcW w:w="2760" w:type="dxa"/>
            <w:gridSpan w:val="2"/>
            <w:shd w:val="clear" w:color="auto" w:fill="BEBEBE" w:themeFill="background1" w:themeFillShade="BF"/>
            <w:tcMar>
              <w:top w:w="60" w:type="dxa"/>
              <w:left w:w="120" w:type="dxa"/>
              <w:bottom w:w="30" w:type="dxa"/>
              <w:right w:w="120" w:type="dxa"/>
            </w:tcMar>
          </w:tcPr>
          <w:p w14:paraId="48B0C273">
            <w:pPr>
              <w:pStyle w:val="99"/>
              <w:bidi w:val="0"/>
            </w:pPr>
            <w:r>
              <w:t>行业年量</w:t>
            </w:r>
          </w:p>
        </w:tc>
        <w:tc>
          <w:tcPr>
            <w:tcW w:w="2760" w:type="dxa"/>
            <w:gridSpan w:val="2"/>
            <w:shd w:val="clear" w:color="auto" w:fill="BEBEBE" w:themeFill="background1" w:themeFillShade="BF"/>
            <w:tcMar>
              <w:top w:w="60" w:type="dxa"/>
              <w:left w:w="120" w:type="dxa"/>
              <w:bottom w:w="30" w:type="dxa"/>
              <w:right w:w="120" w:type="dxa"/>
            </w:tcMar>
          </w:tcPr>
          <w:p w14:paraId="5EC3B1E4">
            <w:pPr>
              <w:pStyle w:val="99"/>
              <w:bidi w:val="0"/>
            </w:pPr>
            <w:r>
              <w:t>佳量年量</w:t>
            </w:r>
          </w:p>
        </w:tc>
        <w:tc>
          <w:tcPr>
            <w:tcW w:w="2760" w:type="dxa"/>
            <w:gridSpan w:val="3"/>
            <w:shd w:val="clear" w:color="auto" w:fill="BEBEBE" w:themeFill="background1" w:themeFillShade="BF"/>
            <w:tcMar>
              <w:top w:w="60" w:type="dxa"/>
              <w:left w:w="120" w:type="dxa"/>
              <w:bottom w:w="30" w:type="dxa"/>
              <w:right w:w="120" w:type="dxa"/>
            </w:tcMar>
          </w:tcPr>
          <w:p w14:paraId="6FEE8E4F">
            <w:pPr>
              <w:pStyle w:val="99"/>
              <w:bidi w:val="0"/>
            </w:pPr>
            <w:r>
              <w:t>单价 (万</w:t>
            </w:r>
            <w:r>
              <w:rPr>
                <w:rFonts w:hint="eastAsia"/>
                <w:lang w:val="en-US" w:eastAsia="zh-CN"/>
              </w:rPr>
              <w:t>元</w:t>
            </w:r>
            <w:r>
              <w:t>)</w:t>
            </w:r>
          </w:p>
        </w:tc>
        <w:tc>
          <w:tcPr>
            <w:tcW w:w="2760" w:type="dxa"/>
            <w:shd w:val="clear" w:color="auto" w:fill="BEBEBE" w:themeFill="background1" w:themeFillShade="BF"/>
            <w:tcMar>
              <w:top w:w="60" w:type="dxa"/>
              <w:left w:w="120" w:type="dxa"/>
              <w:bottom w:w="30" w:type="dxa"/>
              <w:right w:w="120" w:type="dxa"/>
            </w:tcMar>
          </w:tcPr>
          <w:p w14:paraId="05B55AD5">
            <w:pPr>
              <w:pStyle w:val="99"/>
              <w:bidi w:val="0"/>
            </w:pPr>
            <w:r>
              <w:t>营收 (万元)</w:t>
            </w:r>
          </w:p>
        </w:tc>
      </w:tr>
      <w:tr w14:paraId="77A0120E">
        <w:tc>
          <w:tcPr>
            <w:tcW w:w="2760" w:type="dxa"/>
            <w:gridSpan w:val="2"/>
            <w:tcMar>
              <w:top w:w="60" w:type="dxa"/>
              <w:left w:w="120" w:type="dxa"/>
              <w:bottom w:w="30" w:type="dxa"/>
              <w:right w:w="120" w:type="dxa"/>
            </w:tcMar>
            <w:vAlign w:val="top"/>
          </w:tcPr>
          <w:p w14:paraId="77907E6D">
            <w:pPr>
              <w:pStyle w:val="99"/>
              <w:framePr w:wrap="around"/>
              <w:bidi w:val="0"/>
            </w:pPr>
            <w:r>
              <w:t>2026</w:t>
            </w:r>
          </w:p>
        </w:tc>
        <w:tc>
          <w:tcPr>
            <w:tcW w:w="2760" w:type="dxa"/>
            <w:gridSpan w:val="2"/>
            <w:tcMar>
              <w:top w:w="60" w:type="dxa"/>
              <w:left w:w="120" w:type="dxa"/>
              <w:bottom w:w="30" w:type="dxa"/>
              <w:right w:w="120" w:type="dxa"/>
            </w:tcMar>
            <w:vAlign w:val="top"/>
          </w:tcPr>
          <w:p w14:paraId="43BC7214">
            <w:pPr>
              <w:pStyle w:val="99"/>
              <w:framePr w:wrap="around"/>
              <w:bidi w:val="0"/>
            </w:pPr>
            <w:r>
              <w:t>0.9%</w:t>
            </w:r>
          </w:p>
        </w:tc>
        <w:tc>
          <w:tcPr>
            <w:tcW w:w="2760" w:type="dxa"/>
            <w:gridSpan w:val="2"/>
            <w:tcMar>
              <w:top w:w="60" w:type="dxa"/>
              <w:left w:w="120" w:type="dxa"/>
              <w:bottom w:w="30" w:type="dxa"/>
              <w:right w:w="120" w:type="dxa"/>
            </w:tcMar>
            <w:vAlign w:val="top"/>
          </w:tcPr>
          <w:p w14:paraId="0F29610A">
            <w:pPr>
              <w:pStyle w:val="99"/>
              <w:framePr w:wrap="around"/>
              <w:bidi w:val="0"/>
            </w:pPr>
            <w:r>
              <w:t>5.8%</w:t>
            </w:r>
          </w:p>
        </w:tc>
        <w:tc>
          <w:tcPr>
            <w:tcW w:w="2760" w:type="dxa"/>
            <w:gridSpan w:val="2"/>
            <w:tcMar>
              <w:top w:w="60" w:type="dxa"/>
              <w:left w:w="120" w:type="dxa"/>
              <w:bottom w:w="30" w:type="dxa"/>
              <w:right w:w="120" w:type="dxa"/>
            </w:tcMar>
            <w:vAlign w:val="top"/>
          </w:tcPr>
          <w:p w14:paraId="6CE2E430">
            <w:pPr>
              <w:pStyle w:val="99"/>
              <w:framePr w:wrap="around"/>
              <w:bidi w:val="0"/>
            </w:pPr>
            <w:r>
              <w:t>225</w:t>
            </w:r>
          </w:p>
        </w:tc>
        <w:tc>
          <w:tcPr>
            <w:tcW w:w="2760" w:type="dxa"/>
            <w:gridSpan w:val="2"/>
            <w:tcMar>
              <w:top w:w="60" w:type="dxa"/>
              <w:left w:w="120" w:type="dxa"/>
              <w:bottom w:w="30" w:type="dxa"/>
              <w:right w:w="120" w:type="dxa"/>
            </w:tcMar>
            <w:vAlign w:val="top"/>
          </w:tcPr>
          <w:p w14:paraId="5487C716">
            <w:pPr>
              <w:pStyle w:val="99"/>
              <w:framePr w:wrap="around"/>
              <w:bidi w:val="0"/>
            </w:pPr>
            <w:r>
              <w:t>13</w:t>
            </w:r>
          </w:p>
        </w:tc>
        <w:tc>
          <w:tcPr>
            <w:tcW w:w="2760" w:type="dxa"/>
            <w:tcMar>
              <w:top w:w="60" w:type="dxa"/>
              <w:left w:w="120" w:type="dxa"/>
              <w:bottom w:w="30" w:type="dxa"/>
              <w:right w:w="120" w:type="dxa"/>
            </w:tcMar>
            <w:vAlign w:val="top"/>
          </w:tcPr>
          <w:p w14:paraId="1D7479CD">
            <w:pPr>
              <w:pStyle w:val="99"/>
              <w:framePr w:wrap="around"/>
              <w:bidi w:val="0"/>
            </w:pPr>
            <w:r>
              <w:t>400</w:t>
            </w:r>
          </w:p>
        </w:tc>
        <w:tc>
          <w:tcPr>
            <w:tcW w:w="2760" w:type="dxa"/>
            <w:gridSpan w:val="2"/>
            <w:tcMar>
              <w:top w:w="60" w:type="dxa"/>
              <w:left w:w="120" w:type="dxa"/>
              <w:bottom w:w="30" w:type="dxa"/>
              <w:right w:w="120" w:type="dxa"/>
            </w:tcMar>
            <w:vAlign w:val="top"/>
          </w:tcPr>
          <w:p w14:paraId="35E27C7C">
            <w:pPr>
              <w:pStyle w:val="99"/>
              <w:framePr w:wrap="around"/>
              <w:bidi w:val="0"/>
            </w:pPr>
            <w:r>
              <w:t>5200</w:t>
            </w:r>
          </w:p>
        </w:tc>
      </w:tr>
      <w:tr w14:paraId="61647B9B">
        <w:tc>
          <w:tcPr>
            <w:tcW w:w="2760" w:type="dxa"/>
            <w:gridSpan w:val="2"/>
            <w:tcMar>
              <w:top w:w="60" w:type="dxa"/>
              <w:left w:w="120" w:type="dxa"/>
              <w:bottom w:w="30" w:type="dxa"/>
              <w:right w:w="120" w:type="dxa"/>
            </w:tcMar>
            <w:vAlign w:val="top"/>
          </w:tcPr>
          <w:p w14:paraId="7890DCF2">
            <w:pPr>
              <w:pStyle w:val="99"/>
              <w:framePr w:wrap="around"/>
              <w:bidi w:val="0"/>
            </w:pPr>
            <w:r>
              <w:t>2027</w:t>
            </w:r>
          </w:p>
        </w:tc>
        <w:tc>
          <w:tcPr>
            <w:tcW w:w="2760" w:type="dxa"/>
            <w:gridSpan w:val="2"/>
            <w:tcMar>
              <w:top w:w="60" w:type="dxa"/>
              <w:left w:w="120" w:type="dxa"/>
              <w:bottom w:w="30" w:type="dxa"/>
              <w:right w:w="120" w:type="dxa"/>
            </w:tcMar>
            <w:vAlign w:val="top"/>
          </w:tcPr>
          <w:p w14:paraId="6E6C5D30">
            <w:pPr>
              <w:pStyle w:val="99"/>
              <w:framePr w:wrap="around"/>
              <w:bidi w:val="0"/>
            </w:pPr>
            <w:r>
              <w:t>1.4%</w:t>
            </w:r>
          </w:p>
        </w:tc>
        <w:tc>
          <w:tcPr>
            <w:tcW w:w="2760" w:type="dxa"/>
            <w:gridSpan w:val="2"/>
            <w:tcMar>
              <w:top w:w="60" w:type="dxa"/>
              <w:left w:w="120" w:type="dxa"/>
              <w:bottom w:w="30" w:type="dxa"/>
              <w:right w:w="120" w:type="dxa"/>
            </w:tcMar>
            <w:vAlign w:val="top"/>
          </w:tcPr>
          <w:p w14:paraId="30112849">
            <w:pPr>
              <w:pStyle w:val="99"/>
              <w:framePr w:wrap="around"/>
              <w:bidi w:val="0"/>
            </w:pPr>
            <w:r>
              <w:t>6.5%</w:t>
            </w:r>
          </w:p>
        </w:tc>
        <w:tc>
          <w:tcPr>
            <w:tcW w:w="2760" w:type="dxa"/>
            <w:gridSpan w:val="2"/>
            <w:tcMar>
              <w:top w:w="60" w:type="dxa"/>
              <w:left w:w="120" w:type="dxa"/>
              <w:bottom w:w="30" w:type="dxa"/>
              <w:right w:w="120" w:type="dxa"/>
            </w:tcMar>
            <w:vAlign w:val="top"/>
          </w:tcPr>
          <w:p w14:paraId="137246C4">
            <w:pPr>
              <w:pStyle w:val="99"/>
              <w:framePr w:wrap="around"/>
              <w:bidi w:val="0"/>
            </w:pPr>
            <w:r>
              <w:t>350</w:t>
            </w:r>
          </w:p>
        </w:tc>
        <w:tc>
          <w:tcPr>
            <w:tcW w:w="2760" w:type="dxa"/>
            <w:gridSpan w:val="2"/>
            <w:tcMar>
              <w:top w:w="60" w:type="dxa"/>
              <w:left w:w="120" w:type="dxa"/>
              <w:bottom w:w="30" w:type="dxa"/>
              <w:right w:w="120" w:type="dxa"/>
            </w:tcMar>
            <w:vAlign w:val="top"/>
          </w:tcPr>
          <w:p w14:paraId="2A684CF6">
            <w:pPr>
              <w:pStyle w:val="99"/>
              <w:framePr w:wrap="around"/>
              <w:bidi w:val="0"/>
            </w:pPr>
            <w:r>
              <w:t>23</w:t>
            </w:r>
          </w:p>
        </w:tc>
        <w:tc>
          <w:tcPr>
            <w:tcW w:w="2760" w:type="dxa"/>
            <w:tcMar>
              <w:top w:w="60" w:type="dxa"/>
              <w:left w:w="120" w:type="dxa"/>
              <w:bottom w:w="30" w:type="dxa"/>
              <w:right w:w="120" w:type="dxa"/>
            </w:tcMar>
            <w:vAlign w:val="top"/>
          </w:tcPr>
          <w:p w14:paraId="3A0847D1">
            <w:pPr>
              <w:pStyle w:val="99"/>
              <w:framePr w:wrap="around"/>
              <w:bidi w:val="0"/>
            </w:pPr>
            <w:r>
              <w:t>400</w:t>
            </w:r>
          </w:p>
        </w:tc>
        <w:tc>
          <w:tcPr>
            <w:tcW w:w="2760" w:type="dxa"/>
            <w:gridSpan w:val="2"/>
            <w:tcMar>
              <w:top w:w="60" w:type="dxa"/>
              <w:left w:w="120" w:type="dxa"/>
              <w:bottom w:w="30" w:type="dxa"/>
              <w:right w:w="120" w:type="dxa"/>
            </w:tcMar>
            <w:vAlign w:val="top"/>
          </w:tcPr>
          <w:p w14:paraId="09E2C93D">
            <w:pPr>
              <w:pStyle w:val="99"/>
              <w:framePr w:wrap="around"/>
              <w:bidi w:val="0"/>
            </w:pPr>
            <w:r>
              <w:t>9200</w:t>
            </w:r>
          </w:p>
        </w:tc>
      </w:tr>
      <w:tr w14:paraId="42F5A39C">
        <w:tc>
          <w:tcPr>
            <w:tcW w:w="2760" w:type="dxa"/>
            <w:gridSpan w:val="2"/>
            <w:tcMar>
              <w:top w:w="60" w:type="dxa"/>
              <w:left w:w="120" w:type="dxa"/>
              <w:bottom w:w="30" w:type="dxa"/>
              <w:right w:w="120" w:type="dxa"/>
            </w:tcMar>
            <w:vAlign w:val="top"/>
          </w:tcPr>
          <w:p w14:paraId="6B8DB8C7">
            <w:pPr>
              <w:pStyle w:val="99"/>
              <w:framePr w:wrap="around"/>
              <w:bidi w:val="0"/>
            </w:pPr>
            <w:r>
              <w:t>2028</w:t>
            </w:r>
          </w:p>
        </w:tc>
        <w:tc>
          <w:tcPr>
            <w:tcW w:w="2760" w:type="dxa"/>
            <w:gridSpan w:val="2"/>
            <w:tcMar>
              <w:top w:w="60" w:type="dxa"/>
              <w:left w:w="120" w:type="dxa"/>
              <w:bottom w:w="30" w:type="dxa"/>
              <w:right w:w="120" w:type="dxa"/>
            </w:tcMar>
            <w:vAlign w:val="top"/>
          </w:tcPr>
          <w:p w14:paraId="56EF5DB8">
            <w:pPr>
              <w:pStyle w:val="99"/>
              <w:framePr w:wrap="around"/>
              <w:bidi w:val="0"/>
            </w:pPr>
            <w:r>
              <w:t>1.9%</w:t>
            </w:r>
          </w:p>
        </w:tc>
        <w:tc>
          <w:tcPr>
            <w:tcW w:w="2760" w:type="dxa"/>
            <w:gridSpan w:val="2"/>
            <w:tcMar>
              <w:top w:w="60" w:type="dxa"/>
              <w:left w:w="120" w:type="dxa"/>
              <w:bottom w:w="30" w:type="dxa"/>
              <w:right w:w="120" w:type="dxa"/>
            </w:tcMar>
            <w:vAlign w:val="top"/>
          </w:tcPr>
          <w:p w14:paraId="7C2BD676">
            <w:pPr>
              <w:pStyle w:val="99"/>
              <w:framePr w:wrap="around"/>
              <w:bidi w:val="0"/>
            </w:pPr>
            <w:r>
              <w:t>7.2%</w:t>
            </w:r>
          </w:p>
        </w:tc>
        <w:tc>
          <w:tcPr>
            <w:tcW w:w="2760" w:type="dxa"/>
            <w:gridSpan w:val="2"/>
            <w:tcMar>
              <w:top w:w="60" w:type="dxa"/>
              <w:left w:w="120" w:type="dxa"/>
              <w:bottom w:w="30" w:type="dxa"/>
              <w:right w:w="120" w:type="dxa"/>
            </w:tcMar>
            <w:vAlign w:val="top"/>
          </w:tcPr>
          <w:p w14:paraId="21CBC5B4">
            <w:pPr>
              <w:pStyle w:val="99"/>
              <w:framePr w:wrap="around"/>
              <w:bidi w:val="0"/>
            </w:pPr>
            <w:r>
              <w:t>475</w:t>
            </w:r>
          </w:p>
        </w:tc>
        <w:tc>
          <w:tcPr>
            <w:tcW w:w="2760" w:type="dxa"/>
            <w:gridSpan w:val="2"/>
            <w:tcMar>
              <w:top w:w="60" w:type="dxa"/>
              <w:left w:w="120" w:type="dxa"/>
              <w:bottom w:w="30" w:type="dxa"/>
              <w:right w:w="120" w:type="dxa"/>
            </w:tcMar>
            <w:vAlign w:val="top"/>
          </w:tcPr>
          <w:p w14:paraId="51340484">
            <w:pPr>
              <w:pStyle w:val="99"/>
              <w:framePr w:wrap="around"/>
              <w:bidi w:val="0"/>
            </w:pPr>
            <w:r>
              <w:t>34</w:t>
            </w:r>
          </w:p>
        </w:tc>
        <w:tc>
          <w:tcPr>
            <w:tcW w:w="2760" w:type="dxa"/>
            <w:tcMar>
              <w:top w:w="60" w:type="dxa"/>
              <w:left w:w="120" w:type="dxa"/>
              <w:bottom w:w="30" w:type="dxa"/>
              <w:right w:w="120" w:type="dxa"/>
            </w:tcMar>
            <w:vAlign w:val="top"/>
          </w:tcPr>
          <w:p w14:paraId="453DB16C">
            <w:pPr>
              <w:pStyle w:val="99"/>
              <w:framePr w:wrap="around"/>
              <w:bidi w:val="0"/>
            </w:pPr>
            <w:r>
              <w:t>400</w:t>
            </w:r>
          </w:p>
        </w:tc>
        <w:tc>
          <w:tcPr>
            <w:tcW w:w="2760" w:type="dxa"/>
            <w:gridSpan w:val="2"/>
            <w:tcMar>
              <w:top w:w="60" w:type="dxa"/>
              <w:left w:w="120" w:type="dxa"/>
              <w:bottom w:w="30" w:type="dxa"/>
              <w:right w:w="120" w:type="dxa"/>
            </w:tcMar>
            <w:vAlign w:val="top"/>
          </w:tcPr>
          <w:p w14:paraId="02812C22">
            <w:pPr>
              <w:pStyle w:val="99"/>
              <w:framePr w:wrap="around"/>
              <w:bidi w:val="0"/>
            </w:pPr>
            <w:r>
              <w:t>13600</w:t>
            </w:r>
          </w:p>
        </w:tc>
      </w:tr>
      <w:tr w14:paraId="1D238A3C">
        <w:tc>
          <w:tcPr>
            <w:tcW w:w="2760" w:type="dxa"/>
            <w:gridSpan w:val="2"/>
            <w:tcMar>
              <w:top w:w="60" w:type="dxa"/>
              <w:left w:w="120" w:type="dxa"/>
              <w:bottom w:w="30" w:type="dxa"/>
              <w:right w:w="120" w:type="dxa"/>
            </w:tcMar>
            <w:vAlign w:val="top"/>
          </w:tcPr>
          <w:p w14:paraId="525D5593">
            <w:pPr>
              <w:pStyle w:val="99"/>
              <w:framePr w:wrap="around"/>
              <w:bidi w:val="0"/>
            </w:pPr>
            <w:r>
              <w:t>2029</w:t>
            </w:r>
          </w:p>
        </w:tc>
        <w:tc>
          <w:tcPr>
            <w:tcW w:w="2760" w:type="dxa"/>
            <w:gridSpan w:val="2"/>
            <w:tcMar>
              <w:top w:w="60" w:type="dxa"/>
              <w:left w:w="120" w:type="dxa"/>
              <w:bottom w:w="30" w:type="dxa"/>
              <w:right w:w="120" w:type="dxa"/>
            </w:tcMar>
            <w:vAlign w:val="top"/>
          </w:tcPr>
          <w:p w14:paraId="5106E5A5">
            <w:pPr>
              <w:pStyle w:val="99"/>
              <w:framePr w:wrap="around"/>
              <w:bidi w:val="0"/>
            </w:pPr>
            <w:r>
              <w:t>2.5%</w:t>
            </w:r>
          </w:p>
        </w:tc>
        <w:tc>
          <w:tcPr>
            <w:tcW w:w="2760" w:type="dxa"/>
            <w:gridSpan w:val="2"/>
            <w:tcMar>
              <w:top w:w="60" w:type="dxa"/>
              <w:left w:w="120" w:type="dxa"/>
              <w:bottom w:w="30" w:type="dxa"/>
              <w:right w:w="120" w:type="dxa"/>
            </w:tcMar>
            <w:vAlign w:val="top"/>
          </w:tcPr>
          <w:p w14:paraId="686E9FA7">
            <w:pPr>
              <w:pStyle w:val="99"/>
              <w:framePr w:wrap="around"/>
              <w:bidi w:val="0"/>
            </w:pPr>
            <w:r>
              <w:t>7.8%</w:t>
            </w:r>
          </w:p>
        </w:tc>
        <w:tc>
          <w:tcPr>
            <w:tcW w:w="2760" w:type="dxa"/>
            <w:gridSpan w:val="2"/>
            <w:tcMar>
              <w:top w:w="60" w:type="dxa"/>
              <w:left w:w="120" w:type="dxa"/>
              <w:bottom w:w="30" w:type="dxa"/>
              <w:right w:w="120" w:type="dxa"/>
            </w:tcMar>
            <w:vAlign w:val="top"/>
          </w:tcPr>
          <w:p w14:paraId="18486474">
            <w:pPr>
              <w:pStyle w:val="99"/>
              <w:framePr w:wrap="around"/>
              <w:bidi w:val="0"/>
            </w:pPr>
            <w:r>
              <w:t>625</w:t>
            </w:r>
          </w:p>
        </w:tc>
        <w:tc>
          <w:tcPr>
            <w:tcW w:w="2760" w:type="dxa"/>
            <w:gridSpan w:val="2"/>
            <w:tcMar>
              <w:top w:w="60" w:type="dxa"/>
              <w:left w:w="120" w:type="dxa"/>
              <w:bottom w:w="30" w:type="dxa"/>
              <w:right w:w="120" w:type="dxa"/>
            </w:tcMar>
            <w:vAlign w:val="top"/>
          </w:tcPr>
          <w:p w14:paraId="538CD5B5">
            <w:pPr>
              <w:pStyle w:val="99"/>
              <w:framePr w:wrap="around"/>
              <w:bidi w:val="0"/>
            </w:pPr>
            <w:r>
              <w:t>49</w:t>
            </w:r>
          </w:p>
        </w:tc>
        <w:tc>
          <w:tcPr>
            <w:tcW w:w="2760" w:type="dxa"/>
            <w:tcMar>
              <w:top w:w="60" w:type="dxa"/>
              <w:left w:w="120" w:type="dxa"/>
              <w:bottom w:w="30" w:type="dxa"/>
              <w:right w:w="120" w:type="dxa"/>
            </w:tcMar>
            <w:vAlign w:val="top"/>
          </w:tcPr>
          <w:p w14:paraId="25990353">
            <w:pPr>
              <w:pStyle w:val="99"/>
              <w:framePr w:wrap="around"/>
              <w:bidi w:val="0"/>
            </w:pPr>
            <w:r>
              <w:t>400</w:t>
            </w:r>
          </w:p>
        </w:tc>
        <w:tc>
          <w:tcPr>
            <w:tcW w:w="2760" w:type="dxa"/>
            <w:gridSpan w:val="2"/>
            <w:tcMar>
              <w:top w:w="60" w:type="dxa"/>
              <w:left w:w="120" w:type="dxa"/>
              <w:bottom w:w="30" w:type="dxa"/>
              <w:right w:w="120" w:type="dxa"/>
            </w:tcMar>
            <w:vAlign w:val="top"/>
          </w:tcPr>
          <w:p w14:paraId="6608C1F7">
            <w:pPr>
              <w:pStyle w:val="99"/>
              <w:framePr w:wrap="around"/>
              <w:bidi w:val="0"/>
            </w:pPr>
            <w:r>
              <w:t>19600</w:t>
            </w:r>
          </w:p>
        </w:tc>
      </w:tr>
      <w:tr w14:paraId="75724595">
        <w:tc>
          <w:tcPr>
            <w:tcW w:w="2760" w:type="dxa"/>
            <w:gridSpan w:val="2"/>
            <w:tcMar>
              <w:top w:w="60" w:type="dxa"/>
              <w:left w:w="120" w:type="dxa"/>
              <w:bottom w:w="30" w:type="dxa"/>
              <w:right w:w="120" w:type="dxa"/>
            </w:tcMar>
            <w:vAlign w:val="top"/>
          </w:tcPr>
          <w:p w14:paraId="7DDB85BE">
            <w:pPr>
              <w:pStyle w:val="99"/>
              <w:framePr w:wrap="around"/>
              <w:bidi w:val="0"/>
            </w:pPr>
            <w:r>
              <w:t>2030</w:t>
            </w:r>
          </w:p>
        </w:tc>
        <w:tc>
          <w:tcPr>
            <w:tcW w:w="2760" w:type="dxa"/>
            <w:gridSpan w:val="2"/>
            <w:tcMar>
              <w:top w:w="60" w:type="dxa"/>
              <w:left w:w="120" w:type="dxa"/>
              <w:bottom w:w="30" w:type="dxa"/>
              <w:right w:w="120" w:type="dxa"/>
            </w:tcMar>
            <w:vAlign w:val="top"/>
          </w:tcPr>
          <w:p w14:paraId="5B3B29B3">
            <w:pPr>
              <w:pStyle w:val="99"/>
              <w:framePr w:wrap="around"/>
              <w:bidi w:val="0"/>
            </w:pPr>
            <w:r>
              <w:t>3.1%</w:t>
            </w:r>
          </w:p>
        </w:tc>
        <w:tc>
          <w:tcPr>
            <w:tcW w:w="2760" w:type="dxa"/>
            <w:gridSpan w:val="2"/>
            <w:tcMar>
              <w:top w:w="60" w:type="dxa"/>
              <w:left w:w="120" w:type="dxa"/>
              <w:bottom w:w="30" w:type="dxa"/>
              <w:right w:w="120" w:type="dxa"/>
            </w:tcMar>
            <w:vAlign w:val="top"/>
          </w:tcPr>
          <w:p w14:paraId="1BCAA15E">
            <w:pPr>
              <w:pStyle w:val="99"/>
              <w:framePr w:wrap="around"/>
              <w:bidi w:val="0"/>
            </w:pPr>
            <w:r>
              <w:t>8.5%</w:t>
            </w:r>
          </w:p>
        </w:tc>
        <w:tc>
          <w:tcPr>
            <w:tcW w:w="2760" w:type="dxa"/>
            <w:gridSpan w:val="2"/>
            <w:tcMar>
              <w:top w:w="60" w:type="dxa"/>
              <w:left w:w="120" w:type="dxa"/>
              <w:bottom w:w="30" w:type="dxa"/>
              <w:right w:w="120" w:type="dxa"/>
            </w:tcMar>
            <w:vAlign w:val="top"/>
          </w:tcPr>
          <w:p w14:paraId="07E9168F">
            <w:pPr>
              <w:pStyle w:val="99"/>
              <w:framePr w:wrap="around"/>
              <w:bidi w:val="0"/>
            </w:pPr>
            <w:r>
              <w:t>775</w:t>
            </w:r>
          </w:p>
        </w:tc>
        <w:tc>
          <w:tcPr>
            <w:tcW w:w="2760" w:type="dxa"/>
            <w:gridSpan w:val="2"/>
            <w:tcMar>
              <w:top w:w="60" w:type="dxa"/>
              <w:left w:w="120" w:type="dxa"/>
              <w:bottom w:w="30" w:type="dxa"/>
              <w:right w:w="120" w:type="dxa"/>
            </w:tcMar>
            <w:vAlign w:val="top"/>
          </w:tcPr>
          <w:p w14:paraId="677DCF5B">
            <w:pPr>
              <w:pStyle w:val="99"/>
              <w:framePr w:wrap="around"/>
              <w:bidi w:val="0"/>
            </w:pPr>
            <w:r>
              <w:t>66</w:t>
            </w:r>
          </w:p>
        </w:tc>
        <w:tc>
          <w:tcPr>
            <w:tcW w:w="2760" w:type="dxa"/>
            <w:tcMar>
              <w:top w:w="60" w:type="dxa"/>
              <w:left w:w="120" w:type="dxa"/>
              <w:bottom w:w="30" w:type="dxa"/>
              <w:right w:w="120" w:type="dxa"/>
            </w:tcMar>
            <w:vAlign w:val="top"/>
          </w:tcPr>
          <w:p w14:paraId="76E4CA59">
            <w:pPr>
              <w:pStyle w:val="99"/>
              <w:framePr w:wrap="around"/>
              <w:bidi w:val="0"/>
            </w:pPr>
            <w:r>
              <w:t>400</w:t>
            </w:r>
          </w:p>
        </w:tc>
        <w:tc>
          <w:tcPr>
            <w:tcW w:w="2760" w:type="dxa"/>
            <w:gridSpan w:val="2"/>
            <w:tcMar>
              <w:top w:w="60" w:type="dxa"/>
              <w:left w:w="120" w:type="dxa"/>
              <w:bottom w:w="30" w:type="dxa"/>
              <w:right w:w="120" w:type="dxa"/>
            </w:tcMar>
            <w:vAlign w:val="top"/>
          </w:tcPr>
          <w:p w14:paraId="57AC74D4">
            <w:pPr>
              <w:pStyle w:val="99"/>
              <w:framePr w:wrap="around"/>
              <w:bidi w:val="0"/>
            </w:pPr>
            <w:r>
              <w:t>26400</w:t>
            </w:r>
          </w:p>
        </w:tc>
      </w:tr>
      <w:tr w14:paraId="7133B797">
        <w:tc>
          <w:tcPr>
            <w:tcW w:w="2760" w:type="dxa"/>
            <w:gridSpan w:val="2"/>
            <w:tcMar>
              <w:top w:w="60" w:type="dxa"/>
              <w:left w:w="120" w:type="dxa"/>
              <w:bottom w:w="30" w:type="dxa"/>
              <w:right w:w="120" w:type="dxa"/>
            </w:tcMar>
            <w:vAlign w:val="top"/>
          </w:tcPr>
          <w:p w14:paraId="055ACA9A">
            <w:pPr>
              <w:pStyle w:val="99"/>
              <w:framePr w:wrap="around"/>
              <w:bidi w:val="0"/>
            </w:pPr>
            <w:r>
              <w:t>2031</w:t>
            </w:r>
          </w:p>
        </w:tc>
        <w:tc>
          <w:tcPr>
            <w:tcW w:w="2760" w:type="dxa"/>
            <w:gridSpan w:val="2"/>
            <w:tcMar>
              <w:top w:w="60" w:type="dxa"/>
              <w:left w:w="120" w:type="dxa"/>
              <w:bottom w:w="30" w:type="dxa"/>
              <w:right w:w="120" w:type="dxa"/>
            </w:tcMar>
            <w:vAlign w:val="top"/>
          </w:tcPr>
          <w:p w14:paraId="1E46B03F">
            <w:pPr>
              <w:pStyle w:val="99"/>
              <w:framePr w:wrap="around"/>
              <w:bidi w:val="0"/>
            </w:pPr>
            <w:r>
              <w:t>3.8%</w:t>
            </w:r>
          </w:p>
        </w:tc>
        <w:tc>
          <w:tcPr>
            <w:tcW w:w="2760" w:type="dxa"/>
            <w:gridSpan w:val="2"/>
            <w:tcMar>
              <w:top w:w="60" w:type="dxa"/>
              <w:left w:w="120" w:type="dxa"/>
              <w:bottom w:w="30" w:type="dxa"/>
              <w:right w:w="120" w:type="dxa"/>
            </w:tcMar>
            <w:vAlign w:val="top"/>
          </w:tcPr>
          <w:p w14:paraId="623BCBF8">
            <w:pPr>
              <w:pStyle w:val="99"/>
              <w:framePr w:wrap="around"/>
              <w:bidi w:val="0"/>
            </w:pPr>
            <w:r>
              <w:t>9.2%</w:t>
            </w:r>
          </w:p>
        </w:tc>
        <w:tc>
          <w:tcPr>
            <w:tcW w:w="2760" w:type="dxa"/>
            <w:gridSpan w:val="2"/>
            <w:tcMar>
              <w:top w:w="60" w:type="dxa"/>
              <w:left w:w="120" w:type="dxa"/>
              <w:bottom w:w="30" w:type="dxa"/>
              <w:right w:w="120" w:type="dxa"/>
            </w:tcMar>
            <w:vAlign w:val="top"/>
          </w:tcPr>
          <w:p w14:paraId="5D76229A">
            <w:pPr>
              <w:pStyle w:val="99"/>
              <w:framePr w:wrap="around"/>
              <w:bidi w:val="0"/>
            </w:pPr>
            <w:r>
              <w:t>950</w:t>
            </w:r>
          </w:p>
        </w:tc>
        <w:tc>
          <w:tcPr>
            <w:tcW w:w="2760" w:type="dxa"/>
            <w:gridSpan w:val="2"/>
            <w:tcMar>
              <w:top w:w="60" w:type="dxa"/>
              <w:left w:w="120" w:type="dxa"/>
              <w:bottom w:w="30" w:type="dxa"/>
              <w:right w:w="120" w:type="dxa"/>
            </w:tcMar>
            <w:vAlign w:val="top"/>
          </w:tcPr>
          <w:p w14:paraId="2801C8E5">
            <w:pPr>
              <w:pStyle w:val="99"/>
              <w:framePr w:wrap="around"/>
              <w:bidi w:val="0"/>
            </w:pPr>
            <w:r>
              <w:t>87</w:t>
            </w:r>
          </w:p>
        </w:tc>
        <w:tc>
          <w:tcPr>
            <w:tcW w:w="2760" w:type="dxa"/>
            <w:tcMar>
              <w:top w:w="60" w:type="dxa"/>
              <w:left w:w="120" w:type="dxa"/>
              <w:bottom w:w="30" w:type="dxa"/>
              <w:right w:w="120" w:type="dxa"/>
            </w:tcMar>
            <w:vAlign w:val="top"/>
          </w:tcPr>
          <w:p w14:paraId="2449BBFA">
            <w:pPr>
              <w:pStyle w:val="99"/>
              <w:framePr w:wrap="around"/>
              <w:bidi w:val="0"/>
            </w:pPr>
            <w:r>
              <w:t>400</w:t>
            </w:r>
          </w:p>
        </w:tc>
        <w:tc>
          <w:tcPr>
            <w:tcW w:w="2760" w:type="dxa"/>
            <w:gridSpan w:val="2"/>
            <w:tcMar>
              <w:top w:w="60" w:type="dxa"/>
              <w:left w:w="120" w:type="dxa"/>
              <w:bottom w:w="30" w:type="dxa"/>
              <w:right w:w="120" w:type="dxa"/>
            </w:tcMar>
            <w:vAlign w:val="top"/>
          </w:tcPr>
          <w:p w14:paraId="16FA5A00">
            <w:pPr>
              <w:pStyle w:val="99"/>
              <w:framePr w:wrap="around"/>
              <w:bidi w:val="0"/>
            </w:pPr>
            <w:r>
              <w:t>34800</w:t>
            </w:r>
          </w:p>
        </w:tc>
      </w:tr>
      <w:tr w14:paraId="0A3A80EA">
        <w:tc>
          <w:tcPr>
            <w:tcW w:w="2760" w:type="dxa"/>
            <w:gridSpan w:val="2"/>
            <w:tcMar>
              <w:top w:w="60" w:type="dxa"/>
              <w:left w:w="120" w:type="dxa"/>
              <w:bottom w:w="30" w:type="dxa"/>
              <w:right w:w="120" w:type="dxa"/>
            </w:tcMar>
            <w:vAlign w:val="top"/>
          </w:tcPr>
          <w:p w14:paraId="31F7B213">
            <w:pPr>
              <w:pStyle w:val="99"/>
              <w:framePr w:wrap="around"/>
              <w:bidi w:val="0"/>
            </w:pPr>
            <w:r>
              <w:t>2032</w:t>
            </w:r>
          </w:p>
        </w:tc>
        <w:tc>
          <w:tcPr>
            <w:tcW w:w="2760" w:type="dxa"/>
            <w:gridSpan w:val="2"/>
            <w:tcMar>
              <w:top w:w="60" w:type="dxa"/>
              <w:left w:w="120" w:type="dxa"/>
              <w:bottom w:w="30" w:type="dxa"/>
              <w:right w:w="120" w:type="dxa"/>
            </w:tcMar>
            <w:vAlign w:val="top"/>
          </w:tcPr>
          <w:p w14:paraId="55FCE6FF">
            <w:pPr>
              <w:pStyle w:val="99"/>
              <w:framePr w:wrap="around"/>
              <w:bidi w:val="0"/>
            </w:pPr>
            <w:r>
              <w:t>4.5%</w:t>
            </w:r>
          </w:p>
        </w:tc>
        <w:tc>
          <w:tcPr>
            <w:tcW w:w="2760" w:type="dxa"/>
            <w:gridSpan w:val="2"/>
            <w:tcMar>
              <w:top w:w="60" w:type="dxa"/>
              <w:left w:w="120" w:type="dxa"/>
              <w:bottom w:w="30" w:type="dxa"/>
              <w:right w:w="120" w:type="dxa"/>
            </w:tcMar>
            <w:vAlign w:val="top"/>
          </w:tcPr>
          <w:p w14:paraId="1D846291">
            <w:pPr>
              <w:pStyle w:val="99"/>
              <w:framePr w:wrap="around"/>
              <w:bidi w:val="0"/>
            </w:pPr>
            <w:r>
              <w:t>9.8%</w:t>
            </w:r>
          </w:p>
        </w:tc>
        <w:tc>
          <w:tcPr>
            <w:tcW w:w="2760" w:type="dxa"/>
            <w:gridSpan w:val="2"/>
            <w:tcMar>
              <w:top w:w="60" w:type="dxa"/>
              <w:left w:w="120" w:type="dxa"/>
              <w:bottom w:w="30" w:type="dxa"/>
              <w:right w:w="120" w:type="dxa"/>
            </w:tcMar>
            <w:vAlign w:val="top"/>
          </w:tcPr>
          <w:p w14:paraId="40B4FFBB">
            <w:pPr>
              <w:pStyle w:val="99"/>
              <w:framePr w:wrap="around"/>
              <w:bidi w:val="0"/>
            </w:pPr>
            <w:r>
              <w:t>1125</w:t>
            </w:r>
          </w:p>
        </w:tc>
        <w:tc>
          <w:tcPr>
            <w:tcW w:w="2760" w:type="dxa"/>
            <w:gridSpan w:val="2"/>
            <w:tcMar>
              <w:top w:w="60" w:type="dxa"/>
              <w:left w:w="120" w:type="dxa"/>
              <w:bottom w:w="30" w:type="dxa"/>
              <w:right w:w="120" w:type="dxa"/>
            </w:tcMar>
            <w:vAlign w:val="top"/>
          </w:tcPr>
          <w:p w14:paraId="5F0077E9">
            <w:pPr>
              <w:pStyle w:val="99"/>
              <w:framePr w:wrap="around"/>
              <w:bidi w:val="0"/>
            </w:pPr>
            <w:r>
              <w:t>110</w:t>
            </w:r>
          </w:p>
        </w:tc>
        <w:tc>
          <w:tcPr>
            <w:tcW w:w="2760" w:type="dxa"/>
            <w:tcMar>
              <w:top w:w="60" w:type="dxa"/>
              <w:left w:w="120" w:type="dxa"/>
              <w:bottom w:w="30" w:type="dxa"/>
              <w:right w:w="120" w:type="dxa"/>
            </w:tcMar>
            <w:vAlign w:val="top"/>
          </w:tcPr>
          <w:p w14:paraId="4BD02037">
            <w:pPr>
              <w:pStyle w:val="99"/>
              <w:framePr w:wrap="around"/>
              <w:bidi w:val="0"/>
            </w:pPr>
            <w:r>
              <w:t>400</w:t>
            </w:r>
          </w:p>
        </w:tc>
        <w:tc>
          <w:tcPr>
            <w:tcW w:w="2760" w:type="dxa"/>
            <w:gridSpan w:val="2"/>
            <w:tcMar>
              <w:top w:w="60" w:type="dxa"/>
              <w:left w:w="120" w:type="dxa"/>
              <w:bottom w:w="30" w:type="dxa"/>
              <w:right w:w="120" w:type="dxa"/>
            </w:tcMar>
            <w:vAlign w:val="top"/>
          </w:tcPr>
          <w:p w14:paraId="411471B6">
            <w:pPr>
              <w:pStyle w:val="99"/>
              <w:framePr w:wrap="around"/>
              <w:bidi w:val="0"/>
            </w:pPr>
            <w:r>
              <w:t>44000</w:t>
            </w:r>
          </w:p>
        </w:tc>
      </w:tr>
      <w:tr w14:paraId="6FB238D7">
        <w:tc>
          <w:tcPr>
            <w:tcW w:w="2760" w:type="dxa"/>
            <w:gridSpan w:val="2"/>
            <w:tcMar>
              <w:top w:w="60" w:type="dxa"/>
              <w:left w:w="120" w:type="dxa"/>
              <w:bottom w:w="30" w:type="dxa"/>
              <w:right w:w="120" w:type="dxa"/>
            </w:tcMar>
            <w:vAlign w:val="top"/>
          </w:tcPr>
          <w:p w14:paraId="56A7F32C">
            <w:pPr>
              <w:pStyle w:val="99"/>
              <w:framePr w:wrap="around"/>
              <w:bidi w:val="0"/>
            </w:pPr>
            <w:r>
              <w:t>2033</w:t>
            </w:r>
          </w:p>
        </w:tc>
        <w:tc>
          <w:tcPr>
            <w:tcW w:w="2760" w:type="dxa"/>
            <w:gridSpan w:val="2"/>
            <w:tcMar>
              <w:top w:w="60" w:type="dxa"/>
              <w:left w:w="120" w:type="dxa"/>
              <w:bottom w:w="30" w:type="dxa"/>
              <w:right w:w="120" w:type="dxa"/>
            </w:tcMar>
            <w:vAlign w:val="top"/>
          </w:tcPr>
          <w:p w14:paraId="28B595E2">
            <w:pPr>
              <w:pStyle w:val="99"/>
              <w:framePr w:wrap="around"/>
              <w:bidi w:val="0"/>
            </w:pPr>
            <w:r>
              <w:t>5.2%</w:t>
            </w:r>
          </w:p>
        </w:tc>
        <w:tc>
          <w:tcPr>
            <w:tcW w:w="2760" w:type="dxa"/>
            <w:gridSpan w:val="2"/>
            <w:tcMar>
              <w:top w:w="60" w:type="dxa"/>
              <w:left w:w="120" w:type="dxa"/>
              <w:bottom w:w="30" w:type="dxa"/>
              <w:right w:w="120" w:type="dxa"/>
            </w:tcMar>
            <w:vAlign w:val="top"/>
          </w:tcPr>
          <w:p w14:paraId="5D317BC0">
            <w:pPr>
              <w:pStyle w:val="99"/>
              <w:framePr w:wrap="around"/>
              <w:bidi w:val="0"/>
            </w:pPr>
            <w:r>
              <w:t>10.5%</w:t>
            </w:r>
          </w:p>
        </w:tc>
        <w:tc>
          <w:tcPr>
            <w:tcW w:w="2760" w:type="dxa"/>
            <w:gridSpan w:val="2"/>
            <w:tcMar>
              <w:top w:w="60" w:type="dxa"/>
              <w:left w:w="120" w:type="dxa"/>
              <w:bottom w:w="30" w:type="dxa"/>
              <w:right w:w="120" w:type="dxa"/>
            </w:tcMar>
            <w:vAlign w:val="top"/>
          </w:tcPr>
          <w:p w14:paraId="406698B7">
            <w:pPr>
              <w:pStyle w:val="99"/>
              <w:framePr w:wrap="around"/>
              <w:bidi w:val="0"/>
            </w:pPr>
            <w:r>
              <w:t>1300</w:t>
            </w:r>
          </w:p>
        </w:tc>
        <w:tc>
          <w:tcPr>
            <w:tcW w:w="2760" w:type="dxa"/>
            <w:gridSpan w:val="2"/>
            <w:tcMar>
              <w:top w:w="60" w:type="dxa"/>
              <w:left w:w="120" w:type="dxa"/>
              <w:bottom w:w="30" w:type="dxa"/>
              <w:right w:w="120" w:type="dxa"/>
            </w:tcMar>
            <w:vAlign w:val="top"/>
          </w:tcPr>
          <w:p w14:paraId="0992B27F">
            <w:pPr>
              <w:pStyle w:val="99"/>
              <w:framePr w:wrap="around"/>
              <w:bidi w:val="0"/>
            </w:pPr>
            <w:r>
              <w:t>137</w:t>
            </w:r>
          </w:p>
        </w:tc>
        <w:tc>
          <w:tcPr>
            <w:tcW w:w="2760" w:type="dxa"/>
            <w:tcMar>
              <w:top w:w="60" w:type="dxa"/>
              <w:left w:w="120" w:type="dxa"/>
              <w:bottom w:w="30" w:type="dxa"/>
              <w:right w:w="120" w:type="dxa"/>
            </w:tcMar>
            <w:vAlign w:val="top"/>
          </w:tcPr>
          <w:p w14:paraId="04E0DE00">
            <w:pPr>
              <w:pStyle w:val="99"/>
              <w:framePr w:wrap="around"/>
              <w:bidi w:val="0"/>
            </w:pPr>
            <w:r>
              <w:t>400</w:t>
            </w:r>
          </w:p>
        </w:tc>
        <w:tc>
          <w:tcPr>
            <w:tcW w:w="2760" w:type="dxa"/>
            <w:gridSpan w:val="2"/>
            <w:tcMar>
              <w:top w:w="60" w:type="dxa"/>
              <w:left w:w="120" w:type="dxa"/>
              <w:bottom w:w="30" w:type="dxa"/>
              <w:right w:w="120" w:type="dxa"/>
            </w:tcMar>
            <w:vAlign w:val="top"/>
          </w:tcPr>
          <w:p w14:paraId="2A6BAA48">
            <w:pPr>
              <w:pStyle w:val="99"/>
              <w:framePr w:wrap="around"/>
              <w:bidi w:val="0"/>
            </w:pPr>
            <w:r>
              <w:t>54800</w:t>
            </w:r>
          </w:p>
        </w:tc>
      </w:tr>
      <w:tr w14:paraId="00A4A08F">
        <w:tc>
          <w:tcPr>
            <w:tcW w:w="2760" w:type="dxa"/>
            <w:gridSpan w:val="2"/>
            <w:tcMar>
              <w:top w:w="60" w:type="dxa"/>
              <w:left w:w="120" w:type="dxa"/>
              <w:bottom w:w="30" w:type="dxa"/>
              <w:right w:w="120" w:type="dxa"/>
            </w:tcMar>
            <w:vAlign w:val="top"/>
          </w:tcPr>
          <w:p w14:paraId="22AA3897">
            <w:pPr>
              <w:pStyle w:val="99"/>
              <w:framePr w:wrap="around"/>
              <w:bidi w:val="0"/>
            </w:pPr>
            <w:r>
              <w:t>2034</w:t>
            </w:r>
          </w:p>
        </w:tc>
        <w:tc>
          <w:tcPr>
            <w:tcW w:w="2760" w:type="dxa"/>
            <w:gridSpan w:val="2"/>
            <w:tcMar>
              <w:top w:w="60" w:type="dxa"/>
              <w:left w:w="120" w:type="dxa"/>
              <w:bottom w:w="30" w:type="dxa"/>
              <w:right w:w="120" w:type="dxa"/>
            </w:tcMar>
            <w:vAlign w:val="top"/>
          </w:tcPr>
          <w:p w14:paraId="71DEA514">
            <w:pPr>
              <w:pStyle w:val="99"/>
              <w:framePr w:wrap="around"/>
              <w:bidi w:val="0"/>
            </w:pPr>
            <w:r>
              <w:t>5.9%</w:t>
            </w:r>
          </w:p>
        </w:tc>
        <w:tc>
          <w:tcPr>
            <w:tcW w:w="2760" w:type="dxa"/>
            <w:gridSpan w:val="2"/>
            <w:tcMar>
              <w:top w:w="60" w:type="dxa"/>
              <w:left w:w="120" w:type="dxa"/>
              <w:bottom w:w="30" w:type="dxa"/>
              <w:right w:w="120" w:type="dxa"/>
            </w:tcMar>
            <w:vAlign w:val="top"/>
          </w:tcPr>
          <w:p w14:paraId="387490CE">
            <w:pPr>
              <w:pStyle w:val="99"/>
              <w:framePr w:wrap="around"/>
              <w:bidi w:val="0"/>
            </w:pPr>
            <w:r>
              <w:t>11.2%</w:t>
            </w:r>
          </w:p>
        </w:tc>
        <w:tc>
          <w:tcPr>
            <w:tcW w:w="2760" w:type="dxa"/>
            <w:gridSpan w:val="2"/>
            <w:tcMar>
              <w:top w:w="60" w:type="dxa"/>
              <w:left w:w="120" w:type="dxa"/>
              <w:bottom w:w="30" w:type="dxa"/>
              <w:right w:w="120" w:type="dxa"/>
            </w:tcMar>
            <w:vAlign w:val="top"/>
          </w:tcPr>
          <w:p w14:paraId="44D3DADB">
            <w:pPr>
              <w:pStyle w:val="99"/>
              <w:framePr w:wrap="around"/>
              <w:bidi w:val="0"/>
            </w:pPr>
            <w:r>
              <w:t>1475</w:t>
            </w:r>
          </w:p>
        </w:tc>
        <w:tc>
          <w:tcPr>
            <w:tcW w:w="2760" w:type="dxa"/>
            <w:gridSpan w:val="2"/>
            <w:tcMar>
              <w:top w:w="60" w:type="dxa"/>
              <w:left w:w="120" w:type="dxa"/>
              <w:bottom w:w="30" w:type="dxa"/>
              <w:right w:w="120" w:type="dxa"/>
            </w:tcMar>
            <w:vAlign w:val="top"/>
          </w:tcPr>
          <w:p w14:paraId="672527F0">
            <w:pPr>
              <w:pStyle w:val="99"/>
              <w:framePr w:wrap="around"/>
              <w:bidi w:val="0"/>
            </w:pPr>
            <w:r>
              <w:t>165</w:t>
            </w:r>
          </w:p>
        </w:tc>
        <w:tc>
          <w:tcPr>
            <w:tcW w:w="2760" w:type="dxa"/>
            <w:tcMar>
              <w:top w:w="60" w:type="dxa"/>
              <w:left w:w="120" w:type="dxa"/>
              <w:bottom w:w="30" w:type="dxa"/>
              <w:right w:w="120" w:type="dxa"/>
            </w:tcMar>
            <w:vAlign w:val="top"/>
          </w:tcPr>
          <w:p w14:paraId="40B69358">
            <w:pPr>
              <w:pStyle w:val="99"/>
              <w:framePr w:wrap="around"/>
              <w:bidi w:val="0"/>
            </w:pPr>
            <w:r>
              <w:t>400</w:t>
            </w:r>
          </w:p>
        </w:tc>
        <w:tc>
          <w:tcPr>
            <w:tcW w:w="2760" w:type="dxa"/>
            <w:gridSpan w:val="2"/>
            <w:tcMar>
              <w:top w:w="60" w:type="dxa"/>
              <w:left w:w="120" w:type="dxa"/>
              <w:bottom w:w="30" w:type="dxa"/>
              <w:right w:w="120" w:type="dxa"/>
            </w:tcMar>
            <w:vAlign w:val="top"/>
          </w:tcPr>
          <w:p w14:paraId="60B0D96B">
            <w:pPr>
              <w:pStyle w:val="99"/>
              <w:framePr w:wrap="around"/>
              <w:bidi w:val="0"/>
            </w:pPr>
            <w:r>
              <w:t>66000</w:t>
            </w:r>
          </w:p>
        </w:tc>
      </w:tr>
      <w:tr w14:paraId="5091BA69">
        <w:tc>
          <w:tcPr>
            <w:tcW w:w="2760" w:type="dxa"/>
            <w:gridSpan w:val="2"/>
            <w:tcMar>
              <w:top w:w="60" w:type="dxa"/>
              <w:left w:w="120" w:type="dxa"/>
              <w:bottom w:w="30" w:type="dxa"/>
              <w:right w:w="120" w:type="dxa"/>
            </w:tcMar>
            <w:vAlign w:val="top"/>
          </w:tcPr>
          <w:p w14:paraId="106D9DFF">
            <w:pPr>
              <w:pStyle w:val="99"/>
              <w:framePr w:wrap="around"/>
              <w:bidi w:val="0"/>
            </w:pPr>
            <w:r>
              <w:t>2035</w:t>
            </w:r>
          </w:p>
        </w:tc>
        <w:tc>
          <w:tcPr>
            <w:tcW w:w="2760" w:type="dxa"/>
            <w:gridSpan w:val="2"/>
            <w:tcMar>
              <w:top w:w="60" w:type="dxa"/>
              <w:left w:w="120" w:type="dxa"/>
              <w:bottom w:w="30" w:type="dxa"/>
              <w:right w:w="120" w:type="dxa"/>
            </w:tcMar>
            <w:vAlign w:val="top"/>
          </w:tcPr>
          <w:p w14:paraId="11F37B6A">
            <w:pPr>
              <w:pStyle w:val="99"/>
              <w:framePr w:wrap="around"/>
              <w:bidi w:val="0"/>
            </w:pPr>
            <w:r>
              <w:t>6.6%</w:t>
            </w:r>
          </w:p>
        </w:tc>
        <w:tc>
          <w:tcPr>
            <w:tcW w:w="2760" w:type="dxa"/>
            <w:gridSpan w:val="2"/>
            <w:tcMar>
              <w:top w:w="60" w:type="dxa"/>
              <w:left w:w="120" w:type="dxa"/>
              <w:bottom w:w="30" w:type="dxa"/>
              <w:right w:w="120" w:type="dxa"/>
            </w:tcMar>
            <w:vAlign w:val="top"/>
          </w:tcPr>
          <w:p w14:paraId="6D1500F0">
            <w:pPr>
              <w:pStyle w:val="99"/>
              <w:framePr w:wrap="around"/>
              <w:bidi w:val="0"/>
            </w:pPr>
            <w:r>
              <w:t>11.8%</w:t>
            </w:r>
          </w:p>
        </w:tc>
        <w:tc>
          <w:tcPr>
            <w:tcW w:w="2760" w:type="dxa"/>
            <w:gridSpan w:val="2"/>
            <w:tcMar>
              <w:top w:w="60" w:type="dxa"/>
              <w:left w:w="120" w:type="dxa"/>
              <w:bottom w:w="30" w:type="dxa"/>
              <w:right w:w="120" w:type="dxa"/>
            </w:tcMar>
            <w:vAlign w:val="top"/>
          </w:tcPr>
          <w:p w14:paraId="24881A13">
            <w:pPr>
              <w:pStyle w:val="99"/>
              <w:framePr w:wrap="around"/>
              <w:bidi w:val="0"/>
            </w:pPr>
            <w:r>
              <w:t>1650</w:t>
            </w:r>
          </w:p>
        </w:tc>
        <w:tc>
          <w:tcPr>
            <w:tcW w:w="2760" w:type="dxa"/>
            <w:gridSpan w:val="2"/>
            <w:tcMar>
              <w:top w:w="60" w:type="dxa"/>
              <w:left w:w="120" w:type="dxa"/>
              <w:bottom w:w="30" w:type="dxa"/>
              <w:right w:w="120" w:type="dxa"/>
            </w:tcMar>
            <w:vAlign w:val="top"/>
          </w:tcPr>
          <w:p w14:paraId="743877D3">
            <w:pPr>
              <w:pStyle w:val="99"/>
              <w:framePr w:wrap="around"/>
              <w:bidi w:val="0"/>
            </w:pPr>
            <w:r>
              <w:t>195</w:t>
            </w:r>
          </w:p>
        </w:tc>
        <w:tc>
          <w:tcPr>
            <w:tcW w:w="2760" w:type="dxa"/>
            <w:tcMar>
              <w:top w:w="60" w:type="dxa"/>
              <w:left w:w="120" w:type="dxa"/>
              <w:bottom w:w="30" w:type="dxa"/>
              <w:right w:w="120" w:type="dxa"/>
            </w:tcMar>
            <w:vAlign w:val="top"/>
          </w:tcPr>
          <w:p w14:paraId="56420F66">
            <w:pPr>
              <w:pStyle w:val="99"/>
              <w:framePr w:wrap="around"/>
              <w:bidi w:val="0"/>
            </w:pPr>
            <w:r>
              <w:t>400</w:t>
            </w:r>
          </w:p>
        </w:tc>
        <w:tc>
          <w:tcPr>
            <w:tcW w:w="2760" w:type="dxa"/>
            <w:gridSpan w:val="2"/>
            <w:tcMar>
              <w:top w:w="60" w:type="dxa"/>
              <w:left w:w="120" w:type="dxa"/>
              <w:bottom w:w="30" w:type="dxa"/>
              <w:right w:w="120" w:type="dxa"/>
            </w:tcMar>
            <w:vAlign w:val="top"/>
          </w:tcPr>
          <w:p w14:paraId="5072C38B">
            <w:pPr>
              <w:pStyle w:val="99"/>
              <w:framePr w:wrap="around"/>
              <w:bidi w:val="0"/>
            </w:pPr>
            <w:r>
              <w:t>78000</w:t>
            </w:r>
          </w:p>
        </w:tc>
      </w:tr>
      <w:tr w14:paraId="3170538A">
        <w:tc>
          <w:tcPr>
            <w:tcW w:w="2760" w:type="dxa"/>
            <w:gridSpan w:val="2"/>
            <w:tcMar>
              <w:top w:w="60" w:type="dxa"/>
              <w:left w:w="120" w:type="dxa"/>
              <w:bottom w:w="30" w:type="dxa"/>
              <w:right w:w="120" w:type="dxa"/>
            </w:tcMar>
            <w:vAlign w:val="top"/>
          </w:tcPr>
          <w:p w14:paraId="389DD53C">
            <w:pPr>
              <w:pStyle w:val="99"/>
              <w:framePr w:wrap="around"/>
              <w:bidi w:val="0"/>
            </w:pPr>
            <w:r>
              <w:t>2036</w:t>
            </w:r>
          </w:p>
        </w:tc>
        <w:tc>
          <w:tcPr>
            <w:tcW w:w="2760" w:type="dxa"/>
            <w:gridSpan w:val="2"/>
            <w:tcMar>
              <w:top w:w="60" w:type="dxa"/>
              <w:left w:w="120" w:type="dxa"/>
              <w:bottom w:w="30" w:type="dxa"/>
              <w:right w:w="120" w:type="dxa"/>
            </w:tcMar>
            <w:vAlign w:val="top"/>
          </w:tcPr>
          <w:p w14:paraId="1D824F08">
            <w:pPr>
              <w:pStyle w:val="99"/>
              <w:framePr w:wrap="around"/>
              <w:bidi w:val="0"/>
            </w:pPr>
            <w:r>
              <w:t>7.3%</w:t>
            </w:r>
          </w:p>
        </w:tc>
        <w:tc>
          <w:tcPr>
            <w:tcW w:w="2760" w:type="dxa"/>
            <w:gridSpan w:val="2"/>
            <w:tcMar>
              <w:top w:w="60" w:type="dxa"/>
              <w:left w:w="120" w:type="dxa"/>
              <w:bottom w:w="30" w:type="dxa"/>
              <w:right w:w="120" w:type="dxa"/>
            </w:tcMar>
            <w:vAlign w:val="top"/>
          </w:tcPr>
          <w:p w14:paraId="3A3CF67A">
            <w:pPr>
              <w:pStyle w:val="99"/>
              <w:framePr w:wrap="around"/>
              <w:bidi w:val="0"/>
            </w:pPr>
            <w:r>
              <w:t>12.5%</w:t>
            </w:r>
          </w:p>
        </w:tc>
        <w:tc>
          <w:tcPr>
            <w:tcW w:w="2760" w:type="dxa"/>
            <w:gridSpan w:val="2"/>
            <w:tcMar>
              <w:top w:w="60" w:type="dxa"/>
              <w:left w:w="120" w:type="dxa"/>
              <w:bottom w:w="30" w:type="dxa"/>
              <w:right w:w="120" w:type="dxa"/>
            </w:tcMar>
            <w:vAlign w:val="top"/>
          </w:tcPr>
          <w:p w14:paraId="70339020">
            <w:pPr>
              <w:pStyle w:val="99"/>
              <w:framePr w:wrap="around"/>
              <w:bidi w:val="0"/>
            </w:pPr>
            <w:r>
              <w:t>1825</w:t>
            </w:r>
          </w:p>
        </w:tc>
        <w:tc>
          <w:tcPr>
            <w:tcW w:w="2760" w:type="dxa"/>
            <w:gridSpan w:val="2"/>
            <w:tcMar>
              <w:top w:w="60" w:type="dxa"/>
              <w:left w:w="120" w:type="dxa"/>
              <w:bottom w:w="30" w:type="dxa"/>
              <w:right w:w="120" w:type="dxa"/>
            </w:tcMar>
            <w:vAlign w:val="top"/>
          </w:tcPr>
          <w:p w14:paraId="04A0FC9C">
            <w:pPr>
              <w:pStyle w:val="99"/>
              <w:framePr w:wrap="around"/>
              <w:bidi w:val="0"/>
            </w:pPr>
            <w:r>
              <w:t>228</w:t>
            </w:r>
          </w:p>
        </w:tc>
        <w:tc>
          <w:tcPr>
            <w:tcW w:w="2760" w:type="dxa"/>
            <w:tcMar>
              <w:top w:w="60" w:type="dxa"/>
              <w:left w:w="120" w:type="dxa"/>
              <w:bottom w:w="30" w:type="dxa"/>
              <w:right w:w="120" w:type="dxa"/>
            </w:tcMar>
            <w:vAlign w:val="top"/>
          </w:tcPr>
          <w:p w14:paraId="5AA0E4DF">
            <w:pPr>
              <w:pStyle w:val="99"/>
              <w:framePr w:wrap="around"/>
              <w:bidi w:val="0"/>
            </w:pPr>
            <w:r>
              <w:t>400</w:t>
            </w:r>
          </w:p>
        </w:tc>
        <w:tc>
          <w:tcPr>
            <w:tcW w:w="2760" w:type="dxa"/>
            <w:gridSpan w:val="2"/>
            <w:tcMar>
              <w:top w:w="60" w:type="dxa"/>
              <w:left w:w="120" w:type="dxa"/>
              <w:bottom w:w="30" w:type="dxa"/>
              <w:right w:w="120" w:type="dxa"/>
            </w:tcMar>
            <w:vAlign w:val="top"/>
          </w:tcPr>
          <w:p w14:paraId="2E86DD80">
            <w:pPr>
              <w:pStyle w:val="99"/>
              <w:framePr w:wrap="around"/>
              <w:bidi w:val="0"/>
            </w:pPr>
            <w:r>
              <w:t>91200</w:t>
            </w:r>
          </w:p>
        </w:tc>
      </w:tr>
    </w:tbl>
    <w:p w14:paraId="16C00085">
      <w:pPr>
        <w:pStyle w:val="122"/>
        <w:numPr>
          <w:ilvl w:val="0"/>
          <w:numId w:val="6"/>
        </w:numPr>
        <w:bidi w:val="0"/>
        <w:rPr>
          <w:rFonts w:hint="eastAsia"/>
          <w:lang w:val="en-US" w:eastAsia="zh-CN"/>
        </w:rPr>
      </w:pPr>
      <w:bookmarkStart w:id="65" w:name="_Toc1048347745"/>
      <w:r>
        <w:rPr>
          <w:rFonts w:hint="eastAsia"/>
          <w:lang w:val="en-US" w:eastAsia="zh-CN"/>
        </w:rPr>
        <w:t>RNS（Epilcure）癫痫闭环刺激营收预测</w:t>
      </w:r>
      <w:bookmarkEnd w:id="6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8"/>
        <w:gridCol w:w="51"/>
        <w:gridCol w:w="1085"/>
        <w:gridCol w:w="124"/>
        <w:gridCol w:w="1088"/>
        <w:gridCol w:w="121"/>
        <w:gridCol w:w="1192"/>
        <w:gridCol w:w="17"/>
        <w:gridCol w:w="1209"/>
        <w:gridCol w:w="14"/>
        <w:gridCol w:w="1120"/>
        <w:gridCol w:w="119"/>
        <w:gridCol w:w="1254"/>
      </w:tblGrid>
      <w:tr w14:paraId="51096DFF">
        <w:tc>
          <w:tcPr>
            <w:tcW w:w="2760" w:type="dxa"/>
            <w:gridSpan w:val="2"/>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39CCDF0B">
            <w:pPr>
              <w:pStyle w:val="99"/>
              <w:bidi w:val="0"/>
            </w:pPr>
            <w:r>
              <w:t>年份</w:t>
            </w:r>
          </w:p>
        </w:tc>
        <w:tc>
          <w:tcPr>
            <w:tcW w:w="2760" w:type="dxa"/>
            <w:gridSpan w:val="2"/>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3E315A00">
            <w:pPr>
              <w:pStyle w:val="99"/>
              <w:bidi w:val="0"/>
            </w:pPr>
            <w:r>
              <w:t>行业渗透率</w:t>
            </w:r>
          </w:p>
        </w:tc>
        <w:tc>
          <w:tcPr>
            <w:tcW w:w="2760" w:type="dxa"/>
            <w:gridSpan w:val="2"/>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78BCF515">
            <w:pPr>
              <w:pStyle w:val="99"/>
              <w:bidi w:val="0"/>
              <w:rPr>
                <w:rFonts w:hint="eastAsia" w:eastAsia="仿宋"/>
                <w:lang w:val="en-US" w:eastAsia="zh-CN"/>
              </w:rPr>
            </w:pPr>
            <w:r>
              <w:t>佳量市占</w:t>
            </w:r>
            <w:r>
              <w:rPr>
                <w:rFonts w:hint="eastAsia"/>
                <w:lang w:val="en-US" w:eastAsia="zh-CN"/>
              </w:rPr>
              <w:t>率</w:t>
            </w:r>
          </w:p>
        </w:tc>
        <w:tc>
          <w:tcPr>
            <w:tcW w:w="2760" w:type="dxa"/>
            <w:gridSpan w:val="2"/>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28BD5245">
            <w:pPr>
              <w:pStyle w:val="99"/>
              <w:bidi w:val="0"/>
            </w:pPr>
            <w:r>
              <w:t xml:space="preserve">行业年植入量 </w:t>
            </w:r>
          </w:p>
        </w:tc>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568E7393">
            <w:pPr>
              <w:pStyle w:val="99"/>
              <w:bidi w:val="0"/>
            </w:pPr>
            <w:r>
              <w:t xml:space="preserve">佳量年植入量 </w:t>
            </w:r>
          </w:p>
        </w:tc>
        <w:tc>
          <w:tcPr>
            <w:tcW w:w="2760" w:type="dxa"/>
            <w:gridSpan w:val="3"/>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2251BA9C">
            <w:pPr>
              <w:pStyle w:val="99"/>
              <w:bidi w:val="0"/>
            </w:pPr>
            <w:r>
              <w:t>单价 (万</w:t>
            </w:r>
            <w:r>
              <w:rPr>
                <w:rFonts w:hint="eastAsia"/>
                <w:lang w:val="en-US" w:eastAsia="zh-CN"/>
              </w:rPr>
              <w:t>元</w:t>
            </w:r>
            <w:r>
              <w:t>)</w:t>
            </w:r>
          </w:p>
        </w:tc>
        <w:tc>
          <w:tcPr>
            <w:tcW w:w="276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Mar>
              <w:top w:w="60" w:type="dxa"/>
              <w:left w:w="120" w:type="dxa"/>
              <w:bottom w:w="30" w:type="dxa"/>
              <w:right w:w="120" w:type="dxa"/>
            </w:tcMar>
          </w:tcPr>
          <w:p w14:paraId="47667D07">
            <w:pPr>
              <w:pStyle w:val="99"/>
              <w:bidi w:val="0"/>
            </w:pPr>
            <w:r>
              <w:t>营收 (万元)</w:t>
            </w:r>
          </w:p>
        </w:tc>
      </w:tr>
      <w:tr w14:paraId="2107A24D">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631F019">
            <w:pPr>
              <w:pStyle w:val="99"/>
              <w:framePr w:wrap="around"/>
              <w:bidi w:val="0"/>
            </w:pPr>
            <w:r>
              <w:t>2026</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F96D6F4">
            <w:pPr>
              <w:pStyle w:val="99"/>
              <w:framePr w:wrap="around"/>
              <w:bidi w:val="0"/>
            </w:pPr>
            <w:r>
              <w:t>0.0%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C92E914">
            <w:pPr>
              <w:pStyle w:val="99"/>
              <w:framePr w:wrap="around"/>
              <w:bidi w:val="0"/>
            </w:pPr>
            <w:r>
              <w:t>0.0%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08A3533E">
            <w:pPr>
              <w:pStyle w:val="99"/>
              <w:framePr w:wrap="around"/>
              <w:bidi w:val="0"/>
            </w:pPr>
            <w:r>
              <w:t>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5C9FA47">
            <w:pPr>
              <w:pStyle w:val="99"/>
              <w:framePr w:wrap="around"/>
              <w:bidi w:val="0"/>
            </w:pPr>
            <w:r>
              <w:t>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7FB881A">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448B59B">
            <w:pPr>
              <w:pStyle w:val="99"/>
              <w:framePr w:wrap="around"/>
              <w:bidi w:val="0"/>
            </w:pPr>
            <w:r>
              <w:t>0.0</w:t>
            </w:r>
          </w:p>
        </w:tc>
      </w:tr>
      <w:tr w14:paraId="19C8F57B">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596CF6BD">
            <w:pPr>
              <w:pStyle w:val="99"/>
              <w:framePr w:wrap="around"/>
              <w:bidi w:val="0"/>
            </w:pPr>
            <w:r>
              <w:t>2027</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FF14248">
            <w:pPr>
              <w:pStyle w:val="99"/>
              <w:framePr w:wrap="around"/>
              <w:bidi w:val="0"/>
            </w:pPr>
            <w:r>
              <w:t>0.5%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488AF8F">
            <w:pPr>
              <w:pStyle w:val="99"/>
              <w:framePr w:wrap="around"/>
              <w:bidi w:val="0"/>
            </w:pPr>
            <w:r>
              <w:t>30.0%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A4199A8">
            <w:pPr>
              <w:pStyle w:val="99"/>
              <w:framePr w:wrap="around"/>
              <w:bidi w:val="0"/>
            </w:pPr>
            <w:r>
              <w:t>15000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0C35231">
            <w:pPr>
              <w:pStyle w:val="99"/>
              <w:framePr w:wrap="around"/>
              <w:bidi w:val="0"/>
            </w:pPr>
            <w:r>
              <w:t>4500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46BC99B">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928B2CE">
            <w:pPr>
              <w:pStyle w:val="99"/>
              <w:framePr w:wrap="around"/>
              <w:bidi w:val="0"/>
            </w:pPr>
            <w:r>
              <w:t>10125.0</w:t>
            </w:r>
          </w:p>
        </w:tc>
      </w:tr>
      <w:tr w14:paraId="45830000">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41C1F96">
            <w:pPr>
              <w:pStyle w:val="99"/>
              <w:framePr w:wrap="around"/>
              <w:bidi w:val="0"/>
            </w:pPr>
            <w:r>
              <w:t>2028</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03F2174A">
            <w:pPr>
              <w:pStyle w:val="99"/>
              <w:framePr w:wrap="around"/>
              <w:bidi w:val="0"/>
            </w:pPr>
            <w:r>
              <w:t>1.0%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6F28102">
            <w:pPr>
              <w:pStyle w:val="99"/>
              <w:framePr w:wrap="around"/>
              <w:bidi w:val="0"/>
            </w:pPr>
            <w:r>
              <w:t>28.0%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A8F2F2B">
            <w:pPr>
              <w:pStyle w:val="99"/>
              <w:framePr w:wrap="around"/>
              <w:bidi w:val="0"/>
            </w:pPr>
            <w:r>
              <w:t>30000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FAAF19E">
            <w:pPr>
              <w:pStyle w:val="99"/>
              <w:framePr w:wrap="around"/>
              <w:bidi w:val="0"/>
            </w:pPr>
            <w:r>
              <w:t>8400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762875A">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FE7A99C">
            <w:pPr>
              <w:pStyle w:val="99"/>
              <w:framePr w:wrap="around"/>
              <w:bidi w:val="0"/>
            </w:pPr>
            <w:r>
              <w:t>18900.0</w:t>
            </w:r>
          </w:p>
        </w:tc>
      </w:tr>
      <w:tr w14:paraId="3D4157D6">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999555A">
            <w:pPr>
              <w:pStyle w:val="99"/>
              <w:framePr w:wrap="around"/>
              <w:bidi w:val="0"/>
            </w:pPr>
            <w:r>
              <w:t>2029</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03B0DD74">
            <w:pPr>
              <w:pStyle w:val="99"/>
              <w:framePr w:wrap="around"/>
              <w:bidi w:val="0"/>
            </w:pPr>
            <w:r>
              <w:t>1.6%</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358A658">
            <w:pPr>
              <w:pStyle w:val="99"/>
              <w:framePr w:wrap="around"/>
              <w:bidi w:val="0"/>
            </w:pPr>
            <w:r>
              <w:t>26.0%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D9012F2">
            <w:pPr>
              <w:pStyle w:val="99"/>
              <w:framePr w:wrap="around"/>
              <w:bidi w:val="0"/>
            </w:pPr>
            <w:r>
              <w:t>48000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46E091E">
            <w:pPr>
              <w:pStyle w:val="99"/>
              <w:framePr w:wrap="around"/>
              <w:bidi w:val="0"/>
            </w:pPr>
            <w:r>
              <w:t>12480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6F7FEBB">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CA147C7">
            <w:pPr>
              <w:pStyle w:val="99"/>
              <w:framePr w:wrap="around"/>
              <w:bidi w:val="0"/>
            </w:pPr>
            <w:r>
              <w:t>28080.0</w:t>
            </w:r>
          </w:p>
        </w:tc>
      </w:tr>
      <w:tr w14:paraId="71B787F7">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3EF76EC">
            <w:pPr>
              <w:pStyle w:val="99"/>
              <w:framePr w:wrap="around"/>
              <w:bidi w:val="0"/>
            </w:pPr>
            <w:r>
              <w:t>2030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1B9C481">
            <w:pPr>
              <w:pStyle w:val="99"/>
              <w:framePr w:wrap="around"/>
              <w:bidi w:val="0"/>
            </w:pPr>
            <w:r>
              <w:t>2.2%</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02257A7">
            <w:pPr>
              <w:pStyle w:val="99"/>
              <w:framePr w:wrap="around"/>
              <w:bidi w:val="0"/>
            </w:pPr>
            <w:r>
              <w:t>24.0%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52CE8AD5">
            <w:pPr>
              <w:pStyle w:val="99"/>
              <w:framePr w:wrap="around"/>
              <w:bidi w:val="0"/>
            </w:pPr>
            <w:r>
              <w:t>66000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C4F6FA7">
            <w:pPr>
              <w:pStyle w:val="99"/>
              <w:framePr w:wrap="around"/>
              <w:bidi w:val="0"/>
            </w:pPr>
            <w:r>
              <w:t>15840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DD47717">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AF8E56C">
            <w:pPr>
              <w:pStyle w:val="99"/>
              <w:framePr w:wrap="around"/>
              <w:bidi w:val="0"/>
            </w:pPr>
            <w:r>
              <w:t>35640.0</w:t>
            </w:r>
          </w:p>
        </w:tc>
      </w:tr>
      <w:tr w14:paraId="2B0BF87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24AFACC">
            <w:pPr>
              <w:pStyle w:val="99"/>
              <w:framePr w:wrap="around"/>
              <w:bidi w:val="0"/>
            </w:pPr>
            <w:r>
              <w:t>2031</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ADDD32F">
            <w:pPr>
              <w:pStyle w:val="99"/>
              <w:framePr w:wrap="around"/>
              <w:bidi w:val="0"/>
            </w:pPr>
            <w:r>
              <w:t>2.8%</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DB6036B">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7C6DB0A">
            <w:pPr>
              <w:pStyle w:val="99"/>
              <w:framePr w:wrap="around"/>
              <w:bidi w:val="0"/>
            </w:pPr>
            <w:r>
              <w:t>84000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821A897">
            <w:pPr>
              <w:pStyle w:val="99"/>
              <w:framePr w:wrap="around"/>
              <w:bidi w:val="0"/>
            </w:pPr>
            <w:r>
              <w:t>18900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0A397A40">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59A3A4D8">
            <w:pPr>
              <w:pStyle w:val="99"/>
              <w:framePr w:wrap="around"/>
              <w:bidi w:val="0"/>
            </w:pPr>
            <w:r>
              <w:t>42525.0</w:t>
            </w:r>
          </w:p>
        </w:tc>
      </w:tr>
      <w:tr w14:paraId="1D241C17">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E2D06DB">
            <w:pPr>
              <w:pStyle w:val="99"/>
              <w:framePr w:wrap="around"/>
              <w:bidi w:val="0"/>
            </w:pPr>
            <w:r>
              <w:t>2032</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ED1C3F5">
            <w:pPr>
              <w:pStyle w:val="99"/>
              <w:framePr w:wrap="around"/>
              <w:bidi w:val="0"/>
            </w:pPr>
            <w:r>
              <w:t>3.4%</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8592A30">
            <w:pPr>
              <w:pStyle w:val="99"/>
              <w:framePr w:wrap="around"/>
              <w:bidi w:val="0"/>
            </w:pPr>
            <w:r>
              <w:t>21.0%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D3A6EE3">
            <w:pPr>
              <w:pStyle w:val="99"/>
              <w:framePr w:wrap="around"/>
              <w:bidi w:val="0"/>
            </w:pPr>
            <w:r>
              <w:t>102000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9C2D68F">
            <w:pPr>
              <w:pStyle w:val="99"/>
              <w:framePr w:wrap="around"/>
              <w:bidi w:val="0"/>
            </w:pPr>
            <w:r>
              <w:t>21420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1E367F3">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173AC46">
            <w:pPr>
              <w:pStyle w:val="99"/>
              <w:framePr w:wrap="around"/>
              <w:bidi w:val="0"/>
            </w:pPr>
            <w:r>
              <w:t>48295.0</w:t>
            </w:r>
          </w:p>
        </w:tc>
      </w:tr>
      <w:tr w14:paraId="7475B97E">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9A44BAD">
            <w:pPr>
              <w:pStyle w:val="99"/>
              <w:framePr w:wrap="around"/>
              <w:bidi w:val="0"/>
            </w:pPr>
            <w:r>
              <w:t>2033</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CCC0BA4">
            <w:pPr>
              <w:pStyle w:val="99"/>
              <w:framePr w:wrap="around"/>
              <w:bidi w:val="0"/>
            </w:pPr>
            <w:r>
              <w:t>4.0%</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FE3680A">
            <w:pPr>
              <w:pStyle w:val="99"/>
              <w:framePr w:wrap="around"/>
              <w:bidi w:val="0"/>
            </w:pPr>
            <w:r>
              <w:t>19.8%</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8B220AC">
            <w:pPr>
              <w:pStyle w:val="99"/>
              <w:framePr w:wrap="around"/>
              <w:bidi w:val="0"/>
            </w:pPr>
            <w:r>
              <w:t>120000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A3C7664">
            <w:pPr>
              <w:pStyle w:val="99"/>
              <w:framePr w:wrap="around"/>
              <w:bidi w:val="0"/>
            </w:pPr>
            <w:r>
              <w:t>23760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05EDFAE0">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F603EDD">
            <w:pPr>
              <w:pStyle w:val="99"/>
              <w:framePr w:wrap="around"/>
              <w:bidi w:val="0"/>
            </w:pPr>
            <w:r>
              <w:t>53460.0</w:t>
            </w:r>
          </w:p>
        </w:tc>
      </w:tr>
      <w:tr w14:paraId="56B06F8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07F7556">
            <w:pPr>
              <w:pStyle w:val="99"/>
              <w:framePr w:wrap="around"/>
              <w:bidi w:val="0"/>
            </w:pPr>
            <w:r>
              <w:t>2034</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5B0B4B93">
            <w:pPr>
              <w:pStyle w:val="99"/>
              <w:framePr w:wrap="around"/>
              <w:bidi w:val="0"/>
            </w:pPr>
            <w:r>
              <w:t>4.6%</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26E3439">
            <w:pPr>
              <w:pStyle w:val="99"/>
              <w:framePr w:wrap="around"/>
              <w:bidi w:val="0"/>
            </w:pPr>
            <w:r>
              <w:t>18.5%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9FCED29">
            <w:pPr>
              <w:pStyle w:val="99"/>
              <w:framePr w:wrap="around"/>
              <w:bidi w:val="0"/>
            </w:pPr>
            <w:r>
              <w:t>138000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97133E4">
            <w:pPr>
              <w:pStyle w:val="99"/>
              <w:framePr w:wrap="around"/>
              <w:bidi w:val="0"/>
            </w:pPr>
            <w:r>
              <w:t>25530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E70195F">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0E6D0A0B">
            <w:pPr>
              <w:pStyle w:val="99"/>
              <w:framePr w:wrap="around"/>
              <w:bidi w:val="0"/>
            </w:pPr>
            <w:r>
              <w:t>57442.5</w:t>
            </w:r>
          </w:p>
        </w:tc>
      </w:tr>
      <w:tr w14:paraId="6D134074">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5A0C6D76">
            <w:pPr>
              <w:pStyle w:val="99"/>
              <w:framePr w:wrap="around"/>
              <w:bidi w:val="0"/>
            </w:pPr>
            <w:r>
              <w:t>2035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5FD3793">
            <w:pPr>
              <w:pStyle w:val="99"/>
              <w:framePr w:wrap="around"/>
              <w:bidi w:val="0"/>
            </w:pPr>
            <w:r>
              <w:t>5.2%</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57B8E631">
            <w:pPr>
              <w:pStyle w:val="99"/>
              <w:framePr w:wrap="around"/>
              <w:bidi w:val="0"/>
            </w:pPr>
            <w:r>
              <w:t>17.5%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1CCC45F4">
            <w:pPr>
              <w:pStyle w:val="99"/>
              <w:framePr w:wrap="around"/>
              <w:bidi w:val="0"/>
            </w:pPr>
            <w:r>
              <w:t>156000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628A964">
            <w:pPr>
              <w:pStyle w:val="99"/>
              <w:framePr w:wrap="around"/>
              <w:bidi w:val="0"/>
            </w:pPr>
            <w:r>
              <w:t>27300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6095129F">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D56DF9F">
            <w:pPr>
              <w:pStyle w:val="99"/>
              <w:framePr w:wrap="around"/>
              <w:bidi w:val="0"/>
            </w:pPr>
            <w:r>
              <w:t>61425.0</w:t>
            </w:r>
          </w:p>
        </w:tc>
      </w:tr>
      <w:tr w14:paraId="28867649">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3E359202">
            <w:pPr>
              <w:pStyle w:val="99"/>
              <w:framePr w:wrap="around"/>
              <w:bidi w:val="0"/>
            </w:pPr>
            <w:r>
              <w:t>2036</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9EA165C">
            <w:pPr>
              <w:pStyle w:val="99"/>
              <w:framePr w:wrap="around"/>
              <w:bidi w:val="0"/>
            </w:pPr>
            <w:r>
              <w:t>5.8%</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2AAE3E04">
            <w:pPr>
              <w:pStyle w:val="99"/>
              <w:framePr w:wrap="around"/>
              <w:bidi w:val="0"/>
            </w:pPr>
            <w:r>
              <w:t>16.5%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7618ABB8">
            <w:pPr>
              <w:pStyle w:val="99"/>
              <w:framePr w:wrap="around"/>
              <w:bidi w:val="0"/>
            </w:pPr>
            <w:r>
              <w:t>174000</w:t>
            </w:r>
          </w:p>
        </w:tc>
        <w:tc>
          <w:tcPr>
            <w:tcW w:w="2760" w:type="dxa"/>
            <w:gridSpan w:val="3"/>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0EED2AE8">
            <w:pPr>
              <w:pStyle w:val="99"/>
              <w:framePr w:wrap="around"/>
              <w:bidi w:val="0"/>
            </w:pPr>
            <w:r>
              <w:t>28710</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E700DC2">
            <w:pPr>
              <w:pStyle w:val="99"/>
              <w:framePr w:wrap="around"/>
              <w:bidi w:val="0"/>
            </w:pPr>
            <w:r>
              <w:t>22.5</w:t>
            </w:r>
          </w:p>
        </w:tc>
        <w:tc>
          <w:tcPr>
            <w:tcW w:w="2760" w:type="dxa"/>
            <w:gridSpan w:val="2"/>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top"/>
          </w:tcPr>
          <w:p w14:paraId="4C4BA82F">
            <w:pPr>
              <w:pStyle w:val="99"/>
              <w:framePr w:wrap="around"/>
              <w:bidi w:val="0"/>
            </w:pPr>
            <w:r>
              <w:t>64597.5</w:t>
            </w:r>
          </w:p>
        </w:tc>
      </w:tr>
    </w:tbl>
    <w:p w14:paraId="25EF1813">
      <w:pPr>
        <w:pStyle w:val="122"/>
        <w:bidi w:val="0"/>
      </w:pPr>
      <w:bookmarkStart w:id="66" w:name="_Toc1624710227"/>
      <w:r>
        <w:rPr>
          <w:rFonts w:hint="eastAsia"/>
          <w:lang w:val="en-US" w:eastAsia="zh-CN"/>
        </w:rPr>
        <w:t>iSBS帕金森闭环DBS营收预测</w:t>
      </w:r>
      <w:bookmarkEnd w:id="6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2"/>
        <w:gridCol w:w="27"/>
        <w:gridCol w:w="1110"/>
        <w:gridCol w:w="79"/>
        <w:gridCol w:w="1135"/>
        <w:gridCol w:w="55"/>
        <w:gridCol w:w="1235"/>
        <w:gridCol w:w="18"/>
        <w:gridCol w:w="1217"/>
        <w:gridCol w:w="17"/>
        <w:gridCol w:w="1123"/>
        <w:gridCol w:w="139"/>
        <w:gridCol w:w="1235"/>
      </w:tblGrid>
      <w:tr w14:paraId="3EAE1F17">
        <w:tc>
          <w:tcPr>
            <w:tcW w:w="2760" w:type="dxa"/>
            <w:gridSpan w:val="2"/>
            <w:shd w:val="clear" w:color="auto" w:fill="BEBEBE" w:themeFill="background1" w:themeFillShade="BF"/>
            <w:tcMar>
              <w:top w:w="60" w:type="dxa"/>
              <w:left w:w="120" w:type="dxa"/>
              <w:bottom w:w="30" w:type="dxa"/>
              <w:right w:w="120" w:type="dxa"/>
            </w:tcMar>
          </w:tcPr>
          <w:p w14:paraId="2B1332C8">
            <w:pPr>
              <w:pStyle w:val="99"/>
              <w:bidi w:val="0"/>
            </w:pPr>
            <w:r>
              <w:t>年份</w:t>
            </w:r>
          </w:p>
        </w:tc>
        <w:tc>
          <w:tcPr>
            <w:tcW w:w="2760" w:type="dxa"/>
            <w:gridSpan w:val="2"/>
            <w:shd w:val="clear" w:color="auto" w:fill="BEBEBE" w:themeFill="background1" w:themeFillShade="BF"/>
            <w:tcMar>
              <w:top w:w="60" w:type="dxa"/>
              <w:left w:w="120" w:type="dxa"/>
              <w:bottom w:w="30" w:type="dxa"/>
              <w:right w:w="120" w:type="dxa"/>
            </w:tcMar>
          </w:tcPr>
          <w:p w14:paraId="3BF3DD98">
            <w:pPr>
              <w:pStyle w:val="99"/>
              <w:bidi w:val="0"/>
            </w:pPr>
            <w:r>
              <w:t>行业渗透率</w:t>
            </w:r>
          </w:p>
        </w:tc>
        <w:tc>
          <w:tcPr>
            <w:tcW w:w="2760" w:type="dxa"/>
            <w:gridSpan w:val="2"/>
            <w:shd w:val="clear" w:color="auto" w:fill="BEBEBE" w:themeFill="background1" w:themeFillShade="BF"/>
            <w:tcMar>
              <w:top w:w="60" w:type="dxa"/>
              <w:left w:w="120" w:type="dxa"/>
              <w:bottom w:w="30" w:type="dxa"/>
              <w:right w:w="120" w:type="dxa"/>
            </w:tcMar>
          </w:tcPr>
          <w:p w14:paraId="6D2848E5">
            <w:pPr>
              <w:pStyle w:val="99"/>
              <w:bidi w:val="0"/>
            </w:pPr>
            <w:r>
              <w:t>佳量市占</w:t>
            </w:r>
          </w:p>
        </w:tc>
        <w:tc>
          <w:tcPr>
            <w:tcW w:w="2760" w:type="dxa"/>
            <w:shd w:val="clear" w:color="auto" w:fill="BEBEBE" w:themeFill="background1" w:themeFillShade="BF"/>
            <w:tcMar>
              <w:top w:w="60" w:type="dxa"/>
              <w:left w:w="120" w:type="dxa"/>
              <w:bottom w:w="30" w:type="dxa"/>
              <w:right w:w="120" w:type="dxa"/>
            </w:tcMar>
          </w:tcPr>
          <w:p w14:paraId="2B132442">
            <w:pPr>
              <w:pStyle w:val="99"/>
              <w:bidi w:val="0"/>
            </w:pPr>
            <w:r>
              <w:t>行业年植入量 (整数)</w:t>
            </w:r>
          </w:p>
        </w:tc>
        <w:tc>
          <w:tcPr>
            <w:tcW w:w="2760" w:type="dxa"/>
            <w:gridSpan w:val="2"/>
            <w:shd w:val="clear" w:color="auto" w:fill="BEBEBE" w:themeFill="background1" w:themeFillShade="BF"/>
            <w:tcMar>
              <w:top w:w="60" w:type="dxa"/>
              <w:left w:w="120" w:type="dxa"/>
              <w:bottom w:w="30" w:type="dxa"/>
              <w:right w:w="120" w:type="dxa"/>
            </w:tcMar>
          </w:tcPr>
          <w:p w14:paraId="4EADBED3">
            <w:pPr>
              <w:pStyle w:val="99"/>
              <w:bidi w:val="0"/>
            </w:pPr>
            <w:r>
              <w:t>佳量年植入量 (整数)</w:t>
            </w:r>
          </w:p>
        </w:tc>
        <w:tc>
          <w:tcPr>
            <w:tcW w:w="2760" w:type="dxa"/>
            <w:gridSpan w:val="3"/>
            <w:shd w:val="clear" w:color="auto" w:fill="BEBEBE" w:themeFill="background1" w:themeFillShade="BF"/>
            <w:tcMar>
              <w:top w:w="60" w:type="dxa"/>
              <w:left w:w="120" w:type="dxa"/>
              <w:bottom w:w="30" w:type="dxa"/>
              <w:right w:w="120" w:type="dxa"/>
            </w:tcMar>
          </w:tcPr>
          <w:p w14:paraId="5A6DB5A7">
            <w:pPr>
              <w:pStyle w:val="99"/>
              <w:bidi w:val="0"/>
            </w:pPr>
            <w:r>
              <w:t>单价 (万)</w:t>
            </w:r>
          </w:p>
        </w:tc>
        <w:tc>
          <w:tcPr>
            <w:tcW w:w="2760" w:type="dxa"/>
            <w:shd w:val="clear" w:color="auto" w:fill="BEBEBE" w:themeFill="background1" w:themeFillShade="BF"/>
            <w:tcMar>
              <w:top w:w="60" w:type="dxa"/>
              <w:left w:w="120" w:type="dxa"/>
              <w:bottom w:w="30" w:type="dxa"/>
              <w:right w:w="120" w:type="dxa"/>
            </w:tcMar>
          </w:tcPr>
          <w:p w14:paraId="3E7C9808">
            <w:pPr>
              <w:pStyle w:val="99"/>
              <w:bidi w:val="0"/>
            </w:pPr>
            <w:r>
              <w:t>营收 (万元)</w:t>
            </w:r>
          </w:p>
        </w:tc>
      </w:tr>
      <w:tr w14:paraId="683A5789">
        <w:tc>
          <w:tcPr>
            <w:tcW w:w="2760" w:type="dxa"/>
            <w:tcMar>
              <w:top w:w="60" w:type="dxa"/>
              <w:left w:w="120" w:type="dxa"/>
              <w:bottom w:w="30" w:type="dxa"/>
              <w:right w:w="120" w:type="dxa"/>
            </w:tcMar>
            <w:vAlign w:val="top"/>
          </w:tcPr>
          <w:p w14:paraId="204BD2C6">
            <w:pPr>
              <w:pStyle w:val="99"/>
              <w:framePr w:wrap="around"/>
              <w:bidi w:val="0"/>
            </w:pPr>
            <w:r>
              <w:t>2026</w:t>
            </w:r>
          </w:p>
        </w:tc>
        <w:tc>
          <w:tcPr>
            <w:tcW w:w="2760" w:type="dxa"/>
            <w:gridSpan w:val="2"/>
            <w:tcMar>
              <w:top w:w="60" w:type="dxa"/>
              <w:left w:w="120" w:type="dxa"/>
              <w:bottom w:w="30" w:type="dxa"/>
              <w:right w:w="120" w:type="dxa"/>
            </w:tcMar>
            <w:vAlign w:val="top"/>
          </w:tcPr>
          <w:p w14:paraId="13461F10">
            <w:pPr>
              <w:pStyle w:val="99"/>
              <w:framePr w:wrap="around"/>
              <w:bidi w:val="0"/>
            </w:pPr>
            <w:r>
              <w:t>0.0%</w:t>
            </w:r>
          </w:p>
        </w:tc>
        <w:tc>
          <w:tcPr>
            <w:tcW w:w="2760" w:type="dxa"/>
            <w:gridSpan w:val="2"/>
            <w:tcMar>
              <w:top w:w="60" w:type="dxa"/>
              <w:left w:w="120" w:type="dxa"/>
              <w:bottom w:w="30" w:type="dxa"/>
              <w:right w:w="120" w:type="dxa"/>
            </w:tcMar>
            <w:vAlign w:val="top"/>
          </w:tcPr>
          <w:p w14:paraId="2F4F3EEA">
            <w:pPr>
              <w:pStyle w:val="99"/>
              <w:framePr w:wrap="around"/>
              <w:bidi w:val="0"/>
            </w:pPr>
            <w:r>
              <w:t>0.0%</w:t>
            </w:r>
          </w:p>
        </w:tc>
        <w:tc>
          <w:tcPr>
            <w:tcW w:w="2760" w:type="dxa"/>
            <w:gridSpan w:val="3"/>
            <w:tcMar>
              <w:top w:w="60" w:type="dxa"/>
              <w:left w:w="120" w:type="dxa"/>
              <w:bottom w:w="30" w:type="dxa"/>
              <w:right w:w="120" w:type="dxa"/>
            </w:tcMar>
            <w:vAlign w:val="top"/>
          </w:tcPr>
          <w:p w14:paraId="1030474E">
            <w:pPr>
              <w:pStyle w:val="99"/>
              <w:framePr w:wrap="around"/>
              <w:bidi w:val="0"/>
            </w:pPr>
            <w:r>
              <w:t>0</w:t>
            </w:r>
          </w:p>
        </w:tc>
        <w:tc>
          <w:tcPr>
            <w:tcW w:w="2760" w:type="dxa"/>
            <w:gridSpan w:val="2"/>
            <w:tcMar>
              <w:top w:w="60" w:type="dxa"/>
              <w:left w:w="120" w:type="dxa"/>
              <w:bottom w:w="30" w:type="dxa"/>
              <w:right w:w="120" w:type="dxa"/>
            </w:tcMar>
            <w:vAlign w:val="top"/>
          </w:tcPr>
          <w:p w14:paraId="28BDBA7C">
            <w:pPr>
              <w:pStyle w:val="99"/>
              <w:framePr w:wrap="around"/>
              <w:bidi w:val="0"/>
            </w:pPr>
            <w:r>
              <w:t>0</w:t>
            </w:r>
          </w:p>
        </w:tc>
        <w:tc>
          <w:tcPr>
            <w:tcW w:w="2760" w:type="dxa"/>
            <w:tcMar>
              <w:top w:w="60" w:type="dxa"/>
              <w:left w:w="120" w:type="dxa"/>
              <w:bottom w:w="30" w:type="dxa"/>
              <w:right w:w="120" w:type="dxa"/>
            </w:tcMar>
            <w:vAlign w:val="top"/>
          </w:tcPr>
          <w:p w14:paraId="5CE7E815">
            <w:pPr>
              <w:pStyle w:val="99"/>
              <w:framePr w:wrap="around"/>
              <w:bidi w:val="0"/>
            </w:pPr>
            <w:r>
              <w:t>32.0</w:t>
            </w:r>
          </w:p>
        </w:tc>
        <w:tc>
          <w:tcPr>
            <w:tcW w:w="2760" w:type="dxa"/>
            <w:gridSpan w:val="2"/>
            <w:tcMar>
              <w:top w:w="60" w:type="dxa"/>
              <w:left w:w="120" w:type="dxa"/>
              <w:bottom w:w="30" w:type="dxa"/>
              <w:right w:w="120" w:type="dxa"/>
            </w:tcMar>
            <w:vAlign w:val="top"/>
          </w:tcPr>
          <w:p w14:paraId="7764819D">
            <w:pPr>
              <w:pStyle w:val="99"/>
              <w:framePr w:wrap="around"/>
              <w:bidi w:val="0"/>
            </w:pPr>
            <w:r>
              <w:t>0.0</w:t>
            </w:r>
          </w:p>
        </w:tc>
      </w:tr>
      <w:tr w14:paraId="225872C2">
        <w:tc>
          <w:tcPr>
            <w:tcW w:w="2760" w:type="dxa"/>
            <w:tcMar>
              <w:top w:w="60" w:type="dxa"/>
              <w:left w:w="120" w:type="dxa"/>
              <w:bottom w:w="30" w:type="dxa"/>
              <w:right w:w="120" w:type="dxa"/>
            </w:tcMar>
            <w:vAlign w:val="top"/>
          </w:tcPr>
          <w:p w14:paraId="27185D0A">
            <w:pPr>
              <w:pStyle w:val="99"/>
              <w:framePr w:wrap="around"/>
              <w:bidi w:val="0"/>
            </w:pPr>
            <w:r>
              <w:t>2027</w:t>
            </w:r>
          </w:p>
        </w:tc>
        <w:tc>
          <w:tcPr>
            <w:tcW w:w="2760" w:type="dxa"/>
            <w:gridSpan w:val="2"/>
            <w:tcMar>
              <w:top w:w="60" w:type="dxa"/>
              <w:left w:w="120" w:type="dxa"/>
              <w:bottom w:w="30" w:type="dxa"/>
              <w:right w:w="120" w:type="dxa"/>
            </w:tcMar>
            <w:vAlign w:val="top"/>
          </w:tcPr>
          <w:p w14:paraId="193FDD8E">
            <w:pPr>
              <w:pStyle w:val="99"/>
              <w:framePr w:wrap="around"/>
              <w:bidi w:val="0"/>
            </w:pPr>
            <w:r>
              <w:t>0.1%</w:t>
            </w:r>
          </w:p>
        </w:tc>
        <w:tc>
          <w:tcPr>
            <w:tcW w:w="2760" w:type="dxa"/>
            <w:gridSpan w:val="2"/>
            <w:tcMar>
              <w:top w:w="60" w:type="dxa"/>
              <w:left w:w="120" w:type="dxa"/>
              <w:bottom w:w="30" w:type="dxa"/>
              <w:right w:w="120" w:type="dxa"/>
            </w:tcMar>
            <w:vAlign w:val="top"/>
          </w:tcPr>
          <w:p w14:paraId="5401D902">
            <w:pPr>
              <w:pStyle w:val="99"/>
              <w:framePr w:wrap="around"/>
              <w:bidi w:val="0"/>
            </w:pPr>
            <w:r>
              <w:t>25.0%</w:t>
            </w:r>
          </w:p>
        </w:tc>
        <w:tc>
          <w:tcPr>
            <w:tcW w:w="2760" w:type="dxa"/>
            <w:gridSpan w:val="3"/>
            <w:tcMar>
              <w:top w:w="60" w:type="dxa"/>
              <w:left w:w="120" w:type="dxa"/>
              <w:bottom w:w="30" w:type="dxa"/>
              <w:right w:w="120" w:type="dxa"/>
            </w:tcMar>
            <w:vAlign w:val="top"/>
          </w:tcPr>
          <w:p w14:paraId="7EF6F7EC">
            <w:pPr>
              <w:pStyle w:val="99"/>
              <w:framePr w:wrap="around"/>
              <w:bidi w:val="0"/>
            </w:pPr>
            <w:r>
              <w:t>3000</w:t>
            </w:r>
          </w:p>
        </w:tc>
        <w:tc>
          <w:tcPr>
            <w:tcW w:w="2760" w:type="dxa"/>
            <w:gridSpan w:val="2"/>
            <w:tcMar>
              <w:top w:w="60" w:type="dxa"/>
              <w:left w:w="120" w:type="dxa"/>
              <w:bottom w:w="30" w:type="dxa"/>
              <w:right w:w="120" w:type="dxa"/>
            </w:tcMar>
            <w:vAlign w:val="top"/>
          </w:tcPr>
          <w:p w14:paraId="19B2D1BB">
            <w:pPr>
              <w:pStyle w:val="99"/>
              <w:framePr w:wrap="around"/>
              <w:bidi w:val="0"/>
            </w:pPr>
            <w:r>
              <w:t>750</w:t>
            </w:r>
          </w:p>
        </w:tc>
        <w:tc>
          <w:tcPr>
            <w:tcW w:w="2760" w:type="dxa"/>
            <w:tcMar>
              <w:top w:w="60" w:type="dxa"/>
              <w:left w:w="120" w:type="dxa"/>
              <w:bottom w:w="30" w:type="dxa"/>
              <w:right w:w="120" w:type="dxa"/>
            </w:tcMar>
            <w:vAlign w:val="top"/>
          </w:tcPr>
          <w:p w14:paraId="12BF6964">
            <w:pPr>
              <w:pStyle w:val="99"/>
              <w:framePr w:wrap="around"/>
              <w:bidi w:val="0"/>
            </w:pPr>
            <w:r>
              <w:t>32.0</w:t>
            </w:r>
          </w:p>
        </w:tc>
        <w:tc>
          <w:tcPr>
            <w:tcW w:w="2760" w:type="dxa"/>
            <w:gridSpan w:val="2"/>
            <w:tcMar>
              <w:top w:w="60" w:type="dxa"/>
              <w:left w:w="120" w:type="dxa"/>
              <w:bottom w:w="30" w:type="dxa"/>
              <w:right w:w="120" w:type="dxa"/>
            </w:tcMar>
            <w:vAlign w:val="top"/>
          </w:tcPr>
          <w:p w14:paraId="230E3A1A">
            <w:pPr>
              <w:pStyle w:val="99"/>
              <w:framePr w:wrap="around"/>
              <w:bidi w:val="0"/>
            </w:pPr>
            <w:r>
              <w:t>2400.0</w:t>
            </w:r>
          </w:p>
        </w:tc>
      </w:tr>
      <w:tr w14:paraId="016038D8">
        <w:tc>
          <w:tcPr>
            <w:tcW w:w="2760" w:type="dxa"/>
            <w:tcMar>
              <w:top w:w="60" w:type="dxa"/>
              <w:left w:w="120" w:type="dxa"/>
              <w:bottom w:w="30" w:type="dxa"/>
              <w:right w:w="120" w:type="dxa"/>
            </w:tcMar>
            <w:vAlign w:val="top"/>
          </w:tcPr>
          <w:p w14:paraId="147CD9B7">
            <w:pPr>
              <w:pStyle w:val="99"/>
              <w:framePr w:wrap="around"/>
              <w:bidi w:val="0"/>
            </w:pPr>
            <w:r>
              <w:t>2028</w:t>
            </w:r>
          </w:p>
        </w:tc>
        <w:tc>
          <w:tcPr>
            <w:tcW w:w="2760" w:type="dxa"/>
            <w:gridSpan w:val="2"/>
            <w:tcMar>
              <w:top w:w="60" w:type="dxa"/>
              <w:left w:w="120" w:type="dxa"/>
              <w:bottom w:w="30" w:type="dxa"/>
              <w:right w:w="120" w:type="dxa"/>
            </w:tcMar>
            <w:vAlign w:val="top"/>
          </w:tcPr>
          <w:p w14:paraId="446C58D0">
            <w:pPr>
              <w:pStyle w:val="99"/>
              <w:framePr w:wrap="around"/>
              <w:bidi w:val="0"/>
            </w:pPr>
            <w:r>
              <w:t>0.4%</w:t>
            </w:r>
          </w:p>
        </w:tc>
        <w:tc>
          <w:tcPr>
            <w:tcW w:w="2760" w:type="dxa"/>
            <w:gridSpan w:val="2"/>
            <w:tcMar>
              <w:top w:w="60" w:type="dxa"/>
              <w:left w:w="120" w:type="dxa"/>
              <w:bottom w:w="30" w:type="dxa"/>
              <w:right w:w="120" w:type="dxa"/>
            </w:tcMar>
            <w:vAlign w:val="top"/>
          </w:tcPr>
          <w:p w14:paraId="49974CAD">
            <w:pPr>
              <w:pStyle w:val="99"/>
              <w:framePr w:wrap="around"/>
              <w:bidi w:val="0"/>
            </w:pPr>
            <w:r>
              <w:t>24.0%</w:t>
            </w:r>
          </w:p>
        </w:tc>
        <w:tc>
          <w:tcPr>
            <w:tcW w:w="2760" w:type="dxa"/>
            <w:gridSpan w:val="3"/>
            <w:tcMar>
              <w:top w:w="60" w:type="dxa"/>
              <w:left w:w="120" w:type="dxa"/>
              <w:bottom w:w="30" w:type="dxa"/>
              <w:right w:w="120" w:type="dxa"/>
            </w:tcMar>
            <w:vAlign w:val="top"/>
          </w:tcPr>
          <w:p w14:paraId="62B46AB1">
            <w:pPr>
              <w:pStyle w:val="99"/>
              <w:framePr w:wrap="around"/>
              <w:bidi w:val="0"/>
            </w:pPr>
            <w:r>
              <w:t>12000</w:t>
            </w:r>
          </w:p>
        </w:tc>
        <w:tc>
          <w:tcPr>
            <w:tcW w:w="2760" w:type="dxa"/>
            <w:gridSpan w:val="2"/>
            <w:tcMar>
              <w:top w:w="60" w:type="dxa"/>
              <w:left w:w="120" w:type="dxa"/>
              <w:bottom w:w="30" w:type="dxa"/>
              <w:right w:w="120" w:type="dxa"/>
            </w:tcMar>
            <w:vAlign w:val="top"/>
          </w:tcPr>
          <w:p w14:paraId="31F79F93">
            <w:pPr>
              <w:pStyle w:val="99"/>
              <w:framePr w:wrap="around"/>
              <w:bidi w:val="0"/>
            </w:pPr>
            <w:r>
              <w:t>2880</w:t>
            </w:r>
          </w:p>
        </w:tc>
        <w:tc>
          <w:tcPr>
            <w:tcW w:w="2760" w:type="dxa"/>
            <w:tcMar>
              <w:top w:w="60" w:type="dxa"/>
              <w:left w:w="120" w:type="dxa"/>
              <w:bottom w:w="30" w:type="dxa"/>
              <w:right w:w="120" w:type="dxa"/>
            </w:tcMar>
            <w:vAlign w:val="top"/>
          </w:tcPr>
          <w:p w14:paraId="5BCBBBF0">
            <w:pPr>
              <w:pStyle w:val="99"/>
              <w:framePr w:wrap="around"/>
              <w:bidi w:val="0"/>
            </w:pPr>
            <w:r>
              <w:t>32.0</w:t>
            </w:r>
          </w:p>
        </w:tc>
        <w:tc>
          <w:tcPr>
            <w:tcW w:w="2760" w:type="dxa"/>
            <w:gridSpan w:val="2"/>
            <w:tcMar>
              <w:top w:w="60" w:type="dxa"/>
              <w:left w:w="120" w:type="dxa"/>
              <w:bottom w:w="30" w:type="dxa"/>
              <w:right w:w="120" w:type="dxa"/>
            </w:tcMar>
            <w:vAlign w:val="top"/>
          </w:tcPr>
          <w:p w14:paraId="054F6CEE">
            <w:pPr>
              <w:pStyle w:val="99"/>
              <w:framePr w:wrap="around"/>
              <w:bidi w:val="0"/>
            </w:pPr>
            <w:r>
              <w:t>9216.0</w:t>
            </w:r>
          </w:p>
        </w:tc>
      </w:tr>
      <w:tr w14:paraId="524ACBDB">
        <w:tc>
          <w:tcPr>
            <w:tcW w:w="2760" w:type="dxa"/>
            <w:tcMar>
              <w:top w:w="60" w:type="dxa"/>
              <w:left w:w="120" w:type="dxa"/>
              <w:bottom w:w="30" w:type="dxa"/>
              <w:right w:w="120" w:type="dxa"/>
            </w:tcMar>
            <w:vAlign w:val="top"/>
          </w:tcPr>
          <w:p w14:paraId="6CE54EBD">
            <w:pPr>
              <w:pStyle w:val="99"/>
              <w:framePr w:wrap="around"/>
              <w:bidi w:val="0"/>
            </w:pPr>
            <w:r>
              <w:t>2029</w:t>
            </w:r>
          </w:p>
        </w:tc>
        <w:tc>
          <w:tcPr>
            <w:tcW w:w="2760" w:type="dxa"/>
            <w:gridSpan w:val="2"/>
            <w:tcMar>
              <w:top w:w="60" w:type="dxa"/>
              <w:left w:w="120" w:type="dxa"/>
              <w:bottom w:w="30" w:type="dxa"/>
              <w:right w:w="120" w:type="dxa"/>
            </w:tcMar>
            <w:vAlign w:val="top"/>
          </w:tcPr>
          <w:p w14:paraId="5AA90CA1">
            <w:pPr>
              <w:pStyle w:val="99"/>
              <w:framePr w:wrap="around"/>
              <w:bidi w:val="0"/>
            </w:pPr>
            <w:r>
              <w:t>0.8%</w:t>
            </w:r>
          </w:p>
        </w:tc>
        <w:tc>
          <w:tcPr>
            <w:tcW w:w="2760" w:type="dxa"/>
            <w:gridSpan w:val="2"/>
            <w:tcMar>
              <w:top w:w="60" w:type="dxa"/>
              <w:left w:w="120" w:type="dxa"/>
              <w:bottom w:w="30" w:type="dxa"/>
              <w:right w:w="120" w:type="dxa"/>
            </w:tcMar>
            <w:vAlign w:val="top"/>
          </w:tcPr>
          <w:p w14:paraId="3BAE5500">
            <w:pPr>
              <w:pStyle w:val="99"/>
              <w:framePr w:wrap="around"/>
              <w:bidi w:val="0"/>
            </w:pPr>
            <w:r>
              <w:t>22.5%</w:t>
            </w:r>
          </w:p>
        </w:tc>
        <w:tc>
          <w:tcPr>
            <w:tcW w:w="2760" w:type="dxa"/>
            <w:gridSpan w:val="3"/>
            <w:tcMar>
              <w:top w:w="60" w:type="dxa"/>
              <w:left w:w="120" w:type="dxa"/>
              <w:bottom w:w="30" w:type="dxa"/>
              <w:right w:w="120" w:type="dxa"/>
            </w:tcMar>
            <w:vAlign w:val="top"/>
          </w:tcPr>
          <w:p w14:paraId="1C7E31C1">
            <w:pPr>
              <w:pStyle w:val="99"/>
              <w:framePr w:wrap="around"/>
              <w:bidi w:val="0"/>
            </w:pPr>
            <w:r>
              <w:t>24000</w:t>
            </w:r>
          </w:p>
        </w:tc>
        <w:tc>
          <w:tcPr>
            <w:tcW w:w="2760" w:type="dxa"/>
            <w:gridSpan w:val="2"/>
            <w:tcMar>
              <w:top w:w="60" w:type="dxa"/>
              <w:left w:w="120" w:type="dxa"/>
              <w:bottom w:w="30" w:type="dxa"/>
              <w:right w:w="120" w:type="dxa"/>
            </w:tcMar>
            <w:vAlign w:val="top"/>
          </w:tcPr>
          <w:p w14:paraId="31E14BB5">
            <w:pPr>
              <w:pStyle w:val="99"/>
              <w:framePr w:wrap="around"/>
              <w:bidi w:val="0"/>
            </w:pPr>
            <w:r>
              <w:t>5400</w:t>
            </w:r>
          </w:p>
        </w:tc>
        <w:tc>
          <w:tcPr>
            <w:tcW w:w="2760" w:type="dxa"/>
            <w:tcMar>
              <w:top w:w="60" w:type="dxa"/>
              <w:left w:w="120" w:type="dxa"/>
              <w:bottom w:w="30" w:type="dxa"/>
              <w:right w:w="120" w:type="dxa"/>
            </w:tcMar>
            <w:vAlign w:val="top"/>
          </w:tcPr>
          <w:p w14:paraId="23C563E0">
            <w:pPr>
              <w:pStyle w:val="99"/>
              <w:framePr w:wrap="around"/>
              <w:bidi w:val="0"/>
            </w:pPr>
            <w:r>
              <w:t>32.0</w:t>
            </w:r>
          </w:p>
        </w:tc>
        <w:tc>
          <w:tcPr>
            <w:tcW w:w="2760" w:type="dxa"/>
            <w:gridSpan w:val="2"/>
            <w:tcMar>
              <w:top w:w="60" w:type="dxa"/>
              <w:left w:w="120" w:type="dxa"/>
              <w:bottom w:w="30" w:type="dxa"/>
              <w:right w:w="120" w:type="dxa"/>
            </w:tcMar>
            <w:vAlign w:val="top"/>
          </w:tcPr>
          <w:p w14:paraId="17E24F43">
            <w:pPr>
              <w:pStyle w:val="99"/>
              <w:framePr w:wrap="around"/>
              <w:bidi w:val="0"/>
            </w:pPr>
            <w:r>
              <w:t>17280.0</w:t>
            </w:r>
          </w:p>
        </w:tc>
      </w:tr>
      <w:tr w14:paraId="09922966">
        <w:tc>
          <w:tcPr>
            <w:tcW w:w="2760" w:type="dxa"/>
            <w:tcMar>
              <w:top w:w="60" w:type="dxa"/>
              <w:left w:w="120" w:type="dxa"/>
              <w:bottom w:w="30" w:type="dxa"/>
              <w:right w:w="120" w:type="dxa"/>
            </w:tcMar>
            <w:vAlign w:val="top"/>
          </w:tcPr>
          <w:p w14:paraId="67824008">
            <w:pPr>
              <w:pStyle w:val="99"/>
              <w:framePr w:wrap="around"/>
              <w:bidi w:val="0"/>
            </w:pPr>
            <w:r>
              <w:t>2030</w:t>
            </w:r>
          </w:p>
        </w:tc>
        <w:tc>
          <w:tcPr>
            <w:tcW w:w="2760" w:type="dxa"/>
            <w:gridSpan w:val="2"/>
            <w:tcMar>
              <w:top w:w="60" w:type="dxa"/>
              <w:left w:w="120" w:type="dxa"/>
              <w:bottom w:w="30" w:type="dxa"/>
              <w:right w:w="120" w:type="dxa"/>
            </w:tcMar>
            <w:vAlign w:val="top"/>
          </w:tcPr>
          <w:p w14:paraId="1CC19222">
            <w:pPr>
              <w:pStyle w:val="99"/>
              <w:framePr w:wrap="around"/>
              <w:bidi w:val="0"/>
            </w:pPr>
            <w:r>
              <w:t>1.2%</w:t>
            </w:r>
          </w:p>
        </w:tc>
        <w:tc>
          <w:tcPr>
            <w:tcW w:w="2760" w:type="dxa"/>
            <w:gridSpan w:val="2"/>
            <w:tcMar>
              <w:top w:w="60" w:type="dxa"/>
              <w:left w:w="120" w:type="dxa"/>
              <w:bottom w:w="30" w:type="dxa"/>
              <w:right w:w="120" w:type="dxa"/>
            </w:tcMar>
            <w:vAlign w:val="top"/>
          </w:tcPr>
          <w:p w14:paraId="0947EE32">
            <w:pPr>
              <w:pStyle w:val="99"/>
              <w:framePr w:wrap="around"/>
              <w:bidi w:val="0"/>
            </w:pPr>
            <w:r>
              <w:t>21.0%</w:t>
            </w:r>
          </w:p>
        </w:tc>
        <w:tc>
          <w:tcPr>
            <w:tcW w:w="2760" w:type="dxa"/>
            <w:gridSpan w:val="3"/>
            <w:tcMar>
              <w:top w:w="60" w:type="dxa"/>
              <w:left w:w="120" w:type="dxa"/>
              <w:bottom w:w="30" w:type="dxa"/>
              <w:right w:w="120" w:type="dxa"/>
            </w:tcMar>
            <w:vAlign w:val="top"/>
          </w:tcPr>
          <w:p w14:paraId="55D99D88">
            <w:pPr>
              <w:pStyle w:val="99"/>
              <w:framePr w:wrap="around"/>
              <w:bidi w:val="0"/>
            </w:pPr>
            <w:r>
              <w:t>36000</w:t>
            </w:r>
          </w:p>
        </w:tc>
        <w:tc>
          <w:tcPr>
            <w:tcW w:w="2760" w:type="dxa"/>
            <w:gridSpan w:val="2"/>
            <w:tcMar>
              <w:top w:w="60" w:type="dxa"/>
              <w:left w:w="120" w:type="dxa"/>
              <w:bottom w:w="30" w:type="dxa"/>
              <w:right w:w="120" w:type="dxa"/>
            </w:tcMar>
            <w:vAlign w:val="top"/>
          </w:tcPr>
          <w:p w14:paraId="118C3A19">
            <w:pPr>
              <w:pStyle w:val="99"/>
              <w:framePr w:wrap="around"/>
              <w:bidi w:val="0"/>
            </w:pPr>
            <w:r>
              <w:t>7560</w:t>
            </w:r>
          </w:p>
        </w:tc>
        <w:tc>
          <w:tcPr>
            <w:tcW w:w="2760" w:type="dxa"/>
            <w:tcMar>
              <w:top w:w="60" w:type="dxa"/>
              <w:left w:w="120" w:type="dxa"/>
              <w:bottom w:w="30" w:type="dxa"/>
              <w:right w:w="120" w:type="dxa"/>
            </w:tcMar>
            <w:vAlign w:val="top"/>
          </w:tcPr>
          <w:p w14:paraId="2780B681">
            <w:pPr>
              <w:pStyle w:val="99"/>
              <w:framePr w:wrap="around"/>
              <w:bidi w:val="0"/>
            </w:pPr>
            <w:r>
              <w:t>32.0</w:t>
            </w:r>
          </w:p>
        </w:tc>
        <w:tc>
          <w:tcPr>
            <w:tcW w:w="2760" w:type="dxa"/>
            <w:gridSpan w:val="2"/>
            <w:tcMar>
              <w:top w:w="60" w:type="dxa"/>
              <w:left w:w="120" w:type="dxa"/>
              <w:bottom w:w="30" w:type="dxa"/>
              <w:right w:w="120" w:type="dxa"/>
            </w:tcMar>
            <w:vAlign w:val="top"/>
          </w:tcPr>
          <w:p w14:paraId="12E71C91">
            <w:pPr>
              <w:pStyle w:val="99"/>
              <w:framePr w:wrap="around"/>
              <w:bidi w:val="0"/>
            </w:pPr>
            <w:r>
              <w:t>24192.0</w:t>
            </w:r>
          </w:p>
        </w:tc>
      </w:tr>
      <w:tr w14:paraId="247BD4EA">
        <w:tc>
          <w:tcPr>
            <w:tcW w:w="2760" w:type="dxa"/>
            <w:tcMar>
              <w:top w:w="60" w:type="dxa"/>
              <w:left w:w="120" w:type="dxa"/>
              <w:bottom w:w="30" w:type="dxa"/>
              <w:right w:w="120" w:type="dxa"/>
            </w:tcMar>
            <w:vAlign w:val="top"/>
          </w:tcPr>
          <w:p w14:paraId="6F918B95">
            <w:pPr>
              <w:pStyle w:val="99"/>
              <w:framePr w:wrap="around"/>
              <w:bidi w:val="0"/>
            </w:pPr>
            <w:r>
              <w:t>2031</w:t>
            </w:r>
          </w:p>
        </w:tc>
        <w:tc>
          <w:tcPr>
            <w:tcW w:w="2760" w:type="dxa"/>
            <w:gridSpan w:val="2"/>
            <w:tcMar>
              <w:top w:w="60" w:type="dxa"/>
              <w:left w:w="120" w:type="dxa"/>
              <w:bottom w:w="30" w:type="dxa"/>
              <w:right w:w="120" w:type="dxa"/>
            </w:tcMar>
            <w:vAlign w:val="top"/>
          </w:tcPr>
          <w:p w14:paraId="3726610A">
            <w:pPr>
              <w:pStyle w:val="99"/>
              <w:framePr w:wrap="around"/>
              <w:bidi w:val="0"/>
            </w:pPr>
            <w:r>
              <w:t>1.6%</w:t>
            </w:r>
          </w:p>
        </w:tc>
        <w:tc>
          <w:tcPr>
            <w:tcW w:w="2760" w:type="dxa"/>
            <w:gridSpan w:val="2"/>
            <w:tcMar>
              <w:top w:w="60" w:type="dxa"/>
              <w:left w:w="120" w:type="dxa"/>
              <w:bottom w:w="30" w:type="dxa"/>
              <w:right w:w="120" w:type="dxa"/>
            </w:tcMar>
            <w:vAlign w:val="top"/>
          </w:tcPr>
          <w:p w14:paraId="2DFDECFF">
            <w:pPr>
              <w:pStyle w:val="99"/>
              <w:framePr w:wrap="around"/>
              <w:bidi w:val="0"/>
            </w:pPr>
            <w:r>
              <w:t>19.8%</w:t>
            </w:r>
          </w:p>
        </w:tc>
        <w:tc>
          <w:tcPr>
            <w:tcW w:w="2760" w:type="dxa"/>
            <w:gridSpan w:val="3"/>
            <w:tcMar>
              <w:top w:w="60" w:type="dxa"/>
              <w:left w:w="120" w:type="dxa"/>
              <w:bottom w:w="30" w:type="dxa"/>
              <w:right w:w="120" w:type="dxa"/>
            </w:tcMar>
            <w:vAlign w:val="top"/>
          </w:tcPr>
          <w:p w14:paraId="5CAC5315">
            <w:pPr>
              <w:pStyle w:val="99"/>
              <w:framePr w:wrap="around"/>
              <w:bidi w:val="0"/>
            </w:pPr>
            <w:r>
              <w:t>48000</w:t>
            </w:r>
          </w:p>
        </w:tc>
        <w:tc>
          <w:tcPr>
            <w:tcW w:w="2760" w:type="dxa"/>
            <w:gridSpan w:val="2"/>
            <w:tcMar>
              <w:top w:w="60" w:type="dxa"/>
              <w:left w:w="120" w:type="dxa"/>
              <w:bottom w:w="30" w:type="dxa"/>
              <w:right w:w="120" w:type="dxa"/>
            </w:tcMar>
            <w:vAlign w:val="top"/>
          </w:tcPr>
          <w:p w14:paraId="3FB9C70C">
            <w:pPr>
              <w:pStyle w:val="99"/>
              <w:framePr w:wrap="around"/>
              <w:bidi w:val="0"/>
            </w:pPr>
            <w:r>
              <w:t>9504</w:t>
            </w:r>
          </w:p>
        </w:tc>
        <w:tc>
          <w:tcPr>
            <w:tcW w:w="2760" w:type="dxa"/>
            <w:tcMar>
              <w:top w:w="60" w:type="dxa"/>
              <w:left w:w="120" w:type="dxa"/>
              <w:bottom w:w="30" w:type="dxa"/>
              <w:right w:w="120" w:type="dxa"/>
            </w:tcMar>
            <w:vAlign w:val="top"/>
          </w:tcPr>
          <w:p w14:paraId="00C64A07">
            <w:pPr>
              <w:pStyle w:val="99"/>
              <w:framePr w:wrap="around"/>
              <w:bidi w:val="0"/>
            </w:pPr>
            <w:r>
              <w:t>32.0</w:t>
            </w:r>
          </w:p>
        </w:tc>
        <w:tc>
          <w:tcPr>
            <w:tcW w:w="2760" w:type="dxa"/>
            <w:gridSpan w:val="2"/>
            <w:tcMar>
              <w:top w:w="60" w:type="dxa"/>
              <w:left w:w="120" w:type="dxa"/>
              <w:bottom w:w="30" w:type="dxa"/>
              <w:right w:w="120" w:type="dxa"/>
            </w:tcMar>
            <w:vAlign w:val="top"/>
          </w:tcPr>
          <w:p w14:paraId="5CA32E24">
            <w:pPr>
              <w:pStyle w:val="99"/>
              <w:framePr w:wrap="around"/>
              <w:bidi w:val="0"/>
            </w:pPr>
            <w:r>
              <w:t>30412.8</w:t>
            </w:r>
          </w:p>
        </w:tc>
      </w:tr>
      <w:tr w14:paraId="6441A5E8">
        <w:tc>
          <w:tcPr>
            <w:tcW w:w="2760" w:type="dxa"/>
            <w:tcMar>
              <w:top w:w="60" w:type="dxa"/>
              <w:left w:w="120" w:type="dxa"/>
              <w:bottom w:w="30" w:type="dxa"/>
              <w:right w:w="120" w:type="dxa"/>
            </w:tcMar>
            <w:vAlign w:val="top"/>
          </w:tcPr>
          <w:p w14:paraId="3563B2CE">
            <w:pPr>
              <w:pStyle w:val="99"/>
              <w:framePr w:wrap="around"/>
              <w:bidi w:val="0"/>
            </w:pPr>
            <w:r>
              <w:t>2032</w:t>
            </w:r>
          </w:p>
        </w:tc>
        <w:tc>
          <w:tcPr>
            <w:tcW w:w="2760" w:type="dxa"/>
            <w:gridSpan w:val="2"/>
            <w:tcMar>
              <w:top w:w="60" w:type="dxa"/>
              <w:left w:w="120" w:type="dxa"/>
              <w:bottom w:w="30" w:type="dxa"/>
              <w:right w:w="120" w:type="dxa"/>
            </w:tcMar>
            <w:vAlign w:val="top"/>
          </w:tcPr>
          <w:p w14:paraId="4D4FF309">
            <w:pPr>
              <w:pStyle w:val="99"/>
              <w:framePr w:wrap="around"/>
              <w:bidi w:val="0"/>
            </w:pPr>
            <w:r>
              <w:t>2.0%</w:t>
            </w:r>
          </w:p>
        </w:tc>
        <w:tc>
          <w:tcPr>
            <w:tcW w:w="2760" w:type="dxa"/>
            <w:gridSpan w:val="2"/>
            <w:tcMar>
              <w:top w:w="60" w:type="dxa"/>
              <w:left w:w="120" w:type="dxa"/>
              <w:bottom w:w="30" w:type="dxa"/>
              <w:right w:w="120" w:type="dxa"/>
            </w:tcMar>
            <w:vAlign w:val="top"/>
          </w:tcPr>
          <w:p w14:paraId="3FF0ECCD">
            <w:pPr>
              <w:pStyle w:val="99"/>
              <w:framePr w:wrap="around"/>
              <w:bidi w:val="0"/>
            </w:pPr>
            <w:r>
              <w:t>18.5%</w:t>
            </w:r>
          </w:p>
        </w:tc>
        <w:tc>
          <w:tcPr>
            <w:tcW w:w="2760" w:type="dxa"/>
            <w:gridSpan w:val="3"/>
            <w:tcMar>
              <w:top w:w="60" w:type="dxa"/>
              <w:left w:w="120" w:type="dxa"/>
              <w:bottom w:w="30" w:type="dxa"/>
              <w:right w:w="120" w:type="dxa"/>
            </w:tcMar>
            <w:vAlign w:val="top"/>
          </w:tcPr>
          <w:p w14:paraId="23A57B2D">
            <w:pPr>
              <w:pStyle w:val="99"/>
              <w:framePr w:wrap="around"/>
              <w:bidi w:val="0"/>
            </w:pPr>
            <w:r>
              <w:t>60000</w:t>
            </w:r>
          </w:p>
        </w:tc>
        <w:tc>
          <w:tcPr>
            <w:tcW w:w="2760" w:type="dxa"/>
            <w:gridSpan w:val="2"/>
            <w:tcMar>
              <w:top w:w="60" w:type="dxa"/>
              <w:left w:w="120" w:type="dxa"/>
              <w:bottom w:w="30" w:type="dxa"/>
              <w:right w:w="120" w:type="dxa"/>
            </w:tcMar>
            <w:vAlign w:val="top"/>
          </w:tcPr>
          <w:p w14:paraId="469FAD04">
            <w:pPr>
              <w:pStyle w:val="99"/>
              <w:framePr w:wrap="around"/>
              <w:bidi w:val="0"/>
            </w:pPr>
            <w:r>
              <w:t>11100</w:t>
            </w:r>
          </w:p>
        </w:tc>
        <w:tc>
          <w:tcPr>
            <w:tcW w:w="2760" w:type="dxa"/>
            <w:tcMar>
              <w:top w:w="60" w:type="dxa"/>
              <w:left w:w="120" w:type="dxa"/>
              <w:bottom w:w="30" w:type="dxa"/>
              <w:right w:w="120" w:type="dxa"/>
            </w:tcMar>
            <w:vAlign w:val="top"/>
          </w:tcPr>
          <w:p w14:paraId="2092F906">
            <w:pPr>
              <w:pStyle w:val="99"/>
              <w:framePr w:wrap="around"/>
              <w:bidi w:val="0"/>
            </w:pPr>
            <w:r>
              <w:t>32.0</w:t>
            </w:r>
          </w:p>
        </w:tc>
        <w:tc>
          <w:tcPr>
            <w:tcW w:w="2760" w:type="dxa"/>
            <w:gridSpan w:val="2"/>
            <w:tcMar>
              <w:top w:w="60" w:type="dxa"/>
              <w:left w:w="120" w:type="dxa"/>
              <w:bottom w:w="30" w:type="dxa"/>
              <w:right w:w="120" w:type="dxa"/>
            </w:tcMar>
            <w:vAlign w:val="top"/>
          </w:tcPr>
          <w:p w14:paraId="4FC67C16">
            <w:pPr>
              <w:pStyle w:val="99"/>
              <w:framePr w:wrap="around"/>
              <w:bidi w:val="0"/>
            </w:pPr>
            <w:r>
              <w:t>35520.0</w:t>
            </w:r>
          </w:p>
        </w:tc>
      </w:tr>
      <w:tr w14:paraId="408AA157">
        <w:tc>
          <w:tcPr>
            <w:tcW w:w="2760" w:type="dxa"/>
            <w:tcMar>
              <w:top w:w="60" w:type="dxa"/>
              <w:left w:w="120" w:type="dxa"/>
              <w:bottom w:w="30" w:type="dxa"/>
              <w:right w:w="120" w:type="dxa"/>
            </w:tcMar>
            <w:vAlign w:val="top"/>
          </w:tcPr>
          <w:p w14:paraId="53D4E3A2">
            <w:pPr>
              <w:pStyle w:val="99"/>
              <w:framePr w:wrap="around"/>
              <w:bidi w:val="0"/>
            </w:pPr>
            <w:r>
              <w:t>2033</w:t>
            </w:r>
          </w:p>
        </w:tc>
        <w:tc>
          <w:tcPr>
            <w:tcW w:w="2760" w:type="dxa"/>
            <w:gridSpan w:val="2"/>
            <w:tcMar>
              <w:top w:w="60" w:type="dxa"/>
              <w:left w:w="120" w:type="dxa"/>
              <w:bottom w:w="30" w:type="dxa"/>
              <w:right w:w="120" w:type="dxa"/>
            </w:tcMar>
            <w:vAlign w:val="top"/>
          </w:tcPr>
          <w:p w14:paraId="19070CDE">
            <w:pPr>
              <w:pStyle w:val="99"/>
              <w:framePr w:wrap="around"/>
              <w:bidi w:val="0"/>
            </w:pPr>
            <w:r>
              <w:t>2.4%</w:t>
            </w:r>
          </w:p>
        </w:tc>
        <w:tc>
          <w:tcPr>
            <w:tcW w:w="2760" w:type="dxa"/>
            <w:gridSpan w:val="2"/>
            <w:tcMar>
              <w:top w:w="60" w:type="dxa"/>
              <w:left w:w="120" w:type="dxa"/>
              <w:bottom w:w="30" w:type="dxa"/>
              <w:right w:w="120" w:type="dxa"/>
            </w:tcMar>
            <w:vAlign w:val="top"/>
          </w:tcPr>
          <w:p w14:paraId="52D24F15">
            <w:pPr>
              <w:pStyle w:val="99"/>
              <w:framePr w:wrap="around"/>
              <w:bidi w:val="0"/>
            </w:pPr>
            <w:r>
              <w:t>17.5%</w:t>
            </w:r>
          </w:p>
        </w:tc>
        <w:tc>
          <w:tcPr>
            <w:tcW w:w="2760" w:type="dxa"/>
            <w:gridSpan w:val="3"/>
            <w:tcMar>
              <w:top w:w="60" w:type="dxa"/>
              <w:left w:w="120" w:type="dxa"/>
              <w:bottom w:w="30" w:type="dxa"/>
              <w:right w:w="120" w:type="dxa"/>
            </w:tcMar>
            <w:vAlign w:val="top"/>
          </w:tcPr>
          <w:p w14:paraId="24A76454">
            <w:pPr>
              <w:pStyle w:val="99"/>
              <w:framePr w:wrap="around"/>
              <w:bidi w:val="0"/>
            </w:pPr>
            <w:r>
              <w:t>72000</w:t>
            </w:r>
          </w:p>
        </w:tc>
        <w:tc>
          <w:tcPr>
            <w:tcW w:w="2760" w:type="dxa"/>
            <w:gridSpan w:val="2"/>
            <w:tcMar>
              <w:top w:w="60" w:type="dxa"/>
              <w:left w:w="120" w:type="dxa"/>
              <w:bottom w:w="30" w:type="dxa"/>
              <w:right w:w="120" w:type="dxa"/>
            </w:tcMar>
            <w:vAlign w:val="top"/>
          </w:tcPr>
          <w:p w14:paraId="330F380C">
            <w:pPr>
              <w:pStyle w:val="99"/>
              <w:framePr w:wrap="around"/>
              <w:bidi w:val="0"/>
            </w:pPr>
            <w:r>
              <w:t>12600</w:t>
            </w:r>
          </w:p>
        </w:tc>
        <w:tc>
          <w:tcPr>
            <w:tcW w:w="2760" w:type="dxa"/>
            <w:tcMar>
              <w:top w:w="60" w:type="dxa"/>
              <w:left w:w="120" w:type="dxa"/>
              <w:bottom w:w="30" w:type="dxa"/>
              <w:right w:w="120" w:type="dxa"/>
            </w:tcMar>
            <w:vAlign w:val="top"/>
          </w:tcPr>
          <w:p w14:paraId="45474F26">
            <w:pPr>
              <w:pStyle w:val="99"/>
              <w:framePr w:wrap="around"/>
              <w:bidi w:val="0"/>
            </w:pPr>
            <w:r>
              <w:t>32.0</w:t>
            </w:r>
          </w:p>
        </w:tc>
        <w:tc>
          <w:tcPr>
            <w:tcW w:w="2760" w:type="dxa"/>
            <w:gridSpan w:val="2"/>
            <w:tcMar>
              <w:top w:w="60" w:type="dxa"/>
              <w:left w:w="120" w:type="dxa"/>
              <w:bottom w:w="30" w:type="dxa"/>
              <w:right w:w="120" w:type="dxa"/>
            </w:tcMar>
            <w:vAlign w:val="top"/>
          </w:tcPr>
          <w:p w14:paraId="09738227">
            <w:pPr>
              <w:pStyle w:val="99"/>
              <w:framePr w:wrap="around"/>
              <w:bidi w:val="0"/>
            </w:pPr>
            <w:r>
              <w:t>40320.0</w:t>
            </w:r>
          </w:p>
        </w:tc>
      </w:tr>
      <w:tr w14:paraId="3498B4AE">
        <w:tc>
          <w:tcPr>
            <w:tcW w:w="2760" w:type="dxa"/>
            <w:tcMar>
              <w:top w:w="60" w:type="dxa"/>
              <w:left w:w="120" w:type="dxa"/>
              <w:bottom w:w="30" w:type="dxa"/>
              <w:right w:w="120" w:type="dxa"/>
            </w:tcMar>
            <w:vAlign w:val="top"/>
          </w:tcPr>
          <w:p w14:paraId="775A9101">
            <w:pPr>
              <w:pStyle w:val="99"/>
              <w:framePr w:wrap="around"/>
              <w:bidi w:val="0"/>
            </w:pPr>
            <w:r>
              <w:t>2034</w:t>
            </w:r>
          </w:p>
        </w:tc>
        <w:tc>
          <w:tcPr>
            <w:tcW w:w="2760" w:type="dxa"/>
            <w:gridSpan w:val="2"/>
            <w:tcMar>
              <w:top w:w="60" w:type="dxa"/>
              <w:left w:w="120" w:type="dxa"/>
              <w:bottom w:w="30" w:type="dxa"/>
              <w:right w:w="120" w:type="dxa"/>
            </w:tcMar>
            <w:vAlign w:val="top"/>
          </w:tcPr>
          <w:p w14:paraId="0E44596E">
            <w:pPr>
              <w:pStyle w:val="99"/>
              <w:framePr w:wrap="around"/>
              <w:bidi w:val="0"/>
            </w:pPr>
            <w:r>
              <w:t>2.8%</w:t>
            </w:r>
          </w:p>
        </w:tc>
        <w:tc>
          <w:tcPr>
            <w:tcW w:w="2760" w:type="dxa"/>
            <w:gridSpan w:val="2"/>
            <w:tcMar>
              <w:top w:w="60" w:type="dxa"/>
              <w:left w:w="120" w:type="dxa"/>
              <w:bottom w:w="30" w:type="dxa"/>
              <w:right w:w="120" w:type="dxa"/>
            </w:tcMar>
            <w:vAlign w:val="top"/>
          </w:tcPr>
          <w:p w14:paraId="265604C4">
            <w:pPr>
              <w:pStyle w:val="99"/>
              <w:framePr w:wrap="around"/>
              <w:bidi w:val="0"/>
            </w:pPr>
            <w:r>
              <w:t>16.5%</w:t>
            </w:r>
          </w:p>
        </w:tc>
        <w:tc>
          <w:tcPr>
            <w:tcW w:w="2760" w:type="dxa"/>
            <w:gridSpan w:val="3"/>
            <w:tcMar>
              <w:top w:w="60" w:type="dxa"/>
              <w:left w:w="120" w:type="dxa"/>
              <w:bottom w:w="30" w:type="dxa"/>
              <w:right w:w="120" w:type="dxa"/>
            </w:tcMar>
            <w:vAlign w:val="top"/>
          </w:tcPr>
          <w:p w14:paraId="1072DEDE">
            <w:pPr>
              <w:pStyle w:val="99"/>
              <w:framePr w:wrap="around"/>
              <w:bidi w:val="0"/>
            </w:pPr>
            <w:r>
              <w:t>84000</w:t>
            </w:r>
          </w:p>
        </w:tc>
        <w:tc>
          <w:tcPr>
            <w:tcW w:w="2760" w:type="dxa"/>
            <w:gridSpan w:val="2"/>
            <w:tcMar>
              <w:top w:w="60" w:type="dxa"/>
              <w:left w:w="120" w:type="dxa"/>
              <w:bottom w:w="30" w:type="dxa"/>
              <w:right w:w="120" w:type="dxa"/>
            </w:tcMar>
            <w:vAlign w:val="top"/>
          </w:tcPr>
          <w:p w14:paraId="1A677459">
            <w:pPr>
              <w:pStyle w:val="99"/>
              <w:framePr w:wrap="around"/>
              <w:bidi w:val="0"/>
            </w:pPr>
            <w:r>
              <w:t>13860</w:t>
            </w:r>
          </w:p>
        </w:tc>
        <w:tc>
          <w:tcPr>
            <w:tcW w:w="2760" w:type="dxa"/>
            <w:tcMar>
              <w:top w:w="60" w:type="dxa"/>
              <w:left w:w="120" w:type="dxa"/>
              <w:bottom w:w="30" w:type="dxa"/>
              <w:right w:w="120" w:type="dxa"/>
            </w:tcMar>
            <w:vAlign w:val="top"/>
          </w:tcPr>
          <w:p w14:paraId="5D3C8428">
            <w:pPr>
              <w:pStyle w:val="99"/>
              <w:framePr w:wrap="around"/>
              <w:bidi w:val="0"/>
            </w:pPr>
            <w:r>
              <w:t>32.0</w:t>
            </w:r>
          </w:p>
        </w:tc>
        <w:tc>
          <w:tcPr>
            <w:tcW w:w="2760" w:type="dxa"/>
            <w:gridSpan w:val="2"/>
            <w:tcMar>
              <w:top w:w="60" w:type="dxa"/>
              <w:left w:w="120" w:type="dxa"/>
              <w:bottom w:w="30" w:type="dxa"/>
              <w:right w:w="120" w:type="dxa"/>
            </w:tcMar>
            <w:vAlign w:val="top"/>
          </w:tcPr>
          <w:p w14:paraId="5C33DD03">
            <w:pPr>
              <w:pStyle w:val="99"/>
              <w:framePr w:wrap="around"/>
              <w:bidi w:val="0"/>
            </w:pPr>
            <w:r>
              <w:t>44352.0</w:t>
            </w:r>
          </w:p>
        </w:tc>
      </w:tr>
      <w:tr w14:paraId="4CAA8EA8">
        <w:tc>
          <w:tcPr>
            <w:tcW w:w="2760" w:type="dxa"/>
            <w:tcMar>
              <w:top w:w="60" w:type="dxa"/>
              <w:left w:w="120" w:type="dxa"/>
              <w:bottom w:w="30" w:type="dxa"/>
              <w:right w:w="120" w:type="dxa"/>
            </w:tcMar>
            <w:vAlign w:val="top"/>
          </w:tcPr>
          <w:p w14:paraId="3B7F0E3E">
            <w:pPr>
              <w:pStyle w:val="99"/>
              <w:framePr w:wrap="around"/>
              <w:bidi w:val="0"/>
            </w:pPr>
            <w:r>
              <w:t>2035</w:t>
            </w:r>
          </w:p>
        </w:tc>
        <w:tc>
          <w:tcPr>
            <w:tcW w:w="2760" w:type="dxa"/>
            <w:gridSpan w:val="2"/>
            <w:tcMar>
              <w:top w:w="60" w:type="dxa"/>
              <w:left w:w="120" w:type="dxa"/>
              <w:bottom w:w="30" w:type="dxa"/>
              <w:right w:w="120" w:type="dxa"/>
            </w:tcMar>
            <w:vAlign w:val="top"/>
          </w:tcPr>
          <w:p w14:paraId="0B40088A">
            <w:pPr>
              <w:pStyle w:val="99"/>
              <w:framePr w:wrap="around"/>
              <w:bidi w:val="0"/>
            </w:pPr>
            <w:r>
              <w:t>3.2%</w:t>
            </w:r>
          </w:p>
        </w:tc>
        <w:tc>
          <w:tcPr>
            <w:tcW w:w="2760" w:type="dxa"/>
            <w:gridSpan w:val="2"/>
            <w:tcMar>
              <w:top w:w="60" w:type="dxa"/>
              <w:left w:w="120" w:type="dxa"/>
              <w:bottom w:w="30" w:type="dxa"/>
              <w:right w:w="120" w:type="dxa"/>
            </w:tcMar>
            <w:vAlign w:val="top"/>
          </w:tcPr>
          <w:p w14:paraId="2FAA98CE">
            <w:pPr>
              <w:pStyle w:val="99"/>
              <w:framePr w:wrap="around"/>
              <w:bidi w:val="0"/>
            </w:pPr>
            <w:r>
              <w:t>15.8%</w:t>
            </w:r>
          </w:p>
        </w:tc>
        <w:tc>
          <w:tcPr>
            <w:tcW w:w="2760" w:type="dxa"/>
            <w:gridSpan w:val="3"/>
            <w:tcMar>
              <w:top w:w="60" w:type="dxa"/>
              <w:left w:w="120" w:type="dxa"/>
              <w:bottom w:w="30" w:type="dxa"/>
              <w:right w:w="120" w:type="dxa"/>
            </w:tcMar>
            <w:vAlign w:val="top"/>
          </w:tcPr>
          <w:p w14:paraId="0C553E4E">
            <w:pPr>
              <w:pStyle w:val="99"/>
              <w:framePr w:wrap="around"/>
              <w:bidi w:val="0"/>
            </w:pPr>
            <w:r>
              <w:t>96000</w:t>
            </w:r>
          </w:p>
        </w:tc>
        <w:tc>
          <w:tcPr>
            <w:tcW w:w="2760" w:type="dxa"/>
            <w:gridSpan w:val="2"/>
            <w:tcMar>
              <w:top w:w="60" w:type="dxa"/>
              <w:left w:w="120" w:type="dxa"/>
              <w:bottom w:w="30" w:type="dxa"/>
              <w:right w:w="120" w:type="dxa"/>
            </w:tcMar>
            <w:vAlign w:val="top"/>
          </w:tcPr>
          <w:p w14:paraId="72E74185">
            <w:pPr>
              <w:pStyle w:val="99"/>
              <w:framePr w:wrap="around"/>
              <w:bidi w:val="0"/>
            </w:pPr>
            <w:r>
              <w:t>15168</w:t>
            </w:r>
          </w:p>
        </w:tc>
        <w:tc>
          <w:tcPr>
            <w:tcW w:w="2760" w:type="dxa"/>
            <w:tcMar>
              <w:top w:w="60" w:type="dxa"/>
              <w:left w:w="120" w:type="dxa"/>
              <w:bottom w:w="30" w:type="dxa"/>
              <w:right w:w="120" w:type="dxa"/>
            </w:tcMar>
            <w:vAlign w:val="top"/>
          </w:tcPr>
          <w:p w14:paraId="089F8C59">
            <w:pPr>
              <w:pStyle w:val="99"/>
              <w:framePr w:wrap="around"/>
              <w:bidi w:val="0"/>
            </w:pPr>
            <w:r>
              <w:t>32.0</w:t>
            </w:r>
          </w:p>
        </w:tc>
        <w:tc>
          <w:tcPr>
            <w:tcW w:w="2760" w:type="dxa"/>
            <w:gridSpan w:val="2"/>
            <w:tcMar>
              <w:top w:w="60" w:type="dxa"/>
              <w:left w:w="120" w:type="dxa"/>
              <w:bottom w:w="30" w:type="dxa"/>
              <w:right w:w="120" w:type="dxa"/>
            </w:tcMar>
            <w:vAlign w:val="top"/>
          </w:tcPr>
          <w:p w14:paraId="0BBEF3F0">
            <w:pPr>
              <w:pStyle w:val="99"/>
              <w:framePr w:wrap="around"/>
              <w:bidi w:val="0"/>
            </w:pPr>
            <w:r>
              <w:t>48537.6</w:t>
            </w:r>
          </w:p>
        </w:tc>
      </w:tr>
      <w:tr w14:paraId="328720DD">
        <w:tc>
          <w:tcPr>
            <w:tcW w:w="2760" w:type="dxa"/>
            <w:tcMar>
              <w:top w:w="60" w:type="dxa"/>
              <w:left w:w="120" w:type="dxa"/>
              <w:bottom w:w="30" w:type="dxa"/>
              <w:right w:w="120" w:type="dxa"/>
            </w:tcMar>
            <w:vAlign w:val="top"/>
          </w:tcPr>
          <w:p w14:paraId="1A756112">
            <w:pPr>
              <w:pStyle w:val="99"/>
              <w:framePr w:wrap="around"/>
              <w:bidi w:val="0"/>
            </w:pPr>
            <w:r>
              <w:t>2036</w:t>
            </w:r>
          </w:p>
        </w:tc>
        <w:tc>
          <w:tcPr>
            <w:tcW w:w="2760" w:type="dxa"/>
            <w:gridSpan w:val="2"/>
            <w:tcMar>
              <w:top w:w="60" w:type="dxa"/>
              <w:left w:w="120" w:type="dxa"/>
              <w:bottom w:w="30" w:type="dxa"/>
              <w:right w:w="120" w:type="dxa"/>
            </w:tcMar>
            <w:vAlign w:val="top"/>
          </w:tcPr>
          <w:p w14:paraId="703C301D">
            <w:pPr>
              <w:pStyle w:val="99"/>
              <w:framePr w:wrap="around"/>
              <w:bidi w:val="0"/>
            </w:pPr>
            <w:r>
              <w:t>3.6%</w:t>
            </w:r>
          </w:p>
        </w:tc>
        <w:tc>
          <w:tcPr>
            <w:tcW w:w="2760" w:type="dxa"/>
            <w:gridSpan w:val="2"/>
            <w:tcMar>
              <w:top w:w="60" w:type="dxa"/>
              <w:left w:w="120" w:type="dxa"/>
              <w:bottom w:w="30" w:type="dxa"/>
              <w:right w:w="120" w:type="dxa"/>
            </w:tcMar>
            <w:vAlign w:val="top"/>
          </w:tcPr>
          <w:p w14:paraId="005A89EC">
            <w:pPr>
              <w:pStyle w:val="99"/>
              <w:framePr w:wrap="around"/>
              <w:bidi w:val="0"/>
            </w:pPr>
            <w:r>
              <w:t>15.0%</w:t>
            </w:r>
          </w:p>
        </w:tc>
        <w:tc>
          <w:tcPr>
            <w:tcW w:w="2760" w:type="dxa"/>
            <w:gridSpan w:val="3"/>
            <w:tcMar>
              <w:top w:w="60" w:type="dxa"/>
              <w:left w:w="120" w:type="dxa"/>
              <w:bottom w:w="30" w:type="dxa"/>
              <w:right w:w="120" w:type="dxa"/>
            </w:tcMar>
            <w:vAlign w:val="top"/>
          </w:tcPr>
          <w:p w14:paraId="43A67DB7">
            <w:pPr>
              <w:pStyle w:val="99"/>
              <w:framePr w:wrap="around"/>
              <w:bidi w:val="0"/>
            </w:pPr>
            <w:r>
              <w:t>108000</w:t>
            </w:r>
          </w:p>
        </w:tc>
        <w:tc>
          <w:tcPr>
            <w:tcW w:w="2760" w:type="dxa"/>
            <w:gridSpan w:val="2"/>
            <w:tcMar>
              <w:top w:w="60" w:type="dxa"/>
              <w:left w:w="120" w:type="dxa"/>
              <w:bottom w:w="30" w:type="dxa"/>
              <w:right w:w="120" w:type="dxa"/>
            </w:tcMar>
            <w:vAlign w:val="top"/>
          </w:tcPr>
          <w:p w14:paraId="77380157">
            <w:pPr>
              <w:pStyle w:val="99"/>
              <w:framePr w:wrap="around"/>
              <w:bidi w:val="0"/>
            </w:pPr>
            <w:r>
              <w:t>16200</w:t>
            </w:r>
          </w:p>
        </w:tc>
        <w:tc>
          <w:tcPr>
            <w:tcW w:w="2760" w:type="dxa"/>
            <w:tcMar>
              <w:top w:w="60" w:type="dxa"/>
              <w:left w:w="120" w:type="dxa"/>
              <w:bottom w:w="30" w:type="dxa"/>
              <w:right w:w="120" w:type="dxa"/>
            </w:tcMar>
            <w:vAlign w:val="top"/>
          </w:tcPr>
          <w:p w14:paraId="3ED9834E">
            <w:pPr>
              <w:pStyle w:val="99"/>
              <w:framePr w:wrap="around"/>
              <w:bidi w:val="0"/>
            </w:pPr>
            <w:r>
              <w:t>32.0</w:t>
            </w:r>
          </w:p>
        </w:tc>
        <w:tc>
          <w:tcPr>
            <w:tcW w:w="2760" w:type="dxa"/>
            <w:gridSpan w:val="2"/>
            <w:tcMar>
              <w:top w:w="60" w:type="dxa"/>
              <w:left w:w="120" w:type="dxa"/>
              <w:bottom w:w="30" w:type="dxa"/>
              <w:right w:w="120" w:type="dxa"/>
            </w:tcMar>
            <w:vAlign w:val="top"/>
          </w:tcPr>
          <w:p w14:paraId="581AB5B2">
            <w:pPr>
              <w:pStyle w:val="99"/>
              <w:framePr w:wrap="around"/>
              <w:bidi w:val="0"/>
            </w:pPr>
            <w:r>
              <w:t>51840.0</w:t>
            </w:r>
          </w:p>
        </w:tc>
      </w:tr>
    </w:tbl>
    <w:p w14:paraId="2440DA5F">
      <w:pPr>
        <w:pStyle w:val="122"/>
        <w:bidi w:val="0"/>
      </w:pPr>
      <w:bookmarkStart w:id="67" w:name="_Toc1250213584"/>
      <w:r>
        <w:rPr>
          <w:rFonts w:hint="eastAsia"/>
          <w:lang w:val="en-US" w:eastAsia="zh-CN"/>
        </w:rPr>
        <w:t>EES脊髓损伤闭环营收预测</w:t>
      </w:r>
      <w:bookmarkEnd w:id="6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1"/>
        <w:gridCol w:w="18"/>
        <w:gridCol w:w="1121"/>
        <w:gridCol w:w="68"/>
        <w:gridCol w:w="1157"/>
        <w:gridCol w:w="33"/>
        <w:gridCol w:w="1211"/>
        <w:gridCol w:w="24"/>
        <w:gridCol w:w="1227"/>
        <w:gridCol w:w="8"/>
        <w:gridCol w:w="1128"/>
        <w:gridCol w:w="151"/>
        <w:gridCol w:w="1235"/>
      </w:tblGrid>
      <w:tr w14:paraId="7707E296">
        <w:tc>
          <w:tcPr>
            <w:tcW w:w="2760" w:type="dxa"/>
            <w:gridSpan w:val="2"/>
            <w:shd w:val="clear" w:color="auto" w:fill="BEBEBE" w:themeFill="background1" w:themeFillShade="BF"/>
            <w:tcMar>
              <w:top w:w="60" w:type="dxa"/>
              <w:left w:w="120" w:type="dxa"/>
              <w:bottom w:w="30" w:type="dxa"/>
              <w:right w:w="120" w:type="dxa"/>
            </w:tcMar>
          </w:tcPr>
          <w:p w14:paraId="64EA8DDA">
            <w:pPr>
              <w:pStyle w:val="99"/>
              <w:bidi w:val="0"/>
            </w:pPr>
            <w:r>
              <w:t>年份</w:t>
            </w:r>
          </w:p>
        </w:tc>
        <w:tc>
          <w:tcPr>
            <w:tcW w:w="2760" w:type="dxa"/>
            <w:gridSpan w:val="2"/>
            <w:shd w:val="clear" w:color="auto" w:fill="BEBEBE" w:themeFill="background1" w:themeFillShade="BF"/>
            <w:tcMar>
              <w:top w:w="60" w:type="dxa"/>
              <w:left w:w="120" w:type="dxa"/>
              <w:bottom w:w="30" w:type="dxa"/>
              <w:right w:w="120" w:type="dxa"/>
            </w:tcMar>
          </w:tcPr>
          <w:p w14:paraId="48150395">
            <w:pPr>
              <w:pStyle w:val="99"/>
              <w:bidi w:val="0"/>
            </w:pPr>
            <w:r>
              <w:t>行业渗透率</w:t>
            </w:r>
          </w:p>
        </w:tc>
        <w:tc>
          <w:tcPr>
            <w:tcW w:w="2760" w:type="dxa"/>
            <w:gridSpan w:val="2"/>
            <w:shd w:val="clear" w:color="auto" w:fill="BEBEBE" w:themeFill="background1" w:themeFillShade="BF"/>
            <w:tcMar>
              <w:top w:w="60" w:type="dxa"/>
              <w:left w:w="120" w:type="dxa"/>
              <w:bottom w:w="30" w:type="dxa"/>
              <w:right w:w="120" w:type="dxa"/>
            </w:tcMar>
          </w:tcPr>
          <w:p w14:paraId="2765F043">
            <w:pPr>
              <w:pStyle w:val="99"/>
              <w:bidi w:val="0"/>
            </w:pPr>
            <w:r>
              <w:t>佳量市占</w:t>
            </w:r>
          </w:p>
        </w:tc>
        <w:tc>
          <w:tcPr>
            <w:tcW w:w="2760" w:type="dxa"/>
            <w:gridSpan w:val="2"/>
            <w:shd w:val="clear" w:color="auto" w:fill="BEBEBE" w:themeFill="background1" w:themeFillShade="BF"/>
            <w:tcMar>
              <w:top w:w="60" w:type="dxa"/>
              <w:left w:w="120" w:type="dxa"/>
              <w:bottom w:w="30" w:type="dxa"/>
              <w:right w:w="120" w:type="dxa"/>
            </w:tcMar>
          </w:tcPr>
          <w:p w14:paraId="3C173FE8">
            <w:pPr>
              <w:pStyle w:val="99"/>
              <w:bidi w:val="0"/>
            </w:pPr>
            <w:r>
              <w:t>行业年植入量 (整数)</w:t>
            </w:r>
          </w:p>
        </w:tc>
        <w:tc>
          <w:tcPr>
            <w:tcW w:w="2760" w:type="dxa"/>
            <w:gridSpan w:val="2"/>
            <w:shd w:val="clear" w:color="auto" w:fill="BEBEBE" w:themeFill="background1" w:themeFillShade="BF"/>
            <w:tcMar>
              <w:top w:w="60" w:type="dxa"/>
              <w:left w:w="120" w:type="dxa"/>
              <w:bottom w:w="30" w:type="dxa"/>
              <w:right w:w="120" w:type="dxa"/>
            </w:tcMar>
          </w:tcPr>
          <w:p w14:paraId="018F4C58">
            <w:pPr>
              <w:pStyle w:val="99"/>
              <w:bidi w:val="0"/>
            </w:pPr>
            <w:r>
              <w:t>佳量年植入量 (整数)</w:t>
            </w:r>
          </w:p>
        </w:tc>
        <w:tc>
          <w:tcPr>
            <w:tcW w:w="2760" w:type="dxa"/>
            <w:gridSpan w:val="2"/>
            <w:shd w:val="clear" w:color="auto" w:fill="BEBEBE" w:themeFill="background1" w:themeFillShade="BF"/>
            <w:tcMar>
              <w:top w:w="60" w:type="dxa"/>
              <w:left w:w="120" w:type="dxa"/>
              <w:bottom w:w="30" w:type="dxa"/>
              <w:right w:w="120" w:type="dxa"/>
            </w:tcMar>
          </w:tcPr>
          <w:p w14:paraId="776D1C1B">
            <w:pPr>
              <w:pStyle w:val="99"/>
              <w:bidi w:val="0"/>
            </w:pPr>
            <w:r>
              <w:t>单价 (万)</w:t>
            </w:r>
          </w:p>
        </w:tc>
        <w:tc>
          <w:tcPr>
            <w:tcW w:w="2760" w:type="dxa"/>
            <w:shd w:val="clear" w:color="auto" w:fill="BEBEBE" w:themeFill="background1" w:themeFillShade="BF"/>
            <w:tcMar>
              <w:top w:w="60" w:type="dxa"/>
              <w:left w:w="120" w:type="dxa"/>
              <w:bottom w:w="30" w:type="dxa"/>
              <w:right w:w="120" w:type="dxa"/>
            </w:tcMar>
          </w:tcPr>
          <w:p w14:paraId="66D47F0A">
            <w:pPr>
              <w:pStyle w:val="99"/>
              <w:bidi w:val="0"/>
            </w:pPr>
            <w:r>
              <w:t>营收 (万元)</w:t>
            </w:r>
          </w:p>
        </w:tc>
      </w:tr>
      <w:tr w14:paraId="4D13CE21">
        <w:tc>
          <w:tcPr>
            <w:tcW w:w="2760" w:type="dxa"/>
            <w:tcMar>
              <w:top w:w="60" w:type="dxa"/>
              <w:left w:w="120" w:type="dxa"/>
              <w:bottom w:w="30" w:type="dxa"/>
              <w:right w:w="120" w:type="dxa"/>
            </w:tcMar>
            <w:vAlign w:val="top"/>
          </w:tcPr>
          <w:p w14:paraId="35CFF9E0">
            <w:pPr>
              <w:pStyle w:val="99"/>
              <w:framePr w:wrap="around"/>
              <w:bidi w:val="0"/>
            </w:pPr>
            <w:r>
              <w:t>2026</w:t>
            </w:r>
          </w:p>
        </w:tc>
        <w:tc>
          <w:tcPr>
            <w:tcW w:w="2760" w:type="dxa"/>
            <w:gridSpan w:val="2"/>
            <w:tcMar>
              <w:top w:w="60" w:type="dxa"/>
              <w:left w:w="120" w:type="dxa"/>
              <w:bottom w:w="30" w:type="dxa"/>
              <w:right w:w="120" w:type="dxa"/>
            </w:tcMar>
            <w:vAlign w:val="top"/>
          </w:tcPr>
          <w:p w14:paraId="31EED951">
            <w:pPr>
              <w:pStyle w:val="99"/>
              <w:framePr w:wrap="around"/>
              <w:bidi w:val="0"/>
            </w:pPr>
            <w:r>
              <w:t>0.0%</w:t>
            </w:r>
          </w:p>
        </w:tc>
        <w:tc>
          <w:tcPr>
            <w:tcW w:w="2760" w:type="dxa"/>
            <w:gridSpan w:val="2"/>
            <w:tcMar>
              <w:top w:w="60" w:type="dxa"/>
              <w:left w:w="120" w:type="dxa"/>
              <w:bottom w:w="30" w:type="dxa"/>
              <w:right w:w="120" w:type="dxa"/>
            </w:tcMar>
            <w:vAlign w:val="top"/>
          </w:tcPr>
          <w:p w14:paraId="37397FD7">
            <w:pPr>
              <w:pStyle w:val="99"/>
              <w:framePr w:wrap="around"/>
              <w:bidi w:val="0"/>
            </w:pPr>
            <w:r>
              <w:t>0.0%</w:t>
            </w:r>
          </w:p>
        </w:tc>
        <w:tc>
          <w:tcPr>
            <w:tcW w:w="2760" w:type="dxa"/>
            <w:gridSpan w:val="2"/>
            <w:tcMar>
              <w:top w:w="60" w:type="dxa"/>
              <w:left w:w="120" w:type="dxa"/>
              <w:bottom w:w="30" w:type="dxa"/>
              <w:right w:w="120" w:type="dxa"/>
            </w:tcMar>
            <w:vAlign w:val="top"/>
          </w:tcPr>
          <w:p w14:paraId="744CF4AC">
            <w:pPr>
              <w:pStyle w:val="99"/>
              <w:framePr w:wrap="around"/>
              <w:bidi w:val="0"/>
            </w:pPr>
            <w:r>
              <w:t>0</w:t>
            </w:r>
          </w:p>
        </w:tc>
        <w:tc>
          <w:tcPr>
            <w:tcW w:w="2760" w:type="dxa"/>
            <w:gridSpan w:val="2"/>
            <w:tcMar>
              <w:top w:w="60" w:type="dxa"/>
              <w:left w:w="120" w:type="dxa"/>
              <w:bottom w:w="30" w:type="dxa"/>
              <w:right w:w="120" w:type="dxa"/>
            </w:tcMar>
            <w:vAlign w:val="top"/>
          </w:tcPr>
          <w:p w14:paraId="296994AF">
            <w:pPr>
              <w:pStyle w:val="99"/>
              <w:framePr w:wrap="around"/>
              <w:bidi w:val="0"/>
            </w:pPr>
            <w:r>
              <w:t>0</w:t>
            </w:r>
          </w:p>
        </w:tc>
        <w:tc>
          <w:tcPr>
            <w:tcW w:w="2760" w:type="dxa"/>
            <w:gridSpan w:val="2"/>
            <w:tcMar>
              <w:top w:w="60" w:type="dxa"/>
              <w:left w:w="120" w:type="dxa"/>
              <w:bottom w:w="30" w:type="dxa"/>
              <w:right w:w="120" w:type="dxa"/>
            </w:tcMar>
            <w:vAlign w:val="top"/>
          </w:tcPr>
          <w:p w14:paraId="433E6968">
            <w:pPr>
              <w:pStyle w:val="99"/>
              <w:framePr w:wrap="around"/>
              <w:bidi w:val="0"/>
            </w:pPr>
            <w:r>
              <w:t>38.0</w:t>
            </w:r>
          </w:p>
        </w:tc>
        <w:tc>
          <w:tcPr>
            <w:tcW w:w="2760" w:type="dxa"/>
            <w:gridSpan w:val="2"/>
            <w:tcMar>
              <w:top w:w="60" w:type="dxa"/>
              <w:left w:w="120" w:type="dxa"/>
              <w:bottom w:w="30" w:type="dxa"/>
              <w:right w:w="120" w:type="dxa"/>
            </w:tcMar>
            <w:vAlign w:val="top"/>
          </w:tcPr>
          <w:p w14:paraId="5FF4A695">
            <w:pPr>
              <w:pStyle w:val="99"/>
              <w:framePr w:wrap="around"/>
              <w:bidi w:val="0"/>
            </w:pPr>
            <w:r>
              <w:t>0.0</w:t>
            </w:r>
          </w:p>
        </w:tc>
      </w:tr>
      <w:tr w14:paraId="2BBA449D">
        <w:tc>
          <w:tcPr>
            <w:tcW w:w="2760" w:type="dxa"/>
            <w:tcMar>
              <w:top w:w="60" w:type="dxa"/>
              <w:left w:w="120" w:type="dxa"/>
              <w:bottom w:w="30" w:type="dxa"/>
              <w:right w:w="120" w:type="dxa"/>
            </w:tcMar>
            <w:vAlign w:val="top"/>
          </w:tcPr>
          <w:p w14:paraId="2BA15E92">
            <w:pPr>
              <w:pStyle w:val="99"/>
              <w:framePr w:wrap="around"/>
              <w:bidi w:val="0"/>
            </w:pPr>
            <w:r>
              <w:t>2027</w:t>
            </w:r>
          </w:p>
        </w:tc>
        <w:tc>
          <w:tcPr>
            <w:tcW w:w="2760" w:type="dxa"/>
            <w:gridSpan w:val="2"/>
            <w:tcMar>
              <w:top w:w="60" w:type="dxa"/>
              <w:left w:w="120" w:type="dxa"/>
              <w:bottom w:w="30" w:type="dxa"/>
              <w:right w:w="120" w:type="dxa"/>
            </w:tcMar>
            <w:vAlign w:val="top"/>
          </w:tcPr>
          <w:p w14:paraId="5801F46E">
            <w:pPr>
              <w:pStyle w:val="99"/>
              <w:framePr w:wrap="around"/>
              <w:bidi w:val="0"/>
            </w:pPr>
            <w:r>
              <w:t>0.0%</w:t>
            </w:r>
          </w:p>
        </w:tc>
        <w:tc>
          <w:tcPr>
            <w:tcW w:w="2760" w:type="dxa"/>
            <w:gridSpan w:val="2"/>
            <w:tcMar>
              <w:top w:w="60" w:type="dxa"/>
              <w:left w:w="120" w:type="dxa"/>
              <w:bottom w:w="30" w:type="dxa"/>
              <w:right w:w="120" w:type="dxa"/>
            </w:tcMar>
            <w:vAlign w:val="top"/>
          </w:tcPr>
          <w:p w14:paraId="28F22F1C">
            <w:pPr>
              <w:pStyle w:val="99"/>
              <w:framePr w:wrap="around"/>
              <w:bidi w:val="0"/>
            </w:pPr>
            <w:r>
              <w:t>0.0%</w:t>
            </w:r>
          </w:p>
        </w:tc>
        <w:tc>
          <w:tcPr>
            <w:tcW w:w="2760" w:type="dxa"/>
            <w:gridSpan w:val="2"/>
            <w:tcMar>
              <w:top w:w="60" w:type="dxa"/>
              <w:left w:w="120" w:type="dxa"/>
              <w:bottom w:w="30" w:type="dxa"/>
              <w:right w:w="120" w:type="dxa"/>
            </w:tcMar>
            <w:vAlign w:val="top"/>
          </w:tcPr>
          <w:p w14:paraId="79454BA8">
            <w:pPr>
              <w:pStyle w:val="99"/>
              <w:framePr w:wrap="around"/>
              <w:bidi w:val="0"/>
            </w:pPr>
            <w:r>
              <w:t>0</w:t>
            </w:r>
          </w:p>
        </w:tc>
        <w:tc>
          <w:tcPr>
            <w:tcW w:w="2760" w:type="dxa"/>
            <w:gridSpan w:val="2"/>
            <w:tcMar>
              <w:top w:w="60" w:type="dxa"/>
              <w:left w:w="120" w:type="dxa"/>
              <w:bottom w:w="30" w:type="dxa"/>
              <w:right w:w="120" w:type="dxa"/>
            </w:tcMar>
            <w:vAlign w:val="top"/>
          </w:tcPr>
          <w:p w14:paraId="637A8215">
            <w:pPr>
              <w:pStyle w:val="99"/>
              <w:framePr w:wrap="around"/>
              <w:bidi w:val="0"/>
            </w:pPr>
            <w:r>
              <w:t>0</w:t>
            </w:r>
          </w:p>
        </w:tc>
        <w:tc>
          <w:tcPr>
            <w:tcW w:w="2760" w:type="dxa"/>
            <w:gridSpan w:val="2"/>
            <w:tcMar>
              <w:top w:w="60" w:type="dxa"/>
              <w:left w:w="120" w:type="dxa"/>
              <w:bottom w:w="30" w:type="dxa"/>
              <w:right w:w="120" w:type="dxa"/>
            </w:tcMar>
            <w:vAlign w:val="top"/>
          </w:tcPr>
          <w:p w14:paraId="60156150">
            <w:pPr>
              <w:pStyle w:val="99"/>
              <w:framePr w:wrap="around"/>
              <w:bidi w:val="0"/>
            </w:pPr>
            <w:r>
              <w:t>38.0</w:t>
            </w:r>
          </w:p>
        </w:tc>
        <w:tc>
          <w:tcPr>
            <w:tcW w:w="2760" w:type="dxa"/>
            <w:gridSpan w:val="2"/>
            <w:tcMar>
              <w:top w:w="60" w:type="dxa"/>
              <w:left w:w="120" w:type="dxa"/>
              <w:bottom w:w="30" w:type="dxa"/>
              <w:right w:w="120" w:type="dxa"/>
            </w:tcMar>
            <w:vAlign w:val="top"/>
          </w:tcPr>
          <w:p w14:paraId="6E1BD275">
            <w:pPr>
              <w:pStyle w:val="99"/>
              <w:framePr w:wrap="around"/>
              <w:bidi w:val="0"/>
            </w:pPr>
            <w:r>
              <w:t>0.0</w:t>
            </w:r>
          </w:p>
        </w:tc>
      </w:tr>
      <w:tr w14:paraId="6D6B2535">
        <w:tc>
          <w:tcPr>
            <w:tcW w:w="2760" w:type="dxa"/>
            <w:tcMar>
              <w:top w:w="60" w:type="dxa"/>
              <w:left w:w="120" w:type="dxa"/>
              <w:bottom w:w="30" w:type="dxa"/>
              <w:right w:w="120" w:type="dxa"/>
            </w:tcMar>
            <w:vAlign w:val="top"/>
          </w:tcPr>
          <w:p w14:paraId="2B3A1AA3">
            <w:pPr>
              <w:pStyle w:val="99"/>
              <w:framePr w:wrap="around"/>
              <w:bidi w:val="0"/>
            </w:pPr>
            <w:r>
              <w:t>2028</w:t>
            </w:r>
          </w:p>
        </w:tc>
        <w:tc>
          <w:tcPr>
            <w:tcW w:w="2760" w:type="dxa"/>
            <w:gridSpan w:val="2"/>
            <w:tcMar>
              <w:top w:w="60" w:type="dxa"/>
              <w:left w:w="120" w:type="dxa"/>
              <w:bottom w:w="30" w:type="dxa"/>
              <w:right w:w="120" w:type="dxa"/>
            </w:tcMar>
            <w:vAlign w:val="top"/>
          </w:tcPr>
          <w:p w14:paraId="638A3E84">
            <w:pPr>
              <w:pStyle w:val="99"/>
              <w:framePr w:wrap="around"/>
              <w:bidi w:val="0"/>
            </w:pPr>
            <w:r>
              <w:t>0.1%</w:t>
            </w:r>
          </w:p>
        </w:tc>
        <w:tc>
          <w:tcPr>
            <w:tcW w:w="2760" w:type="dxa"/>
            <w:gridSpan w:val="2"/>
            <w:tcMar>
              <w:top w:w="60" w:type="dxa"/>
              <w:left w:w="120" w:type="dxa"/>
              <w:bottom w:w="30" w:type="dxa"/>
              <w:right w:w="120" w:type="dxa"/>
            </w:tcMar>
            <w:vAlign w:val="top"/>
          </w:tcPr>
          <w:p w14:paraId="7F4C924B">
            <w:pPr>
              <w:pStyle w:val="99"/>
              <w:framePr w:wrap="around"/>
              <w:bidi w:val="0"/>
            </w:pPr>
            <w:r>
              <w:t>38.0%</w:t>
            </w:r>
          </w:p>
        </w:tc>
        <w:tc>
          <w:tcPr>
            <w:tcW w:w="2760" w:type="dxa"/>
            <w:gridSpan w:val="2"/>
            <w:tcMar>
              <w:top w:w="60" w:type="dxa"/>
              <w:left w:w="120" w:type="dxa"/>
              <w:bottom w:w="30" w:type="dxa"/>
              <w:right w:w="120" w:type="dxa"/>
            </w:tcMar>
            <w:vAlign w:val="top"/>
          </w:tcPr>
          <w:p w14:paraId="1467131D">
            <w:pPr>
              <w:pStyle w:val="99"/>
              <w:framePr w:wrap="around"/>
              <w:bidi w:val="0"/>
            </w:pPr>
            <w:r>
              <w:t>3000</w:t>
            </w:r>
          </w:p>
        </w:tc>
        <w:tc>
          <w:tcPr>
            <w:tcW w:w="2760" w:type="dxa"/>
            <w:gridSpan w:val="2"/>
            <w:tcMar>
              <w:top w:w="60" w:type="dxa"/>
              <w:left w:w="120" w:type="dxa"/>
              <w:bottom w:w="30" w:type="dxa"/>
              <w:right w:w="120" w:type="dxa"/>
            </w:tcMar>
            <w:vAlign w:val="top"/>
          </w:tcPr>
          <w:p w14:paraId="28821FF2">
            <w:pPr>
              <w:pStyle w:val="99"/>
              <w:framePr w:wrap="around"/>
              <w:bidi w:val="0"/>
            </w:pPr>
            <w:r>
              <w:t>1140</w:t>
            </w:r>
          </w:p>
        </w:tc>
        <w:tc>
          <w:tcPr>
            <w:tcW w:w="2760" w:type="dxa"/>
            <w:gridSpan w:val="2"/>
            <w:tcMar>
              <w:top w:w="60" w:type="dxa"/>
              <w:left w:w="120" w:type="dxa"/>
              <w:bottom w:w="30" w:type="dxa"/>
              <w:right w:w="120" w:type="dxa"/>
            </w:tcMar>
            <w:vAlign w:val="top"/>
          </w:tcPr>
          <w:p w14:paraId="77E5D055">
            <w:pPr>
              <w:pStyle w:val="99"/>
              <w:framePr w:wrap="around"/>
              <w:bidi w:val="0"/>
            </w:pPr>
            <w:r>
              <w:t>38.0</w:t>
            </w:r>
          </w:p>
        </w:tc>
        <w:tc>
          <w:tcPr>
            <w:tcW w:w="2760" w:type="dxa"/>
            <w:gridSpan w:val="2"/>
            <w:tcMar>
              <w:top w:w="60" w:type="dxa"/>
              <w:left w:w="120" w:type="dxa"/>
              <w:bottom w:w="30" w:type="dxa"/>
              <w:right w:w="120" w:type="dxa"/>
            </w:tcMar>
            <w:vAlign w:val="top"/>
          </w:tcPr>
          <w:p w14:paraId="2E3CD254">
            <w:pPr>
              <w:pStyle w:val="99"/>
              <w:framePr w:wrap="around"/>
              <w:bidi w:val="0"/>
            </w:pPr>
            <w:r>
              <w:t>4332.0</w:t>
            </w:r>
          </w:p>
        </w:tc>
      </w:tr>
      <w:tr w14:paraId="0EA19E79">
        <w:tc>
          <w:tcPr>
            <w:tcW w:w="2760" w:type="dxa"/>
            <w:tcMar>
              <w:top w:w="60" w:type="dxa"/>
              <w:left w:w="120" w:type="dxa"/>
              <w:bottom w:w="30" w:type="dxa"/>
              <w:right w:w="120" w:type="dxa"/>
            </w:tcMar>
            <w:vAlign w:val="top"/>
          </w:tcPr>
          <w:p w14:paraId="23A5399C">
            <w:pPr>
              <w:pStyle w:val="99"/>
              <w:framePr w:wrap="around"/>
              <w:bidi w:val="0"/>
            </w:pPr>
            <w:r>
              <w:t>2029</w:t>
            </w:r>
          </w:p>
        </w:tc>
        <w:tc>
          <w:tcPr>
            <w:tcW w:w="2760" w:type="dxa"/>
            <w:gridSpan w:val="2"/>
            <w:tcMar>
              <w:top w:w="60" w:type="dxa"/>
              <w:left w:w="120" w:type="dxa"/>
              <w:bottom w:w="30" w:type="dxa"/>
              <w:right w:w="120" w:type="dxa"/>
            </w:tcMar>
            <w:vAlign w:val="top"/>
          </w:tcPr>
          <w:p w14:paraId="4FFB02E0">
            <w:pPr>
              <w:pStyle w:val="99"/>
              <w:framePr w:wrap="around"/>
              <w:bidi w:val="0"/>
            </w:pPr>
            <w:r>
              <w:t>0.3%</w:t>
            </w:r>
          </w:p>
        </w:tc>
        <w:tc>
          <w:tcPr>
            <w:tcW w:w="2760" w:type="dxa"/>
            <w:gridSpan w:val="2"/>
            <w:tcMar>
              <w:top w:w="60" w:type="dxa"/>
              <w:left w:w="120" w:type="dxa"/>
              <w:bottom w:w="30" w:type="dxa"/>
              <w:right w:w="120" w:type="dxa"/>
            </w:tcMar>
            <w:vAlign w:val="top"/>
          </w:tcPr>
          <w:p w14:paraId="51B9DF89">
            <w:pPr>
              <w:pStyle w:val="99"/>
              <w:framePr w:wrap="around"/>
              <w:bidi w:val="0"/>
            </w:pPr>
            <w:r>
              <w:t>36.0%</w:t>
            </w:r>
          </w:p>
        </w:tc>
        <w:tc>
          <w:tcPr>
            <w:tcW w:w="2760" w:type="dxa"/>
            <w:gridSpan w:val="2"/>
            <w:tcMar>
              <w:top w:w="60" w:type="dxa"/>
              <w:left w:w="120" w:type="dxa"/>
              <w:bottom w:w="30" w:type="dxa"/>
              <w:right w:w="120" w:type="dxa"/>
            </w:tcMar>
            <w:vAlign w:val="top"/>
          </w:tcPr>
          <w:p w14:paraId="431CE2C2">
            <w:pPr>
              <w:pStyle w:val="99"/>
              <w:framePr w:wrap="around"/>
              <w:bidi w:val="0"/>
            </w:pPr>
            <w:r>
              <w:t>9000</w:t>
            </w:r>
          </w:p>
        </w:tc>
        <w:tc>
          <w:tcPr>
            <w:tcW w:w="2760" w:type="dxa"/>
            <w:gridSpan w:val="2"/>
            <w:tcMar>
              <w:top w:w="60" w:type="dxa"/>
              <w:left w:w="120" w:type="dxa"/>
              <w:bottom w:w="30" w:type="dxa"/>
              <w:right w:w="120" w:type="dxa"/>
            </w:tcMar>
            <w:vAlign w:val="top"/>
          </w:tcPr>
          <w:p w14:paraId="378A3006">
            <w:pPr>
              <w:pStyle w:val="99"/>
              <w:framePr w:wrap="around"/>
              <w:bidi w:val="0"/>
            </w:pPr>
            <w:r>
              <w:t>3240</w:t>
            </w:r>
          </w:p>
        </w:tc>
        <w:tc>
          <w:tcPr>
            <w:tcW w:w="2760" w:type="dxa"/>
            <w:gridSpan w:val="2"/>
            <w:tcMar>
              <w:top w:w="60" w:type="dxa"/>
              <w:left w:w="120" w:type="dxa"/>
              <w:bottom w:w="30" w:type="dxa"/>
              <w:right w:w="120" w:type="dxa"/>
            </w:tcMar>
            <w:vAlign w:val="top"/>
          </w:tcPr>
          <w:p w14:paraId="13D34D01">
            <w:pPr>
              <w:pStyle w:val="99"/>
              <w:framePr w:wrap="around"/>
              <w:bidi w:val="0"/>
            </w:pPr>
            <w:r>
              <w:t>38.0</w:t>
            </w:r>
          </w:p>
        </w:tc>
        <w:tc>
          <w:tcPr>
            <w:tcW w:w="2760" w:type="dxa"/>
            <w:gridSpan w:val="2"/>
            <w:tcMar>
              <w:top w:w="60" w:type="dxa"/>
              <w:left w:w="120" w:type="dxa"/>
              <w:bottom w:w="30" w:type="dxa"/>
              <w:right w:w="120" w:type="dxa"/>
            </w:tcMar>
            <w:vAlign w:val="top"/>
          </w:tcPr>
          <w:p w14:paraId="4EB5BF1B">
            <w:pPr>
              <w:pStyle w:val="99"/>
              <w:framePr w:wrap="around"/>
              <w:bidi w:val="0"/>
            </w:pPr>
            <w:r>
              <w:t>12312.0</w:t>
            </w:r>
          </w:p>
        </w:tc>
      </w:tr>
      <w:tr w14:paraId="2AFACF0B">
        <w:tc>
          <w:tcPr>
            <w:tcW w:w="2760" w:type="dxa"/>
            <w:tcMar>
              <w:top w:w="60" w:type="dxa"/>
              <w:left w:w="120" w:type="dxa"/>
              <w:bottom w:w="30" w:type="dxa"/>
              <w:right w:w="120" w:type="dxa"/>
            </w:tcMar>
            <w:vAlign w:val="top"/>
          </w:tcPr>
          <w:p w14:paraId="545C7E43">
            <w:pPr>
              <w:pStyle w:val="99"/>
              <w:framePr w:wrap="around"/>
              <w:bidi w:val="0"/>
            </w:pPr>
            <w:r>
              <w:t>2030</w:t>
            </w:r>
          </w:p>
        </w:tc>
        <w:tc>
          <w:tcPr>
            <w:tcW w:w="2760" w:type="dxa"/>
            <w:gridSpan w:val="2"/>
            <w:tcMar>
              <w:top w:w="60" w:type="dxa"/>
              <w:left w:w="120" w:type="dxa"/>
              <w:bottom w:w="30" w:type="dxa"/>
              <w:right w:w="120" w:type="dxa"/>
            </w:tcMar>
            <w:vAlign w:val="top"/>
          </w:tcPr>
          <w:p w14:paraId="777C0EFA">
            <w:pPr>
              <w:pStyle w:val="99"/>
              <w:framePr w:wrap="around"/>
              <w:bidi w:val="0"/>
            </w:pPr>
            <w:r>
              <w:t>0.6%</w:t>
            </w:r>
          </w:p>
        </w:tc>
        <w:tc>
          <w:tcPr>
            <w:tcW w:w="2760" w:type="dxa"/>
            <w:gridSpan w:val="2"/>
            <w:tcMar>
              <w:top w:w="60" w:type="dxa"/>
              <w:left w:w="120" w:type="dxa"/>
              <w:bottom w:w="30" w:type="dxa"/>
              <w:right w:w="120" w:type="dxa"/>
            </w:tcMar>
            <w:vAlign w:val="top"/>
          </w:tcPr>
          <w:p w14:paraId="1BBCE9A0">
            <w:pPr>
              <w:pStyle w:val="99"/>
              <w:framePr w:wrap="around"/>
              <w:bidi w:val="0"/>
            </w:pPr>
            <w:r>
              <w:t>34.0%</w:t>
            </w:r>
          </w:p>
        </w:tc>
        <w:tc>
          <w:tcPr>
            <w:tcW w:w="2760" w:type="dxa"/>
            <w:gridSpan w:val="2"/>
            <w:tcMar>
              <w:top w:w="60" w:type="dxa"/>
              <w:left w:w="120" w:type="dxa"/>
              <w:bottom w:w="30" w:type="dxa"/>
              <w:right w:w="120" w:type="dxa"/>
            </w:tcMar>
            <w:vAlign w:val="top"/>
          </w:tcPr>
          <w:p w14:paraId="13C09B73">
            <w:pPr>
              <w:pStyle w:val="99"/>
              <w:framePr w:wrap="around"/>
              <w:bidi w:val="0"/>
            </w:pPr>
            <w:r>
              <w:t>18000</w:t>
            </w:r>
          </w:p>
        </w:tc>
        <w:tc>
          <w:tcPr>
            <w:tcW w:w="2760" w:type="dxa"/>
            <w:gridSpan w:val="2"/>
            <w:tcMar>
              <w:top w:w="60" w:type="dxa"/>
              <w:left w:w="120" w:type="dxa"/>
              <w:bottom w:w="30" w:type="dxa"/>
              <w:right w:w="120" w:type="dxa"/>
            </w:tcMar>
            <w:vAlign w:val="top"/>
          </w:tcPr>
          <w:p w14:paraId="536A2A38">
            <w:pPr>
              <w:pStyle w:val="99"/>
              <w:framePr w:wrap="around"/>
              <w:bidi w:val="0"/>
            </w:pPr>
            <w:r>
              <w:t>6120</w:t>
            </w:r>
          </w:p>
        </w:tc>
        <w:tc>
          <w:tcPr>
            <w:tcW w:w="2760" w:type="dxa"/>
            <w:gridSpan w:val="2"/>
            <w:tcMar>
              <w:top w:w="60" w:type="dxa"/>
              <w:left w:w="120" w:type="dxa"/>
              <w:bottom w:w="30" w:type="dxa"/>
              <w:right w:w="120" w:type="dxa"/>
            </w:tcMar>
            <w:vAlign w:val="top"/>
          </w:tcPr>
          <w:p w14:paraId="72F5EB8E">
            <w:pPr>
              <w:pStyle w:val="99"/>
              <w:framePr w:wrap="around"/>
              <w:bidi w:val="0"/>
            </w:pPr>
            <w:r>
              <w:t>38.0</w:t>
            </w:r>
          </w:p>
        </w:tc>
        <w:tc>
          <w:tcPr>
            <w:tcW w:w="2760" w:type="dxa"/>
            <w:gridSpan w:val="2"/>
            <w:tcMar>
              <w:top w:w="60" w:type="dxa"/>
              <w:left w:w="120" w:type="dxa"/>
              <w:bottom w:w="30" w:type="dxa"/>
              <w:right w:w="120" w:type="dxa"/>
            </w:tcMar>
            <w:vAlign w:val="top"/>
          </w:tcPr>
          <w:p w14:paraId="398D94D0">
            <w:pPr>
              <w:pStyle w:val="99"/>
              <w:framePr w:wrap="around"/>
              <w:bidi w:val="0"/>
            </w:pPr>
            <w:r>
              <w:t>23256.0</w:t>
            </w:r>
          </w:p>
        </w:tc>
      </w:tr>
      <w:tr w14:paraId="6EC8D1A7">
        <w:tc>
          <w:tcPr>
            <w:tcW w:w="2760" w:type="dxa"/>
            <w:tcMar>
              <w:top w:w="60" w:type="dxa"/>
              <w:left w:w="120" w:type="dxa"/>
              <w:bottom w:w="30" w:type="dxa"/>
              <w:right w:w="120" w:type="dxa"/>
            </w:tcMar>
            <w:vAlign w:val="top"/>
          </w:tcPr>
          <w:p w14:paraId="7FD9E1F4">
            <w:pPr>
              <w:pStyle w:val="99"/>
              <w:framePr w:wrap="around"/>
              <w:bidi w:val="0"/>
            </w:pPr>
            <w:r>
              <w:t>2031</w:t>
            </w:r>
          </w:p>
        </w:tc>
        <w:tc>
          <w:tcPr>
            <w:tcW w:w="2760" w:type="dxa"/>
            <w:gridSpan w:val="2"/>
            <w:tcMar>
              <w:top w:w="60" w:type="dxa"/>
              <w:left w:w="120" w:type="dxa"/>
              <w:bottom w:w="30" w:type="dxa"/>
              <w:right w:w="120" w:type="dxa"/>
            </w:tcMar>
            <w:vAlign w:val="top"/>
          </w:tcPr>
          <w:p w14:paraId="199104BB">
            <w:pPr>
              <w:pStyle w:val="99"/>
              <w:framePr w:wrap="around"/>
              <w:bidi w:val="0"/>
            </w:pPr>
            <w:r>
              <w:t>0.9%</w:t>
            </w:r>
          </w:p>
        </w:tc>
        <w:tc>
          <w:tcPr>
            <w:tcW w:w="2760" w:type="dxa"/>
            <w:gridSpan w:val="2"/>
            <w:tcMar>
              <w:top w:w="60" w:type="dxa"/>
              <w:left w:w="120" w:type="dxa"/>
              <w:bottom w:w="30" w:type="dxa"/>
              <w:right w:w="120" w:type="dxa"/>
            </w:tcMar>
            <w:vAlign w:val="top"/>
          </w:tcPr>
          <w:p w14:paraId="14B58C78">
            <w:pPr>
              <w:pStyle w:val="99"/>
              <w:framePr w:wrap="around"/>
              <w:bidi w:val="0"/>
            </w:pPr>
            <w:r>
              <w:t>32.0%</w:t>
            </w:r>
          </w:p>
        </w:tc>
        <w:tc>
          <w:tcPr>
            <w:tcW w:w="2760" w:type="dxa"/>
            <w:gridSpan w:val="2"/>
            <w:tcMar>
              <w:top w:w="60" w:type="dxa"/>
              <w:left w:w="120" w:type="dxa"/>
              <w:bottom w:w="30" w:type="dxa"/>
              <w:right w:w="120" w:type="dxa"/>
            </w:tcMar>
            <w:vAlign w:val="top"/>
          </w:tcPr>
          <w:p w14:paraId="0E9DC550">
            <w:pPr>
              <w:pStyle w:val="99"/>
              <w:framePr w:wrap="around"/>
              <w:bidi w:val="0"/>
            </w:pPr>
            <w:r>
              <w:t>27000</w:t>
            </w:r>
          </w:p>
        </w:tc>
        <w:tc>
          <w:tcPr>
            <w:tcW w:w="2760" w:type="dxa"/>
            <w:gridSpan w:val="2"/>
            <w:tcMar>
              <w:top w:w="60" w:type="dxa"/>
              <w:left w:w="120" w:type="dxa"/>
              <w:bottom w:w="30" w:type="dxa"/>
              <w:right w:w="120" w:type="dxa"/>
            </w:tcMar>
            <w:vAlign w:val="top"/>
          </w:tcPr>
          <w:p w14:paraId="32BBF453">
            <w:pPr>
              <w:pStyle w:val="99"/>
              <w:framePr w:wrap="around"/>
              <w:bidi w:val="0"/>
            </w:pPr>
            <w:r>
              <w:t>8640</w:t>
            </w:r>
          </w:p>
        </w:tc>
        <w:tc>
          <w:tcPr>
            <w:tcW w:w="2760" w:type="dxa"/>
            <w:gridSpan w:val="2"/>
            <w:tcMar>
              <w:top w:w="60" w:type="dxa"/>
              <w:left w:w="120" w:type="dxa"/>
              <w:bottom w:w="30" w:type="dxa"/>
              <w:right w:w="120" w:type="dxa"/>
            </w:tcMar>
            <w:vAlign w:val="top"/>
          </w:tcPr>
          <w:p w14:paraId="3B592AAA">
            <w:pPr>
              <w:pStyle w:val="99"/>
              <w:framePr w:wrap="around"/>
              <w:bidi w:val="0"/>
            </w:pPr>
            <w:r>
              <w:t>38.0</w:t>
            </w:r>
          </w:p>
        </w:tc>
        <w:tc>
          <w:tcPr>
            <w:tcW w:w="2760" w:type="dxa"/>
            <w:gridSpan w:val="2"/>
            <w:tcMar>
              <w:top w:w="60" w:type="dxa"/>
              <w:left w:w="120" w:type="dxa"/>
              <w:bottom w:w="30" w:type="dxa"/>
              <w:right w:w="120" w:type="dxa"/>
            </w:tcMar>
            <w:vAlign w:val="top"/>
          </w:tcPr>
          <w:p w14:paraId="5BE54256">
            <w:pPr>
              <w:pStyle w:val="99"/>
              <w:framePr w:wrap="around"/>
              <w:bidi w:val="0"/>
            </w:pPr>
            <w:r>
              <w:t>32832.0</w:t>
            </w:r>
          </w:p>
        </w:tc>
      </w:tr>
      <w:tr w14:paraId="576C82A5">
        <w:tc>
          <w:tcPr>
            <w:tcW w:w="2760" w:type="dxa"/>
            <w:tcMar>
              <w:top w:w="60" w:type="dxa"/>
              <w:left w:w="120" w:type="dxa"/>
              <w:bottom w:w="30" w:type="dxa"/>
              <w:right w:w="120" w:type="dxa"/>
            </w:tcMar>
            <w:vAlign w:val="top"/>
          </w:tcPr>
          <w:p w14:paraId="22332442">
            <w:pPr>
              <w:pStyle w:val="99"/>
              <w:framePr w:wrap="around"/>
              <w:bidi w:val="0"/>
            </w:pPr>
            <w:r>
              <w:t>2032</w:t>
            </w:r>
          </w:p>
        </w:tc>
        <w:tc>
          <w:tcPr>
            <w:tcW w:w="2760" w:type="dxa"/>
            <w:gridSpan w:val="2"/>
            <w:tcMar>
              <w:top w:w="60" w:type="dxa"/>
              <w:left w:w="120" w:type="dxa"/>
              <w:bottom w:w="30" w:type="dxa"/>
              <w:right w:w="120" w:type="dxa"/>
            </w:tcMar>
            <w:vAlign w:val="top"/>
          </w:tcPr>
          <w:p w14:paraId="5E50E792">
            <w:pPr>
              <w:pStyle w:val="99"/>
              <w:framePr w:wrap="around"/>
              <w:bidi w:val="0"/>
            </w:pPr>
            <w:r>
              <w:t>1.3%</w:t>
            </w:r>
          </w:p>
        </w:tc>
        <w:tc>
          <w:tcPr>
            <w:tcW w:w="2760" w:type="dxa"/>
            <w:gridSpan w:val="2"/>
            <w:tcMar>
              <w:top w:w="60" w:type="dxa"/>
              <w:left w:w="120" w:type="dxa"/>
              <w:bottom w:w="30" w:type="dxa"/>
              <w:right w:w="120" w:type="dxa"/>
            </w:tcMar>
            <w:vAlign w:val="top"/>
          </w:tcPr>
          <w:p w14:paraId="3796ADD4">
            <w:pPr>
              <w:pStyle w:val="99"/>
              <w:framePr w:wrap="around"/>
              <w:bidi w:val="0"/>
            </w:pPr>
            <w:r>
              <w:t>30.0%</w:t>
            </w:r>
          </w:p>
        </w:tc>
        <w:tc>
          <w:tcPr>
            <w:tcW w:w="2760" w:type="dxa"/>
            <w:gridSpan w:val="2"/>
            <w:tcMar>
              <w:top w:w="60" w:type="dxa"/>
              <w:left w:w="120" w:type="dxa"/>
              <w:bottom w:w="30" w:type="dxa"/>
              <w:right w:w="120" w:type="dxa"/>
            </w:tcMar>
            <w:vAlign w:val="top"/>
          </w:tcPr>
          <w:p w14:paraId="650E05C0">
            <w:pPr>
              <w:pStyle w:val="99"/>
              <w:framePr w:wrap="around"/>
              <w:bidi w:val="0"/>
            </w:pPr>
            <w:r>
              <w:t>39000</w:t>
            </w:r>
          </w:p>
        </w:tc>
        <w:tc>
          <w:tcPr>
            <w:tcW w:w="2760" w:type="dxa"/>
            <w:gridSpan w:val="2"/>
            <w:tcMar>
              <w:top w:w="60" w:type="dxa"/>
              <w:left w:w="120" w:type="dxa"/>
              <w:bottom w:w="30" w:type="dxa"/>
              <w:right w:w="120" w:type="dxa"/>
            </w:tcMar>
            <w:vAlign w:val="top"/>
          </w:tcPr>
          <w:p w14:paraId="3E020519">
            <w:pPr>
              <w:pStyle w:val="99"/>
              <w:framePr w:wrap="around"/>
              <w:bidi w:val="0"/>
            </w:pPr>
            <w:r>
              <w:t>11700</w:t>
            </w:r>
          </w:p>
        </w:tc>
        <w:tc>
          <w:tcPr>
            <w:tcW w:w="2760" w:type="dxa"/>
            <w:gridSpan w:val="2"/>
            <w:tcMar>
              <w:top w:w="60" w:type="dxa"/>
              <w:left w:w="120" w:type="dxa"/>
              <w:bottom w:w="30" w:type="dxa"/>
              <w:right w:w="120" w:type="dxa"/>
            </w:tcMar>
            <w:vAlign w:val="top"/>
          </w:tcPr>
          <w:p w14:paraId="6113C8AE">
            <w:pPr>
              <w:pStyle w:val="99"/>
              <w:framePr w:wrap="around"/>
              <w:bidi w:val="0"/>
            </w:pPr>
            <w:r>
              <w:t>38.0</w:t>
            </w:r>
          </w:p>
        </w:tc>
        <w:tc>
          <w:tcPr>
            <w:tcW w:w="2760" w:type="dxa"/>
            <w:gridSpan w:val="2"/>
            <w:tcMar>
              <w:top w:w="60" w:type="dxa"/>
              <w:left w:w="120" w:type="dxa"/>
              <w:bottom w:w="30" w:type="dxa"/>
              <w:right w:w="120" w:type="dxa"/>
            </w:tcMar>
            <w:vAlign w:val="top"/>
          </w:tcPr>
          <w:p w14:paraId="7209DA3C">
            <w:pPr>
              <w:pStyle w:val="99"/>
              <w:framePr w:wrap="around"/>
              <w:bidi w:val="0"/>
            </w:pPr>
            <w:r>
              <w:t>44460.0</w:t>
            </w:r>
          </w:p>
        </w:tc>
      </w:tr>
      <w:tr w14:paraId="11C3C7C9">
        <w:tc>
          <w:tcPr>
            <w:tcW w:w="2760" w:type="dxa"/>
            <w:tcMar>
              <w:top w:w="60" w:type="dxa"/>
              <w:left w:w="120" w:type="dxa"/>
              <w:bottom w:w="30" w:type="dxa"/>
              <w:right w:w="120" w:type="dxa"/>
            </w:tcMar>
            <w:vAlign w:val="top"/>
          </w:tcPr>
          <w:p w14:paraId="7A73D0B9">
            <w:pPr>
              <w:pStyle w:val="99"/>
              <w:framePr w:wrap="around"/>
              <w:bidi w:val="0"/>
            </w:pPr>
            <w:r>
              <w:t>2033</w:t>
            </w:r>
          </w:p>
        </w:tc>
        <w:tc>
          <w:tcPr>
            <w:tcW w:w="2760" w:type="dxa"/>
            <w:gridSpan w:val="2"/>
            <w:tcMar>
              <w:top w:w="60" w:type="dxa"/>
              <w:left w:w="120" w:type="dxa"/>
              <w:bottom w:w="30" w:type="dxa"/>
              <w:right w:w="120" w:type="dxa"/>
            </w:tcMar>
            <w:vAlign w:val="top"/>
          </w:tcPr>
          <w:p w14:paraId="61598EE8">
            <w:pPr>
              <w:pStyle w:val="99"/>
              <w:framePr w:wrap="around"/>
              <w:bidi w:val="0"/>
            </w:pPr>
            <w:r>
              <w:t>1.7%</w:t>
            </w:r>
          </w:p>
        </w:tc>
        <w:tc>
          <w:tcPr>
            <w:tcW w:w="2760" w:type="dxa"/>
            <w:gridSpan w:val="2"/>
            <w:tcMar>
              <w:top w:w="60" w:type="dxa"/>
              <w:left w:w="120" w:type="dxa"/>
              <w:bottom w:w="30" w:type="dxa"/>
              <w:right w:w="120" w:type="dxa"/>
            </w:tcMar>
            <w:vAlign w:val="top"/>
          </w:tcPr>
          <w:p w14:paraId="5D48F066">
            <w:pPr>
              <w:pStyle w:val="99"/>
              <w:framePr w:wrap="around"/>
              <w:bidi w:val="0"/>
            </w:pPr>
            <w:r>
              <w:t>28.0%</w:t>
            </w:r>
          </w:p>
        </w:tc>
        <w:tc>
          <w:tcPr>
            <w:tcW w:w="2760" w:type="dxa"/>
            <w:gridSpan w:val="2"/>
            <w:tcMar>
              <w:top w:w="60" w:type="dxa"/>
              <w:left w:w="120" w:type="dxa"/>
              <w:bottom w:w="30" w:type="dxa"/>
              <w:right w:w="120" w:type="dxa"/>
            </w:tcMar>
            <w:vAlign w:val="top"/>
          </w:tcPr>
          <w:p w14:paraId="7B7ACC26">
            <w:pPr>
              <w:pStyle w:val="99"/>
              <w:framePr w:wrap="around"/>
              <w:bidi w:val="0"/>
            </w:pPr>
            <w:r>
              <w:t>51000</w:t>
            </w:r>
          </w:p>
        </w:tc>
        <w:tc>
          <w:tcPr>
            <w:tcW w:w="2760" w:type="dxa"/>
            <w:gridSpan w:val="2"/>
            <w:tcMar>
              <w:top w:w="60" w:type="dxa"/>
              <w:left w:w="120" w:type="dxa"/>
              <w:bottom w:w="30" w:type="dxa"/>
              <w:right w:w="120" w:type="dxa"/>
            </w:tcMar>
            <w:vAlign w:val="top"/>
          </w:tcPr>
          <w:p w14:paraId="040BC251">
            <w:pPr>
              <w:pStyle w:val="99"/>
              <w:framePr w:wrap="around"/>
              <w:bidi w:val="0"/>
            </w:pPr>
            <w:r>
              <w:t>14280</w:t>
            </w:r>
          </w:p>
        </w:tc>
        <w:tc>
          <w:tcPr>
            <w:tcW w:w="2760" w:type="dxa"/>
            <w:gridSpan w:val="2"/>
            <w:tcMar>
              <w:top w:w="60" w:type="dxa"/>
              <w:left w:w="120" w:type="dxa"/>
              <w:bottom w:w="30" w:type="dxa"/>
              <w:right w:w="120" w:type="dxa"/>
            </w:tcMar>
            <w:vAlign w:val="top"/>
          </w:tcPr>
          <w:p w14:paraId="5F1C7D78">
            <w:pPr>
              <w:pStyle w:val="99"/>
              <w:framePr w:wrap="around"/>
              <w:bidi w:val="0"/>
            </w:pPr>
            <w:r>
              <w:t>38.0</w:t>
            </w:r>
          </w:p>
        </w:tc>
        <w:tc>
          <w:tcPr>
            <w:tcW w:w="2760" w:type="dxa"/>
            <w:gridSpan w:val="2"/>
            <w:tcMar>
              <w:top w:w="60" w:type="dxa"/>
              <w:left w:w="120" w:type="dxa"/>
              <w:bottom w:w="30" w:type="dxa"/>
              <w:right w:w="120" w:type="dxa"/>
            </w:tcMar>
            <w:vAlign w:val="top"/>
          </w:tcPr>
          <w:p w14:paraId="7B2F9851">
            <w:pPr>
              <w:pStyle w:val="99"/>
              <w:framePr w:wrap="around"/>
              <w:bidi w:val="0"/>
            </w:pPr>
            <w:r>
              <w:t>54264.0</w:t>
            </w:r>
          </w:p>
        </w:tc>
      </w:tr>
      <w:tr w14:paraId="1B60C18F">
        <w:tc>
          <w:tcPr>
            <w:tcW w:w="2760" w:type="dxa"/>
            <w:tcMar>
              <w:top w:w="60" w:type="dxa"/>
              <w:left w:w="120" w:type="dxa"/>
              <w:bottom w:w="30" w:type="dxa"/>
              <w:right w:w="120" w:type="dxa"/>
            </w:tcMar>
            <w:vAlign w:val="top"/>
          </w:tcPr>
          <w:p w14:paraId="12CA1EEC">
            <w:pPr>
              <w:pStyle w:val="99"/>
              <w:framePr w:wrap="around"/>
              <w:bidi w:val="0"/>
            </w:pPr>
            <w:r>
              <w:t>2034</w:t>
            </w:r>
          </w:p>
        </w:tc>
        <w:tc>
          <w:tcPr>
            <w:tcW w:w="2760" w:type="dxa"/>
            <w:gridSpan w:val="2"/>
            <w:tcMar>
              <w:top w:w="60" w:type="dxa"/>
              <w:left w:w="120" w:type="dxa"/>
              <w:bottom w:w="30" w:type="dxa"/>
              <w:right w:w="120" w:type="dxa"/>
            </w:tcMar>
            <w:vAlign w:val="top"/>
          </w:tcPr>
          <w:p w14:paraId="50BB37E7">
            <w:pPr>
              <w:pStyle w:val="99"/>
              <w:framePr w:wrap="around"/>
              <w:bidi w:val="0"/>
            </w:pPr>
            <w:r>
              <w:t>2.1%</w:t>
            </w:r>
          </w:p>
        </w:tc>
        <w:tc>
          <w:tcPr>
            <w:tcW w:w="2760" w:type="dxa"/>
            <w:gridSpan w:val="2"/>
            <w:tcMar>
              <w:top w:w="60" w:type="dxa"/>
              <w:left w:w="120" w:type="dxa"/>
              <w:bottom w:w="30" w:type="dxa"/>
              <w:right w:w="120" w:type="dxa"/>
            </w:tcMar>
            <w:vAlign w:val="top"/>
          </w:tcPr>
          <w:p w14:paraId="48F58917">
            <w:pPr>
              <w:pStyle w:val="99"/>
              <w:framePr w:wrap="around"/>
              <w:bidi w:val="0"/>
            </w:pPr>
            <w:r>
              <w:t>26.5%</w:t>
            </w:r>
          </w:p>
        </w:tc>
        <w:tc>
          <w:tcPr>
            <w:tcW w:w="2760" w:type="dxa"/>
            <w:gridSpan w:val="2"/>
            <w:tcMar>
              <w:top w:w="60" w:type="dxa"/>
              <w:left w:w="120" w:type="dxa"/>
              <w:bottom w:w="30" w:type="dxa"/>
              <w:right w:w="120" w:type="dxa"/>
            </w:tcMar>
            <w:vAlign w:val="top"/>
          </w:tcPr>
          <w:p w14:paraId="174C17D2">
            <w:pPr>
              <w:pStyle w:val="99"/>
              <w:framePr w:wrap="around"/>
              <w:bidi w:val="0"/>
            </w:pPr>
            <w:r>
              <w:t>63000</w:t>
            </w:r>
          </w:p>
        </w:tc>
        <w:tc>
          <w:tcPr>
            <w:tcW w:w="2760" w:type="dxa"/>
            <w:gridSpan w:val="2"/>
            <w:tcMar>
              <w:top w:w="60" w:type="dxa"/>
              <w:left w:w="120" w:type="dxa"/>
              <w:bottom w:w="30" w:type="dxa"/>
              <w:right w:w="120" w:type="dxa"/>
            </w:tcMar>
            <w:vAlign w:val="top"/>
          </w:tcPr>
          <w:p w14:paraId="3D505702">
            <w:pPr>
              <w:pStyle w:val="99"/>
              <w:framePr w:wrap="around"/>
              <w:bidi w:val="0"/>
            </w:pPr>
            <w:r>
              <w:t>16695</w:t>
            </w:r>
          </w:p>
        </w:tc>
        <w:tc>
          <w:tcPr>
            <w:tcW w:w="2760" w:type="dxa"/>
            <w:gridSpan w:val="2"/>
            <w:tcMar>
              <w:top w:w="60" w:type="dxa"/>
              <w:left w:w="120" w:type="dxa"/>
              <w:bottom w:w="30" w:type="dxa"/>
              <w:right w:w="120" w:type="dxa"/>
            </w:tcMar>
            <w:vAlign w:val="top"/>
          </w:tcPr>
          <w:p w14:paraId="386866F8">
            <w:pPr>
              <w:pStyle w:val="99"/>
              <w:framePr w:wrap="around"/>
              <w:bidi w:val="0"/>
            </w:pPr>
            <w:r>
              <w:t>38.0</w:t>
            </w:r>
          </w:p>
        </w:tc>
        <w:tc>
          <w:tcPr>
            <w:tcW w:w="2760" w:type="dxa"/>
            <w:gridSpan w:val="2"/>
            <w:tcMar>
              <w:top w:w="60" w:type="dxa"/>
              <w:left w:w="120" w:type="dxa"/>
              <w:bottom w:w="30" w:type="dxa"/>
              <w:right w:w="120" w:type="dxa"/>
            </w:tcMar>
            <w:vAlign w:val="top"/>
          </w:tcPr>
          <w:p w14:paraId="49B051F8">
            <w:pPr>
              <w:pStyle w:val="99"/>
              <w:framePr w:wrap="around"/>
              <w:bidi w:val="0"/>
            </w:pPr>
            <w:r>
              <w:t>63441.0</w:t>
            </w:r>
          </w:p>
        </w:tc>
      </w:tr>
      <w:tr w14:paraId="40F4D198">
        <w:tc>
          <w:tcPr>
            <w:tcW w:w="2760" w:type="dxa"/>
            <w:tcMar>
              <w:top w:w="60" w:type="dxa"/>
              <w:left w:w="120" w:type="dxa"/>
              <w:bottom w:w="30" w:type="dxa"/>
              <w:right w:w="120" w:type="dxa"/>
            </w:tcMar>
            <w:vAlign w:val="top"/>
          </w:tcPr>
          <w:p w14:paraId="1B71FAEE">
            <w:pPr>
              <w:pStyle w:val="99"/>
              <w:framePr w:wrap="around"/>
              <w:bidi w:val="0"/>
            </w:pPr>
            <w:r>
              <w:t>2035</w:t>
            </w:r>
          </w:p>
        </w:tc>
        <w:tc>
          <w:tcPr>
            <w:tcW w:w="2760" w:type="dxa"/>
            <w:gridSpan w:val="2"/>
            <w:tcMar>
              <w:top w:w="60" w:type="dxa"/>
              <w:left w:w="120" w:type="dxa"/>
              <w:bottom w:w="30" w:type="dxa"/>
              <w:right w:w="120" w:type="dxa"/>
            </w:tcMar>
            <w:vAlign w:val="top"/>
          </w:tcPr>
          <w:p w14:paraId="64A76CFC">
            <w:pPr>
              <w:pStyle w:val="99"/>
              <w:framePr w:wrap="around"/>
              <w:bidi w:val="0"/>
            </w:pPr>
            <w:r>
              <w:t>2.6%</w:t>
            </w:r>
          </w:p>
        </w:tc>
        <w:tc>
          <w:tcPr>
            <w:tcW w:w="2760" w:type="dxa"/>
            <w:gridSpan w:val="2"/>
            <w:tcMar>
              <w:top w:w="60" w:type="dxa"/>
              <w:left w:w="120" w:type="dxa"/>
              <w:bottom w:w="30" w:type="dxa"/>
              <w:right w:w="120" w:type="dxa"/>
            </w:tcMar>
            <w:vAlign w:val="top"/>
          </w:tcPr>
          <w:p w14:paraId="19D4E59F">
            <w:pPr>
              <w:pStyle w:val="99"/>
              <w:framePr w:wrap="around"/>
              <w:bidi w:val="0"/>
            </w:pPr>
            <w:r>
              <w:t>25.0%</w:t>
            </w:r>
          </w:p>
        </w:tc>
        <w:tc>
          <w:tcPr>
            <w:tcW w:w="2760" w:type="dxa"/>
            <w:gridSpan w:val="2"/>
            <w:tcMar>
              <w:top w:w="60" w:type="dxa"/>
              <w:left w:w="120" w:type="dxa"/>
              <w:bottom w:w="30" w:type="dxa"/>
              <w:right w:w="120" w:type="dxa"/>
            </w:tcMar>
            <w:vAlign w:val="top"/>
          </w:tcPr>
          <w:p w14:paraId="46421FF6">
            <w:pPr>
              <w:pStyle w:val="99"/>
              <w:framePr w:wrap="around"/>
              <w:bidi w:val="0"/>
            </w:pPr>
            <w:r>
              <w:t>78000</w:t>
            </w:r>
          </w:p>
        </w:tc>
        <w:tc>
          <w:tcPr>
            <w:tcW w:w="2760" w:type="dxa"/>
            <w:gridSpan w:val="2"/>
            <w:tcMar>
              <w:top w:w="60" w:type="dxa"/>
              <w:left w:w="120" w:type="dxa"/>
              <w:bottom w:w="30" w:type="dxa"/>
              <w:right w:w="120" w:type="dxa"/>
            </w:tcMar>
            <w:vAlign w:val="top"/>
          </w:tcPr>
          <w:p w14:paraId="607A4F55">
            <w:pPr>
              <w:pStyle w:val="99"/>
              <w:framePr w:wrap="around"/>
              <w:bidi w:val="0"/>
            </w:pPr>
            <w:r>
              <w:t>19500</w:t>
            </w:r>
          </w:p>
        </w:tc>
        <w:tc>
          <w:tcPr>
            <w:tcW w:w="2760" w:type="dxa"/>
            <w:gridSpan w:val="2"/>
            <w:tcMar>
              <w:top w:w="60" w:type="dxa"/>
              <w:left w:w="120" w:type="dxa"/>
              <w:bottom w:w="30" w:type="dxa"/>
              <w:right w:w="120" w:type="dxa"/>
            </w:tcMar>
            <w:vAlign w:val="top"/>
          </w:tcPr>
          <w:p w14:paraId="3C0C92A5">
            <w:pPr>
              <w:pStyle w:val="99"/>
              <w:framePr w:wrap="around"/>
              <w:bidi w:val="0"/>
            </w:pPr>
            <w:r>
              <w:t>38.0</w:t>
            </w:r>
          </w:p>
        </w:tc>
        <w:tc>
          <w:tcPr>
            <w:tcW w:w="2760" w:type="dxa"/>
            <w:gridSpan w:val="2"/>
            <w:tcMar>
              <w:top w:w="60" w:type="dxa"/>
              <w:left w:w="120" w:type="dxa"/>
              <w:bottom w:w="30" w:type="dxa"/>
              <w:right w:w="120" w:type="dxa"/>
            </w:tcMar>
            <w:vAlign w:val="top"/>
          </w:tcPr>
          <w:p w14:paraId="12B54257">
            <w:pPr>
              <w:pStyle w:val="99"/>
              <w:framePr w:wrap="around"/>
              <w:bidi w:val="0"/>
            </w:pPr>
            <w:r>
              <w:t>74100.0</w:t>
            </w:r>
          </w:p>
        </w:tc>
      </w:tr>
      <w:tr w14:paraId="369D90F5">
        <w:tc>
          <w:tcPr>
            <w:tcW w:w="2760" w:type="dxa"/>
            <w:tcMar>
              <w:top w:w="60" w:type="dxa"/>
              <w:left w:w="120" w:type="dxa"/>
              <w:bottom w:w="30" w:type="dxa"/>
              <w:right w:w="120" w:type="dxa"/>
            </w:tcMar>
            <w:vAlign w:val="top"/>
          </w:tcPr>
          <w:p w14:paraId="2BC7EAEF">
            <w:pPr>
              <w:pStyle w:val="99"/>
              <w:framePr w:wrap="around"/>
              <w:bidi w:val="0"/>
            </w:pPr>
            <w:r>
              <w:t>2036</w:t>
            </w:r>
          </w:p>
        </w:tc>
        <w:tc>
          <w:tcPr>
            <w:tcW w:w="2760" w:type="dxa"/>
            <w:gridSpan w:val="2"/>
            <w:tcMar>
              <w:top w:w="60" w:type="dxa"/>
              <w:left w:w="120" w:type="dxa"/>
              <w:bottom w:w="30" w:type="dxa"/>
              <w:right w:w="120" w:type="dxa"/>
            </w:tcMar>
            <w:vAlign w:val="top"/>
          </w:tcPr>
          <w:p w14:paraId="52DC9D76">
            <w:pPr>
              <w:pStyle w:val="99"/>
              <w:framePr w:wrap="around"/>
              <w:bidi w:val="0"/>
            </w:pPr>
            <w:r>
              <w:t>3.1%</w:t>
            </w:r>
          </w:p>
        </w:tc>
        <w:tc>
          <w:tcPr>
            <w:tcW w:w="2760" w:type="dxa"/>
            <w:gridSpan w:val="2"/>
            <w:tcMar>
              <w:top w:w="60" w:type="dxa"/>
              <w:left w:w="120" w:type="dxa"/>
              <w:bottom w:w="30" w:type="dxa"/>
              <w:right w:w="120" w:type="dxa"/>
            </w:tcMar>
            <w:vAlign w:val="top"/>
          </w:tcPr>
          <w:p w14:paraId="4C3FCF35">
            <w:pPr>
              <w:pStyle w:val="99"/>
              <w:framePr w:wrap="around"/>
              <w:bidi w:val="0"/>
            </w:pPr>
            <w:r>
              <w:t>23.5%</w:t>
            </w:r>
          </w:p>
        </w:tc>
        <w:tc>
          <w:tcPr>
            <w:tcW w:w="2760" w:type="dxa"/>
            <w:gridSpan w:val="2"/>
            <w:tcMar>
              <w:top w:w="60" w:type="dxa"/>
              <w:left w:w="120" w:type="dxa"/>
              <w:bottom w:w="30" w:type="dxa"/>
              <w:right w:w="120" w:type="dxa"/>
            </w:tcMar>
            <w:vAlign w:val="top"/>
          </w:tcPr>
          <w:p w14:paraId="26E47343">
            <w:pPr>
              <w:pStyle w:val="99"/>
              <w:framePr w:wrap="around"/>
              <w:bidi w:val="0"/>
            </w:pPr>
            <w:r>
              <w:t>93000</w:t>
            </w:r>
          </w:p>
        </w:tc>
        <w:tc>
          <w:tcPr>
            <w:tcW w:w="2760" w:type="dxa"/>
            <w:gridSpan w:val="2"/>
            <w:tcMar>
              <w:top w:w="60" w:type="dxa"/>
              <w:left w:w="120" w:type="dxa"/>
              <w:bottom w:w="30" w:type="dxa"/>
              <w:right w:w="120" w:type="dxa"/>
            </w:tcMar>
            <w:vAlign w:val="top"/>
          </w:tcPr>
          <w:p w14:paraId="3B538095">
            <w:pPr>
              <w:pStyle w:val="99"/>
              <w:framePr w:wrap="around"/>
              <w:bidi w:val="0"/>
            </w:pPr>
            <w:r>
              <w:t>21855</w:t>
            </w:r>
          </w:p>
        </w:tc>
        <w:tc>
          <w:tcPr>
            <w:tcW w:w="2760" w:type="dxa"/>
            <w:gridSpan w:val="2"/>
            <w:tcMar>
              <w:top w:w="60" w:type="dxa"/>
              <w:left w:w="120" w:type="dxa"/>
              <w:bottom w:w="30" w:type="dxa"/>
              <w:right w:w="120" w:type="dxa"/>
            </w:tcMar>
            <w:vAlign w:val="top"/>
          </w:tcPr>
          <w:p w14:paraId="0CC7F647">
            <w:pPr>
              <w:pStyle w:val="99"/>
              <w:framePr w:wrap="around"/>
              <w:bidi w:val="0"/>
            </w:pPr>
            <w:r>
              <w:t>38.0</w:t>
            </w:r>
          </w:p>
        </w:tc>
        <w:tc>
          <w:tcPr>
            <w:tcW w:w="2760" w:type="dxa"/>
            <w:gridSpan w:val="2"/>
            <w:tcMar>
              <w:top w:w="60" w:type="dxa"/>
              <w:left w:w="120" w:type="dxa"/>
              <w:bottom w:w="30" w:type="dxa"/>
              <w:right w:w="120" w:type="dxa"/>
            </w:tcMar>
            <w:vAlign w:val="top"/>
          </w:tcPr>
          <w:p w14:paraId="35AFE073">
            <w:pPr>
              <w:pStyle w:val="99"/>
              <w:framePr w:wrap="around"/>
              <w:bidi w:val="0"/>
            </w:pPr>
            <w:r>
              <w:t>83049.0</w:t>
            </w:r>
          </w:p>
        </w:tc>
      </w:tr>
      <w:bookmarkEnd w:id="58"/>
      <w:bookmarkEnd w:id="59"/>
      <w:bookmarkEnd w:id="60"/>
    </w:tbl>
    <w:p w14:paraId="1C0F177F">
      <w:pPr>
        <w:pStyle w:val="86"/>
        <w:bidi w:val="0"/>
        <w:rPr>
          <w:rFonts w:hint="eastAsia" w:eastAsia="仿宋"/>
          <w:lang w:val="en-US" w:eastAsia="zh-CN"/>
        </w:rPr>
      </w:pPr>
      <w:bookmarkStart w:id="68" w:name="_Toc1359704040"/>
      <w:r>
        <w:rPr>
          <w:rFonts w:hint="eastAsia"/>
          <w:lang w:val="en-US" w:eastAsia="zh-CN"/>
        </w:rPr>
        <w:t>可比公司</w:t>
      </w:r>
      <w:bookmarkEnd w:id="68"/>
    </w:p>
    <w:p w14:paraId="0CBA8E05">
      <w:pPr>
        <w:pStyle w:val="91"/>
        <w:bidi w:val="0"/>
        <w:ind w:left="0" w:leftChars="0" w:firstLine="0" w:firstLineChars="0"/>
      </w:pPr>
      <w:r>
        <w:drawing>
          <wp:inline distT="0" distB="0" distL="114300" distR="114300">
            <wp:extent cx="5274310" cy="3068320"/>
            <wp:effectExtent l="0" t="0" r="889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74310" cy="3068320"/>
                    </a:xfrm>
                    <a:prstGeom prst="rect">
                      <a:avLst/>
                    </a:prstGeom>
                    <a:noFill/>
                    <a:ln>
                      <a:noFill/>
                    </a:ln>
                  </pic:spPr>
                </pic:pic>
              </a:graphicData>
            </a:graphic>
          </wp:inline>
        </w:drawing>
      </w:r>
    </w:p>
    <w:p w14:paraId="1520C49A">
      <w:pPr>
        <w:pStyle w:val="91"/>
        <w:bidi w:val="0"/>
        <w:ind w:left="0" w:leftChars="0" w:firstLine="0" w:firstLineChars="0"/>
      </w:pPr>
      <w:r>
        <w:drawing>
          <wp:inline distT="0" distB="0" distL="114300" distR="114300">
            <wp:extent cx="5274310" cy="3068320"/>
            <wp:effectExtent l="0" t="0" r="8890" b="508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7"/>
                    <a:stretch>
                      <a:fillRect/>
                    </a:stretch>
                  </pic:blipFill>
                  <pic:spPr>
                    <a:xfrm>
                      <a:off x="0" y="0"/>
                      <a:ext cx="5274310" cy="3068320"/>
                    </a:xfrm>
                    <a:prstGeom prst="rect">
                      <a:avLst/>
                    </a:prstGeom>
                    <a:noFill/>
                    <a:ln>
                      <a:noFill/>
                    </a:ln>
                  </pic:spPr>
                </pic:pic>
              </a:graphicData>
            </a:graphic>
          </wp:inline>
        </w:drawing>
      </w:r>
    </w:p>
    <w:p w14:paraId="388A3B38">
      <w:pPr>
        <w:pStyle w:val="91"/>
        <w:bidi w:val="0"/>
        <w:ind w:left="0" w:leftChars="0" w:firstLine="0" w:firstLineChars="0"/>
      </w:pPr>
      <w:r>
        <w:drawing>
          <wp:inline distT="0" distB="0" distL="114300" distR="114300">
            <wp:extent cx="5271770" cy="3063240"/>
            <wp:effectExtent l="0" t="0" r="11430" b="1016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8"/>
                    <a:stretch>
                      <a:fillRect/>
                    </a:stretch>
                  </pic:blipFill>
                  <pic:spPr>
                    <a:xfrm>
                      <a:off x="0" y="0"/>
                      <a:ext cx="5271770" cy="3063240"/>
                    </a:xfrm>
                    <a:prstGeom prst="rect">
                      <a:avLst/>
                    </a:prstGeom>
                    <a:noFill/>
                    <a:ln>
                      <a:noFill/>
                    </a:ln>
                  </pic:spPr>
                </pic:pic>
              </a:graphicData>
            </a:graphic>
          </wp:inline>
        </w:drawing>
      </w:r>
    </w:p>
    <w:p w14:paraId="532571AB">
      <w:pPr>
        <w:pStyle w:val="91"/>
        <w:bidi w:val="0"/>
        <w:ind w:left="0" w:leftChars="0" w:firstLine="0" w:firstLineChars="0"/>
      </w:pPr>
      <w:r>
        <w:drawing>
          <wp:inline distT="0" distB="0" distL="114300" distR="114300">
            <wp:extent cx="5274310" cy="3170555"/>
            <wp:effectExtent l="0" t="0" r="8890" b="444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9"/>
                    <a:stretch>
                      <a:fillRect/>
                    </a:stretch>
                  </pic:blipFill>
                  <pic:spPr>
                    <a:xfrm>
                      <a:off x="0" y="0"/>
                      <a:ext cx="5274310" cy="3170555"/>
                    </a:xfrm>
                    <a:prstGeom prst="rect">
                      <a:avLst/>
                    </a:prstGeom>
                    <a:noFill/>
                    <a:ln>
                      <a:noFill/>
                    </a:ln>
                  </pic:spPr>
                </pic:pic>
              </a:graphicData>
            </a:graphic>
          </wp:inline>
        </w:drawing>
      </w:r>
    </w:p>
    <w:p w14:paraId="44B2717B">
      <w:pPr>
        <w:pStyle w:val="91"/>
        <w:bidi w:val="0"/>
        <w:ind w:left="0" w:leftChars="0" w:firstLine="0" w:firstLineChars="0"/>
      </w:pPr>
      <w:r>
        <w:drawing>
          <wp:inline distT="0" distB="0" distL="114300" distR="114300">
            <wp:extent cx="5273040" cy="3129915"/>
            <wp:effectExtent l="0" t="0" r="10160" b="196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0"/>
                    <a:stretch>
                      <a:fillRect/>
                    </a:stretch>
                  </pic:blipFill>
                  <pic:spPr>
                    <a:xfrm>
                      <a:off x="0" y="0"/>
                      <a:ext cx="5273040" cy="3129915"/>
                    </a:xfrm>
                    <a:prstGeom prst="rect">
                      <a:avLst/>
                    </a:prstGeom>
                    <a:noFill/>
                    <a:ln>
                      <a:noFill/>
                    </a:ln>
                  </pic:spPr>
                </pic:pic>
              </a:graphicData>
            </a:graphic>
          </wp:inline>
        </w:drawing>
      </w:r>
    </w:p>
    <w:p w14:paraId="787B2C72"/>
    <w:p w14:paraId="0263CD75">
      <w:pPr>
        <w:pStyle w:val="79"/>
        <w:numPr>
          <w:ilvl w:val="0"/>
          <w:numId w:val="7"/>
        </w:numPr>
        <w:ind w:firstLine="0"/>
        <w:rPr>
          <w:color w:val="auto"/>
        </w:rPr>
      </w:pPr>
      <w:bookmarkStart w:id="69" w:name="_Toc1172312553"/>
      <w:r>
        <w:rPr>
          <w:rFonts w:hint="eastAsia"/>
          <w:color w:val="auto"/>
        </w:rPr>
        <w:t>行业情况</w:t>
      </w:r>
      <w:bookmarkEnd w:id="69"/>
    </w:p>
    <w:p w14:paraId="516B356F">
      <w:pPr>
        <w:pStyle w:val="86"/>
        <w:numPr>
          <w:ilvl w:val="0"/>
          <w:numId w:val="27"/>
        </w:numPr>
        <w:bidi w:val="0"/>
      </w:pPr>
      <w:bookmarkStart w:id="70" w:name="_Toc2042100693"/>
      <w:r>
        <w:t>神经外科疾病治疗方式及微创诊疗全流程</w:t>
      </w:r>
      <w:bookmarkEnd w:id="70"/>
    </w:p>
    <w:p w14:paraId="21EFB817">
      <w:pPr>
        <w:pStyle w:val="88"/>
        <w:numPr>
          <w:ilvl w:val="0"/>
          <w:numId w:val="28"/>
        </w:numPr>
        <w:bidi w:val="0"/>
      </w:pPr>
      <w:bookmarkStart w:id="71" w:name="_Toc502700897"/>
      <w:r>
        <w:t>神经外科疾病概述</w:t>
      </w:r>
      <w:bookmarkEnd w:id="71"/>
    </w:p>
    <w:p w14:paraId="0F60B4BA">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神经外科专注于神经系统疾病的预防、诊断与治疗，覆盖范畴包括：脑与脊髓肿瘤、脑水肿、脑血管疾病（脑卒中）、功能性疾病（癫痫、帕金森病等）。</w:t>
      </w:r>
    </w:p>
    <w:p w14:paraId="671A4E47">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当前神经外科治疗手段已趋于多元化，包含传统开放手术、微创外科、血管内介入治疗、化疗、放疗等主流方式。</w:t>
      </w:r>
    </w:p>
    <w:p w14:paraId="25ACCA51">
      <w:pPr>
        <w:pStyle w:val="88"/>
        <w:numPr>
          <w:ilvl w:val="0"/>
          <w:numId w:val="28"/>
        </w:numPr>
        <w:bidi w:val="0"/>
      </w:pPr>
      <w:bookmarkStart w:id="72" w:name="_Toc693308581"/>
      <w:r>
        <w:t>微创神经外科技术优势</w:t>
      </w:r>
      <w:bookmarkEnd w:id="72"/>
    </w:p>
    <w:p w14:paraId="21D6F969">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微创神经外科通过微小切口与先进影像导航开展脑脊髓手术，无需大范围开颅，减少组织损伤；依托内镜技术可通过微小通道置入器械，保护神经结构、清晰暴露术区。</w:t>
      </w:r>
    </w:p>
    <w:p w14:paraId="4D9B907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相较传统开放手术核心优势：术后疼痛轻、住院周期短、康复速度快。</w:t>
      </w:r>
    </w:p>
    <w:p w14:paraId="0C803D6E">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LITT激光间质热疗作为新兴微创技术，依托核磁引导激光探针精准消融脑部深部病灶，对深部肿瘤、放射性坏死、癫痫灶治疗安全有效，尤其适合开放手术高风险、解剖位置复杂的患者。</w:t>
      </w:r>
    </w:p>
    <w:p w14:paraId="48D4DFB9">
      <w:pPr>
        <w:pStyle w:val="88"/>
        <w:numPr>
          <w:ilvl w:val="0"/>
          <w:numId w:val="28"/>
        </w:numPr>
        <w:bidi w:val="0"/>
      </w:pPr>
      <w:bookmarkStart w:id="73" w:name="_Toc191052245"/>
      <w:r>
        <w:t>微创神经外科疾病诊疗全流程</w:t>
      </w:r>
      <w:bookmarkEnd w:id="73"/>
    </w:p>
    <w:p w14:paraId="58455DD0">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整体分为四大核心环节：诊断、术前规划、术中定位、术中治疗。</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2A8F3E80">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6EC6C15">
            <w:pPr>
              <w:pStyle w:val="99"/>
              <w:bidi w:val="0"/>
            </w:pPr>
            <w:r>
              <w:t>流程环节</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84EF0ED">
            <w:pPr>
              <w:pStyle w:val="99"/>
              <w:bidi w:val="0"/>
            </w:pPr>
            <w:r>
              <w:t>核心目的</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106228D">
            <w:pPr>
              <w:pStyle w:val="99"/>
              <w:bidi w:val="0"/>
            </w:pPr>
            <w:r>
              <w:t>配套医疗器械</w:t>
            </w:r>
          </w:p>
        </w:tc>
      </w:tr>
      <w:tr w14:paraId="3181B174">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41C89B7">
            <w:pPr>
              <w:pStyle w:val="99"/>
              <w:bidi w:val="0"/>
            </w:pPr>
            <w:r>
              <w:t>诊断</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5C2D3E2">
            <w:pPr>
              <w:pStyle w:val="99"/>
              <w:bidi w:val="0"/>
            </w:pPr>
            <w:r>
              <w:t>通过神经查体、影像、电生理监测完成病灶评估、定位、定性及病因判断</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5986667">
            <w:pPr>
              <w:pStyle w:val="99"/>
              <w:bidi w:val="0"/>
            </w:pPr>
            <w:r>
              <w:t>MRI、CT、神经电生理记录系统、术中脑电图/颅内电极、脑磁图MEG、颅内压监测、显微手术可视化器械、诊断传感器</w:t>
            </w:r>
          </w:p>
        </w:tc>
      </w:tr>
      <w:tr w14:paraId="1DA59614">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9A499D9">
            <w:pPr>
              <w:pStyle w:val="99"/>
              <w:bidi w:val="0"/>
            </w:pPr>
            <w:r>
              <w:t>术前规划</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9CAAB11">
            <w:pPr>
              <w:pStyle w:val="99"/>
              <w:bidi w:val="0"/>
            </w:pPr>
            <w:r>
              <w:t>基于多模态影像重建，制定个性化手术方案、入路轨迹及手术策略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ED3362D">
            <w:pPr>
              <w:pStyle w:val="99"/>
              <w:bidi w:val="0"/>
            </w:pPr>
            <w:r>
              <w:t>术前规划软件、3D可视化与手术仿真工具</w:t>
            </w:r>
          </w:p>
        </w:tc>
      </w:tr>
      <w:tr w14:paraId="78BE93FF">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A5ACD5A">
            <w:pPr>
              <w:pStyle w:val="99"/>
              <w:bidi w:val="0"/>
            </w:pPr>
            <w:r>
              <w:t>术中定位</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908E1B9">
            <w:pPr>
              <w:pStyle w:val="99"/>
              <w:bidi w:val="0"/>
            </w:pPr>
            <w:r>
              <w:t>术中借助影像与导航精准界定病灶边界，实时引导器械置入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C25221F">
            <w:pPr>
              <w:pStyle w:val="99"/>
              <w:bidi w:val="0"/>
            </w:pPr>
            <w:r>
              <w:t>神经外科导航系统、术中MRI/CT/超声、立体定向设备</w:t>
            </w:r>
          </w:p>
        </w:tc>
      </w:tr>
      <w:tr w14:paraId="05CC649F">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7DD939F">
            <w:pPr>
              <w:pStyle w:val="99"/>
              <w:bidi w:val="0"/>
            </w:pPr>
            <w:r>
              <w:t>术中治疗</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C409597">
            <w:pPr>
              <w:pStyle w:val="99"/>
              <w:bidi w:val="0"/>
            </w:pPr>
            <w:r>
              <w:t>执行手术方案，消融/切除病灶，规避重要神经结构损伤</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4C17E1B">
            <w:pPr>
              <w:pStyle w:val="99"/>
              <w:bidi w:val="0"/>
            </w:pPr>
            <w:r>
              <w:t>LITT设备、内镜手术系统、微创器械套件、DBS/SCS/VNS系统、神经外科植入耗材、立体定向设备</w:t>
            </w:r>
          </w:p>
        </w:tc>
      </w:tr>
    </w:tbl>
    <w:p w14:paraId="0ADB1990">
      <w:pPr>
        <w:pStyle w:val="88"/>
        <w:numPr>
          <w:ilvl w:val="0"/>
          <w:numId w:val="28"/>
        </w:numPr>
        <w:bidi w:val="0"/>
      </w:pPr>
      <w:bookmarkStart w:id="74" w:name="_Toc527029450"/>
      <w:r>
        <w:t>微创神经外科市场增长驱动与未来趋势</w:t>
      </w:r>
      <w:bookmarkEnd w:id="74"/>
    </w:p>
    <w:p w14:paraId="6E00635F">
      <w:pPr>
        <w:pStyle w:val="122"/>
        <w:numPr>
          <w:ilvl w:val="0"/>
          <w:numId w:val="29"/>
        </w:numPr>
        <w:bidi w:val="0"/>
      </w:pPr>
      <w:bookmarkStart w:id="75" w:name="_Toc1561405922"/>
      <w:r>
        <w:t>需求端扩容</w:t>
      </w:r>
      <w:bookmarkEnd w:id="75"/>
    </w:p>
    <w:p w14:paraId="2D151029">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全球人口老龄化加剧，脑卒中、神经退行性疾病等患病率持续攀升，神经疾病患者基数扩大；医疗可及性提升，患者支付意愿与能力增强，倒逼微创耗材及设备持续创新迭代。</w:t>
      </w:r>
    </w:p>
    <w:p w14:paraId="5F6437A3">
      <w:pPr>
        <w:pStyle w:val="122"/>
        <w:numPr>
          <w:ilvl w:val="0"/>
          <w:numId w:val="29"/>
        </w:numPr>
        <w:bidi w:val="0"/>
      </w:pPr>
      <w:bookmarkStart w:id="76" w:name="_Toc299164714"/>
      <w:r>
        <w:t>治疗趋向微创化、精准化</w:t>
      </w:r>
      <w:bookmarkEnd w:id="76"/>
    </w:p>
    <w:p w14:paraId="15DC427B">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锁孔开颅、内镜颅底手术、影像介入等技术普及，创伤更小、并发症更低、康复更快；MR引导LITT等新技术进一步实现深部病灶靶向消融，设备小型化、导航精度持续升级，推动个性化精准治疗落地。</w:t>
      </w:r>
    </w:p>
    <w:p w14:paraId="14F22F8B">
      <w:pPr>
        <w:pStyle w:val="122"/>
        <w:numPr>
          <w:ilvl w:val="0"/>
          <w:numId w:val="29"/>
        </w:numPr>
        <w:bidi w:val="0"/>
      </w:pPr>
      <w:bookmarkStart w:id="77" w:name="_Toc802130571"/>
      <w:r>
        <w:t>数据驱动软件优化</w:t>
      </w:r>
      <w:bookmarkEnd w:id="77"/>
    </w:p>
    <w:p w14:paraId="2925F21B">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硬件与软件持续迭代，厂商加大研发投入；医院临床数据积累反哺手术规划算法、影像分割及3D建模优化，提升术前评估与手术规划精准度，带动高端设备及配套软件需求增长。</w:t>
      </w:r>
    </w:p>
    <w:p w14:paraId="199FEADF">
      <w:pPr>
        <w:pStyle w:val="86"/>
        <w:numPr>
          <w:ilvl w:val="0"/>
          <w:numId w:val="27"/>
        </w:numPr>
        <w:bidi w:val="0"/>
      </w:pPr>
      <w:bookmarkStart w:id="78" w:name="_Toc1653654578"/>
      <w:r>
        <w:t>脑机接口（BCI）行业基础定义、分类与发展历程</w:t>
      </w:r>
      <w:bookmarkEnd w:id="78"/>
    </w:p>
    <w:p w14:paraId="18ABA80B">
      <w:pPr>
        <w:pStyle w:val="88"/>
        <w:numPr>
          <w:ilvl w:val="0"/>
          <w:numId w:val="30"/>
        </w:numPr>
        <w:bidi w:val="0"/>
      </w:pPr>
      <w:bookmarkStart w:id="79" w:name="_Toc239132972"/>
      <w:r>
        <w:t>BCI官方定义</w:t>
      </w:r>
      <w:bookmarkEnd w:id="79"/>
    </w:p>
    <w:p w14:paraId="46F23A6E">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依据CDE《脑机接口医疗器械术语与定义》：</w:t>
      </w:r>
    </w:p>
    <w:p w14:paraId="233557BC">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脑机接口医疗器械（BCI-ME）为有源医疗器械，需满足三大核心特征：</w:t>
      </w:r>
    </w:p>
    <w:p w14:paraId="49AD5743">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结构直接连接大脑、中枢神经或周围神经；</w:t>
      </w:r>
    </w:p>
    <w:p w14:paraId="6FF1421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实现大脑与外部设备双向信息交互或单向神经调控刺激；</w:t>
      </w:r>
    </w:p>
    <w:p w14:paraId="153ECC77">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实现脑部疾病治疗、视听言语功能重建、运动康复等临床疗效。</w:t>
      </w:r>
    </w:p>
    <w:p w14:paraId="1A98B30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满足任意两项为广义BCI-ME，三项均满足为狭义BCI-ME。</w:t>
      </w:r>
    </w:p>
    <w:p w14:paraId="73523D40">
      <w:pPr>
        <w:pStyle w:val="88"/>
        <w:numPr>
          <w:ilvl w:val="0"/>
          <w:numId w:val="30"/>
        </w:numPr>
        <w:bidi w:val="0"/>
      </w:pPr>
      <w:bookmarkStart w:id="80" w:name="_Toc1165956867"/>
      <w:r>
        <w:t>BCI基本工作原理</w:t>
      </w:r>
      <w:bookmarkEnd w:id="80"/>
    </w:p>
    <w:p w14:paraId="0ECC972A">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信号采集→预处理→特征提取→分类解码→应用接口→反馈调控</w:t>
      </w:r>
    </w:p>
    <w:p w14:paraId="4A732099">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核心作用维度：大脑感知、神经调控、控制指令解码；刺激方式包含电刺激、磁刺激、超声刺激、光刺激、神经反馈；应用涵盖外设控制、脑状态解析。</w:t>
      </w:r>
    </w:p>
    <w:p w14:paraId="4D54A9F1">
      <w:pPr>
        <w:pStyle w:val="88"/>
        <w:numPr>
          <w:ilvl w:val="0"/>
          <w:numId w:val="30"/>
        </w:numPr>
        <w:bidi w:val="0"/>
      </w:pPr>
      <w:bookmarkStart w:id="81" w:name="_Toc448784794"/>
      <w:r>
        <w:t>BCI分类体系</w:t>
      </w:r>
      <w:bookmarkEnd w:id="81"/>
    </w:p>
    <w:p w14:paraId="1198D3D1">
      <w:pPr>
        <w:pStyle w:val="122"/>
        <w:numPr>
          <w:ilvl w:val="0"/>
          <w:numId w:val="31"/>
        </w:numPr>
        <w:bidi w:val="0"/>
      </w:pPr>
      <w:bookmarkStart w:id="82" w:name="_Toc763464494"/>
      <w:r>
        <w:t>按植入方式分类</w:t>
      </w:r>
      <w:bookmarkEnd w:id="82"/>
    </w:p>
    <w:p w14:paraId="1FFE2DA5">
      <w:pPr>
        <w:pStyle w:val="125"/>
        <w:ind w:firstLine="562" w:firstLineChars="200"/>
        <w:rPr>
          <w:rFonts w:ascii="仿宋" w:hAnsi="仿宋" w:eastAsia="仿宋" w:cs="Arial"/>
          <w:b/>
          <w:bCs/>
          <w:sz w:val="28"/>
          <w:szCs w:val="28"/>
          <w:lang w:val="en-US" w:eastAsia="zh-CN" w:bidi="ar-SA"/>
        </w:rPr>
      </w:pPr>
      <w:r>
        <w:rPr>
          <w:rFonts w:hint="eastAsia" w:ascii="仿宋" w:hAnsi="仿宋" w:eastAsia="仿宋" w:cs="Arial"/>
          <w:b/>
          <w:bCs/>
          <w:sz w:val="28"/>
          <w:szCs w:val="28"/>
          <w:lang w:val="en-US" w:eastAsia="zh-CN" w:bidi="ar-SA"/>
        </w:rPr>
        <w:t>a)</w:t>
      </w:r>
      <w:r>
        <w:rPr>
          <w:rFonts w:ascii="仿宋" w:hAnsi="仿宋" w:eastAsia="仿宋" w:cs="Arial"/>
          <w:b/>
          <w:bCs/>
          <w:sz w:val="28"/>
          <w:szCs w:val="28"/>
          <w:lang w:val="en-US" w:eastAsia="zh-CN" w:bidi="ar-SA"/>
        </w:rPr>
        <w:t>非侵入式BCI</w:t>
      </w:r>
    </w:p>
    <w:p w14:paraId="3EB17581">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原理：头皮外置传感器采集脑信号</w:t>
      </w:r>
    </w:p>
    <w:p w14:paraId="679DA19A">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应用：教育、游戏、疲劳监测、便携脑电图、经颅磁刺激、睡眠监测</w:t>
      </w:r>
    </w:p>
    <w:p w14:paraId="28C13D0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优势：低成本、便携无创、脑活动时间分辨率高</w:t>
      </w:r>
    </w:p>
    <w:p w14:paraId="688BF77F">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劣势：空间分辨率低、易受眼动/肌电伪影干扰</w:t>
      </w:r>
    </w:p>
    <w:p w14:paraId="6069D9CA">
      <w:pPr>
        <w:pStyle w:val="125"/>
        <w:ind w:firstLine="562" w:firstLineChars="200"/>
        <w:rPr>
          <w:rFonts w:ascii="仿宋" w:hAnsi="仿宋" w:eastAsia="仿宋" w:cs="Arial"/>
          <w:b/>
          <w:bCs/>
          <w:sz w:val="28"/>
          <w:szCs w:val="28"/>
          <w:lang w:val="en-US" w:eastAsia="zh-CN" w:bidi="ar-SA"/>
        </w:rPr>
      </w:pPr>
      <w:r>
        <w:rPr>
          <w:rFonts w:hint="eastAsia" w:ascii="仿宋" w:hAnsi="仿宋" w:eastAsia="仿宋" w:cs="Arial"/>
          <w:b/>
          <w:bCs/>
          <w:sz w:val="28"/>
          <w:szCs w:val="28"/>
          <w:lang w:val="en-US" w:eastAsia="zh-CN" w:bidi="ar-SA"/>
        </w:rPr>
        <w:t>b)</w:t>
      </w:r>
      <w:r>
        <w:rPr>
          <w:rFonts w:ascii="仿宋" w:hAnsi="仿宋" w:eastAsia="仿宋" w:cs="Arial"/>
          <w:b/>
          <w:bCs/>
          <w:sz w:val="28"/>
          <w:szCs w:val="28"/>
          <w:lang w:val="en-US" w:eastAsia="zh-CN" w:bidi="ar-SA"/>
        </w:rPr>
        <w:t>侵入式BCI（含半侵入式）</w:t>
      </w:r>
    </w:p>
    <w:p w14:paraId="42D52EB7">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半侵入式：电极置于颅骨下大脑皮层表面，空间精度更高、噪声更低；</w:t>
      </w:r>
    </w:p>
    <w:p w14:paraId="4A27D74E">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全侵入式：微电极植入脑内神经组织，可捕捉单细胞级信号、抗干扰强、信噪比最高；</w:t>
      </w:r>
    </w:p>
    <w:p w14:paraId="24A2CC12">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临床应用：癫痫、瘫痪、渐冻症，代表产品RNS、DBS。</w:t>
      </w:r>
    </w:p>
    <w:p w14:paraId="1A25A60B">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优势：分辨率极高、直接采集神经信号、信噪比优异</w:t>
      </w:r>
    </w:p>
    <w:p w14:paraId="13DBD9AC">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劣势：需手术植入，存在感染、组织损伤、电极移位、慢性炎症风险</w:t>
      </w:r>
    </w:p>
    <w:p w14:paraId="3463AE3C">
      <w:pPr>
        <w:pStyle w:val="122"/>
        <w:numPr>
          <w:ilvl w:val="0"/>
          <w:numId w:val="31"/>
        </w:numPr>
        <w:bidi w:val="0"/>
      </w:pPr>
      <w:bookmarkStart w:id="83" w:name="_Toc332959833"/>
      <w:r>
        <w:t>按功能用途分类</w:t>
      </w:r>
      <w:bookmarkEnd w:id="83"/>
    </w:p>
    <w:p w14:paraId="5B0CEC84">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脑转机器（输出型）：解码脑信号转化为外部设备控制指令，用于轮椅、假肢、光标控制；</w:t>
      </w:r>
    </w:p>
    <w:p w14:paraId="4A6E2E00">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机器转脑（输入型）：外部刺激输入大脑，修复感知功能，代表DBS、VNS神经调控；</w:t>
      </w:r>
    </w:p>
    <w:p w14:paraId="69039A2C">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双向交互式BCI：闭环双向信息交互，适配智能假肢、沉浸式脑机交互系统。</w:t>
      </w:r>
    </w:p>
    <w:p w14:paraId="3DBCE945">
      <w:pPr>
        <w:pStyle w:val="122"/>
        <w:numPr>
          <w:ilvl w:val="0"/>
          <w:numId w:val="31"/>
        </w:numPr>
        <w:bidi w:val="0"/>
      </w:pPr>
      <w:bookmarkStart w:id="84" w:name="_Toc1861012796"/>
      <w:r>
        <w:t>按控制模式分类</w:t>
      </w:r>
      <w:bookmarkEnd w:id="84"/>
    </w:p>
    <w:p w14:paraId="4C479434">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开环：单向指令输出，无实时反馈，参数人工调节；能耗高、持续刺激；</w:t>
      </w:r>
    </w:p>
    <w:p w14:paraId="07874A1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闭环：双向实时生理反馈，自动优化参数；按需刺激、节能增效、治疗精准度更高。</w:t>
      </w:r>
    </w:p>
    <w:p w14:paraId="098539E1">
      <w:pPr>
        <w:pStyle w:val="88"/>
        <w:numPr>
          <w:ilvl w:val="0"/>
          <w:numId w:val="21"/>
        </w:numPr>
        <w:bidi w:val="0"/>
      </w:pPr>
      <w:bookmarkStart w:id="85" w:name="_Toc2090227464"/>
      <w:r>
        <w:t>BCI发展历程关键里程碑</w:t>
      </w:r>
      <w:bookmarkEnd w:id="85"/>
    </w:p>
    <w:p w14:paraId="0A7FDC3F">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1924年：发现脑电波，开启神经信号解码研究；</w:t>
      </w:r>
    </w:p>
    <w:p w14:paraId="3D4219C9">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1967-1968年：脊髓电刺激SCS用于慢性疼痛并商业化；</w:t>
      </w:r>
    </w:p>
    <w:p w14:paraId="66016956">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1978年：多通道人工耳蜗临床植入商业化；</w:t>
      </w:r>
    </w:p>
    <w:p w14:paraId="0124051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1997年：FDA批准DBS用于震颤、VNS用于耐药性癫痫；</w:t>
      </w:r>
    </w:p>
    <w:p w14:paraId="616C64EC">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2013年：FDA批准首款闭环RNS神经刺激系统；</w:t>
      </w:r>
    </w:p>
    <w:p w14:paraId="18557CEC">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2020年后：植入式闭环BCI进入临床转化，Neuralink启动人体临床、aDBS自适应DBS获批；</w:t>
      </w:r>
    </w:p>
    <w:p w14:paraId="5F1F4513">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中国进程：2021年官方白皮书明确BCI医疗应用战略定位。</w:t>
      </w:r>
    </w:p>
    <w:p w14:paraId="4048ADA6">
      <w:pPr>
        <w:pStyle w:val="88"/>
        <w:numPr>
          <w:ilvl w:val="0"/>
          <w:numId w:val="21"/>
        </w:numPr>
        <w:bidi w:val="0"/>
      </w:pPr>
      <w:bookmarkStart w:id="86" w:name="_Toc1915489822"/>
      <w:r>
        <w:t>医疗级BCI市场规模（2020-2034E）</w:t>
      </w:r>
      <w:bookmarkEnd w:id="86"/>
    </w:p>
    <w:p w14:paraId="6190179F">
      <w:pPr>
        <w:pStyle w:val="122"/>
        <w:numPr>
          <w:ilvl w:val="0"/>
          <w:numId w:val="32"/>
        </w:numPr>
        <w:bidi w:val="0"/>
      </w:pPr>
      <w:bookmarkStart w:id="87" w:name="_Toc710086177"/>
      <w:r>
        <w:t>整体规模</w:t>
      </w:r>
      <w:bookmarkEnd w:id="87"/>
    </w:p>
    <w:p w14:paraId="0A2B10B5">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2020年全球69.4亿美元，2024年126.7亿美元，2020-2024年CAGR16.2%；</w:t>
      </w:r>
    </w:p>
    <w:p w14:paraId="72547D8A">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预计2034年达720.7亿美元，2024-2034年CAGR19.0%。</w:t>
      </w:r>
    </w:p>
    <w:p w14:paraId="06B08111">
      <w:pPr>
        <w:pStyle w:val="122"/>
        <w:numPr>
          <w:ilvl w:val="0"/>
          <w:numId w:val="32"/>
        </w:numPr>
        <w:bidi w:val="0"/>
      </w:pPr>
      <w:bookmarkStart w:id="88" w:name="_Toc851750460"/>
      <w:r>
        <w:t>中国市场</w:t>
      </w:r>
      <w:bookmarkEnd w:id="88"/>
    </w:p>
    <w:p w14:paraId="6537BFE5">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2020年3.4亿美元，2024年6.1亿美元，2020-2024年CAGR15.6%；</w:t>
      </w:r>
    </w:p>
    <w:p w14:paraId="62ED8FF2">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预计2034年达103.0亿美元，2024-2034年CAGR32.7%，增速远超全球。</w:t>
      </w:r>
    </w:p>
    <w:p w14:paraId="5716B226">
      <w:pPr>
        <w:pStyle w:val="122"/>
        <w:numPr>
          <w:ilvl w:val="0"/>
          <w:numId w:val="32"/>
        </w:numPr>
        <w:bidi w:val="0"/>
      </w:pPr>
      <w:bookmarkStart w:id="89" w:name="_Toc243990318"/>
      <w:r>
        <w:t>增速对比</w:t>
      </w:r>
      <w:bookmarkEnd w:id="89"/>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8"/>
        <w:gridCol w:w="2089"/>
        <w:gridCol w:w="2088"/>
        <w:gridCol w:w="2087"/>
      </w:tblGrid>
      <w:tr w14:paraId="54076861">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17D61C1">
            <w:pPr>
              <w:pStyle w:val="99"/>
              <w:bidi w:val="0"/>
            </w:pPr>
            <w:r>
              <w:t>周期</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9BD1E85">
            <w:pPr>
              <w:pStyle w:val="99"/>
              <w:bidi w:val="0"/>
            </w:pPr>
            <w:r>
              <w:t>中国</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1E82264">
            <w:pPr>
              <w:pStyle w:val="99"/>
              <w:bidi w:val="0"/>
            </w:pPr>
            <w:r>
              <w:t>海外其他</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5ED7EA4">
            <w:pPr>
              <w:pStyle w:val="99"/>
              <w:bidi w:val="0"/>
            </w:pPr>
            <w:r>
              <w:t>全球</w:t>
            </w:r>
          </w:p>
        </w:tc>
      </w:tr>
      <w:tr w14:paraId="2E79B458">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03A3CE3">
            <w:pPr>
              <w:pStyle w:val="99"/>
              <w:bidi w:val="0"/>
            </w:pPr>
            <w:r>
              <w:t>2020-2024</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E39CDE9">
            <w:pPr>
              <w:pStyle w:val="99"/>
              <w:bidi w:val="0"/>
            </w:pPr>
            <w:r>
              <w:t>15.6%</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2639A62">
            <w:pPr>
              <w:pStyle w:val="99"/>
              <w:bidi w:val="0"/>
            </w:pPr>
            <w:r>
              <w:t>16.3%</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A355117">
            <w:pPr>
              <w:pStyle w:val="99"/>
              <w:bidi w:val="0"/>
            </w:pPr>
            <w:r>
              <w:t>16.2%</w:t>
            </w:r>
          </w:p>
        </w:tc>
      </w:tr>
      <w:tr w14:paraId="1D52F0C1">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9036810">
            <w:pPr>
              <w:pStyle w:val="99"/>
              <w:bidi w:val="0"/>
            </w:pPr>
            <w:r>
              <w:t>2024-2034E</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5B42EF4">
            <w:pPr>
              <w:pStyle w:val="99"/>
              <w:bidi w:val="0"/>
            </w:pPr>
            <w:r>
              <w:t>32.7%</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D3CFDC6">
            <w:pPr>
              <w:pStyle w:val="99"/>
              <w:bidi w:val="0"/>
            </w:pPr>
            <w:r>
              <w:t>17.7%</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AAD76D1">
            <w:pPr>
              <w:pStyle w:val="99"/>
              <w:bidi w:val="0"/>
            </w:pPr>
            <w:r>
              <w:t>19.0%</w:t>
            </w:r>
          </w:p>
        </w:tc>
      </w:tr>
    </w:tbl>
    <w:p w14:paraId="42C79233">
      <w:pPr>
        <w:pStyle w:val="91"/>
        <w:bidi w:val="0"/>
      </w:pPr>
      <w:r>
        <w:drawing>
          <wp:inline distT="0" distB="0" distL="114300" distR="114300">
            <wp:extent cx="5273675" cy="25146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5273675" cy="2514600"/>
                    </a:xfrm>
                    <a:prstGeom prst="rect">
                      <a:avLst/>
                    </a:prstGeom>
                    <a:noFill/>
                    <a:ln>
                      <a:noFill/>
                    </a:ln>
                  </pic:spPr>
                </pic:pic>
              </a:graphicData>
            </a:graphic>
          </wp:inline>
        </w:drawing>
      </w:r>
    </w:p>
    <w:p w14:paraId="40D3CC85">
      <w:pPr>
        <w:pStyle w:val="88"/>
        <w:numPr>
          <w:ilvl w:val="0"/>
          <w:numId w:val="21"/>
        </w:numPr>
        <w:bidi w:val="0"/>
      </w:pPr>
      <w:bookmarkStart w:id="90" w:name="_Toc1198992503"/>
      <w:r>
        <w:t>BCI市场增长驱动因素</w:t>
      </w:r>
      <w:bookmarkEnd w:id="90"/>
    </w:p>
    <w:p w14:paraId="5F101A90">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患者基数扩容：老龄化加剧，瘫痪、帕金森、渐冻症等神经疾病患病率上升，康复与功能重建需求旺盛；</w:t>
      </w:r>
    </w:p>
    <w:p w14:paraId="0D70AF5D">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政策战略支持：国内七部委出台政策，将BCI列为战略性新兴产业，设定2027年技术突破、2030年建成产业生态目标；</w:t>
      </w:r>
    </w:p>
    <w:p w14:paraId="54212934">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技术迭代拓展适应症：神经解码算法、硬件传感器升级，闭环BCI成为下一代技术；硬件微型化、植入安全性提升，应用从辅助控制拓展至康复、认知干预；</w:t>
      </w:r>
    </w:p>
    <w:p w14:paraId="6301101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临床证据积累：神经调控疗效得到临床验证，逐步纳入诊疗指南与专家共识。</w:t>
      </w:r>
    </w:p>
    <w:p w14:paraId="3AD08116">
      <w:pPr>
        <w:pStyle w:val="86"/>
        <w:bidi w:val="0"/>
      </w:pPr>
      <w:bookmarkStart w:id="91" w:name="_Toc1627938120"/>
      <w:r>
        <w:t>BCI细分——RNS响应式神经刺激系统</w:t>
      </w:r>
      <w:bookmarkEnd w:id="91"/>
    </w:p>
    <w:p w14:paraId="07494781">
      <w:pPr>
        <w:pStyle w:val="88"/>
        <w:numPr>
          <w:ilvl w:val="0"/>
          <w:numId w:val="33"/>
        </w:numPr>
        <w:bidi w:val="0"/>
      </w:pPr>
      <w:bookmarkStart w:id="92" w:name="_Toc1814320060"/>
      <w:r>
        <w:t>RNS产品原理与系统构成</w:t>
      </w:r>
      <w:bookmarkEnd w:id="92"/>
    </w:p>
    <w:p w14:paraId="05C5BB55">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RNS基于闭环神经调控原理，颅内植入神经刺激器，通过深部/皮层电极持续监测脑电活动；算法自动识别癫痫异常放电先兆，自动发放电刺激抑制癫痫发作，同时云端存储数据供医生复盘优化治疗方案。</w:t>
      </w:r>
    </w:p>
    <w:p w14:paraId="45F1F7A6">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系统组成：神经刺激器、皮层条状电极、深部电极、远程程控/数据采集/充电设备。</w:t>
      </w:r>
    </w:p>
    <w:p w14:paraId="4869748F">
      <w:pPr>
        <w:pStyle w:val="125"/>
        <w:rPr>
          <w:rFonts w:ascii="仿宋" w:hAnsi="仿宋" w:eastAsia="仿宋" w:cs="Arial"/>
          <w:sz w:val="28"/>
          <w:szCs w:val="28"/>
          <w:lang w:val="en-US" w:eastAsia="zh-CN" w:bidi="ar-SA"/>
        </w:rPr>
      </w:pPr>
      <w:r>
        <w:drawing>
          <wp:inline distT="0" distB="0" distL="114300" distR="114300">
            <wp:extent cx="4419600" cy="44196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2"/>
                    <a:stretch>
                      <a:fillRect/>
                    </a:stretch>
                  </pic:blipFill>
                  <pic:spPr>
                    <a:xfrm>
                      <a:off x="0" y="0"/>
                      <a:ext cx="4419600" cy="4419600"/>
                    </a:xfrm>
                    <a:prstGeom prst="rect">
                      <a:avLst/>
                    </a:prstGeom>
                    <a:noFill/>
                    <a:ln>
                      <a:noFill/>
                    </a:ln>
                  </pic:spPr>
                </pic:pic>
              </a:graphicData>
            </a:graphic>
          </wp:inline>
        </w:drawing>
      </w:r>
    </w:p>
    <w:p w14:paraId="08DE8EBA">
      <w:pPr>
        <w:pStyle w:val="88"/>
        <w:numPr>
          <w:ilvl w:val="0"/>
          <w:numId w:val="33"/>
        </w:numPr>
        <w:bidi w:val="0"/>
      </w:pPr>
      <w:bookmarkStart w:id="93" w:name="_Toc1156944667"/>
      <w:r>
        <w:t>RNS植入手术步骤</w:t>
      </w:r>
      <w:bookmarkEnd w:id="93"/>
    </w:p>
    <w:p w14:paraId="766799CD">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术前规划：MRI/EEG/SEEG精准定位癫痫灶；</w:t>
      </w:r>
    </w:p>
    <w:p w14:paraId="3D2DFC50">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电极置入：立体定向技术经颅骨微孔植入深部电极，开颅置入皮层电极；</w:t>
      </w:r>
    </w:p>
    <w:p w14:paraId="224CF64D">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刺激器植入：颅骨内嵌入式安装，无需胸部皮下植入，减少延伸导线风险。</w:t>
      </w:r>
    </w:p>
    <w:p w14:paraId="73E47097">
      <w:pPr>
        <w:pStyle w:val="88"/>
        <w:numPr>
          <w:ilvl w:val="0"/>
          <w:numId w:val="33"/>
        </w:numPr>
        <w:bidi w:val="0"/>
      </w:pPr>
      <w:bookmarkStart w:id="94" w:name="_Toc1452078331"/>
      <w:r>
        <w:t>RNS核心优势</w:t>
      </w:r>
      <w:bookmarkEnd w:id="94"/>
    </w:p>
    <w:p w14:paraId="7807E09B">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体积小巧、手术负担低：全颅骨内植入，无胸部脉冲发生器及皮下延伸导线，降低感染、导线断裂风险，适配长期植入；</w:t>
      </w:r>
    </w:p>
    <w:p w14:paraId="00BD77CC">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闭环靶向刺激：仅检测到异常放电时按需刺激，减少无效刺激、降低副作用、延长电池寿命；直接靶向癫痫灶，抗干扰强；</w:t>
      </w:r>
    </w:p>
    <w:p w14:paraId="38736831">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长期疗效稳定、安全性优异：植入后1年癫痫发作降低44%、2年53%，3-6年维持48%-66%降幅；无严重刺激相关不良反应；</w:t>
      </w:r>
    </w:p>
    <w:p w14:paraId="3894CD0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提升生活质量：改善认知、记忆、情绪状态，减少发作负担，恢复日常活动能力。</w:t>
      </w:r>
    </w:p>
    <w:p w14:paraId="28FD1C6B">
      <w:pPr>
        <w:pStyle w:val="88"/>
        <w:numPr>
          <w:ilvl w:val="0"/>
          <w:numId w:val="33"/>
        </w:numPr>
        <w:bidi w:val="0"/>
      </w:pPr>
      <w:bookmarkStart w:id="95" w:name="_Toc1076344609"/>
      <w:r>
        <w:t>RNS行业进入壁垒</w:t>
      </w:r>
      <w:bookmarkEnd w:id="95"/>
    </w:p>
    <w:p w14:paraId="7CBFDF4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实时神经信号采集与闭环算法：多通道高精度信号采集、低延迟特征提取、低功耗硬件设计技术门槛高；</w:t>
      </w:r>
    </w:p>
    <w:p w14:paraId="6EADA93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植入式设备设计：生物相容性材料、微型化结构、长续航电源管理、抗炎症及电极稳定性设计难度大；</w:t>
      </w:r>
    </w:p>
    <w:p w14:paraId="56F31565">
      <w:pPr>
        <w:pStyle w:val="125"/>
        <w:ind w:firstLine="560" w:firstLineChars="200"/>
      </w:pPr>
      <w:r>
        <w:rPr>
          <w:rFonts w:ascii="仿宋" w:hAnsi="仿宋" w:eastAsia="仿宋" w:cs="Arial"/>
          <w:sz w:val="28"/>
          <w:szCs w:val="28"/>
          <w:lang w:val="en-US" w:eastAsia="zh-CN" w:bidi="ar-SA"/>
        </w:rPr>
        <w:t>临床推广壁垒：依赖高端影像与立体定向手术配套，需专业医生培训；患者对脑部植入存在安全顾虑，市场教育成本高。</w:t>
      </w:r>
    </w:p>
    <w:p w14:paraId="38D4CF6E">
      <w:pPr>
        <w:pStyle w:val="88"/>
        <w:numPr>
          <w:ilvl w:val="0"/>
          <w:numId w:val="33"/>
        </w:numPr>
        <w:bidi w:val="0"/>
      </w:pPr>
      <w:bookmarkStart w:id="96" w:name="_Toc1869084782"/>
      <w:r>
        <w:t>RNS市场规模（2020-2034E）</w:t>
      </w:r>
      <w:bookmarkEnd w:id="96"/>
    </w:p>
    <w:p w14:paraId="410C1378">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全球2020年4110万美元，2024年6380万美元，CAGR11.6%；2034年预计达11.06亿美元，2024-2034年CAGR33.0%；</w:t>
      </w:r>
    </w:p>
    <w:p w14:paraId="37CE423D">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中国预计2027年实现商业化，当年市场规模260万美元，2034年达2.78亿美元，2027-2034年CAGR94.9%，爆发式增长。</w:t>
      </w:r>
    </w:p>
    <w:p w14:paraId="701F5031">
      <w:pPr>
        <w:pStyle w:val="125"/>
        <w:rPr>
          <w:rFonts w:ascii="仿宋" w:hAnsi="仿宋" w:eastAsia="仿宋" w:cs="Arial"/>
          <w:sz w:val="28"/>
          <w:szCs w:val="28"/>
          <w:lang w:val="en-US" w:eastAsia="zh-CN" w:bidi="ar-SA"/>
        </w:rPr>
      </w:pPr>
      <w:r>
        <w:drawing>
          <wp:inline distT="0" distB="0" distL="114300" distR="114300">
            <wp:extent cx="5272405" cy="2558415"/>
            <wp:effectExtent l="0" t="0" r="1079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3"/>
                    <a:stretch>
                      <a:fillRect/>
                    </a:stretch>
                  </pic:blipFill>
                  <pic:spPr>
                    <a:xfrm>
                      <a:off x="0" y="0"/>
                      <a:ext cx="5272405" cy="2558415"/>
                    </a:xfrm>
                    <a:prstGeom prst="rect">
                      <a:avLst/>
                    </a:prstGeom>
                    <a:noFill/>
                    <a:ln>
                      <a:noFill/>
                    </a:ln>
                  </pic:spPr>
                </pic:pic>
              </a:graphicData>
            </a:graphic>
          </wp:inline>
        </w:drawing>
      </w:r>
    </w:p>
    <w:p w14:paraId="457039AB">
      <w:pPr>
        <w:pStyle w:val="88"/>
        <w:numPr>
          <w:ilvl w:val="0"/>
          <w:numId w:val="33"/>
        </w:numPr>
        <w:bidi w:val="0"/>
      </w:pPr>
      <w:bookmarkStart w:id="97" w:name="_Toc317142758"/>
      <w:r>
        <w:t>RNS竞争格局</w:t>
      </w:r>
      <w:bookmarkEnd w:id="97"/>
    </w:p>
    <w:p w14:paraId="7506A785">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全球唯一获批产品：NeuroPaceRNS®System（2013年FDA获批）；</w:t>
      </w:r>
    </w:p>
    <w:p w14:paraId="32148737">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国内在研：</w:t>
      </w:r>
      <w:r>
        <w:rPr>
          <w:rFonts w:hint="eastAsia" w:ascii="仿宋" w:hAnsi="仿宋" w:eastAsia="仿宋" w:cs="Arial"/>
          <w:sz w:val="28"/>
          <w:szCs w:val="28"/>
          <w:lang w:val="en-US" w:eastAsia="zh-CN" w:bidi="ar-SA"/>
        </w:rPr>
        <w:t>佳量脑科学</w:t>
      </w:r>
      <w:r>
        <w:rPr>
          <w:rFonts w:ascii="仿宋" w:hAnsi="仿宋" w:eastAsia="仿宋" w:cs="Arial"/>
          <w:sz w:val="28"/>
          <w:szCs w:val="28"/>
          <w:lang w:val="en-US" w:eastAsia="zh-CN" w:bidi="ar-SA"/>
        </w:rPr>
        <w:t>Epilcure™，全球首款无线可充电多模态闭环RNS；</w:t>
      </w:r>
    </w:p>
    <w:p w14:paraId="2FFF1503">
      <w:pPr>
        <w:pStyle w:val="125"/>
        <w:ind w:firstLine="560" w:firstLineChars="200"/>
      </w:pPr>
      <w:r>
        <w:rPr>
          <w:rFonts w:ascii="仿宋" w:hAnsi="仿宋" w:eastAsia="仿宋" w:cs="Arial"/>
          <w:sz w:val="28"/>
          <w:szCs w:val="28"/>
          <w:lang w:val="en-US" w:eastAsia="zh-CN" w:bidi="ar-SA"/>
        </w:rPr>
        <w:t>产品参数对比</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9"/>
        <w:gridCol w:w="2038"/>
        <w:gridCol w:w="2420"/>
        <w:gridCol w:w="2365"/>
      </w:tblGrid>
      <w:tr w14:paraId="1055F42D">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2DE0FCD">
            <w:pPr>
              <w:pStyle w:val="99"/>
              <w:bidi w:val="0"/>
            </w:pPr>
            <w:r>
              <w:t>指标</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3A3A53B">
            <w:pPr>
              <w:pStyle w:val="99"/>
              <w:bidi w:val="0"/>
            </w:pPr>
            <w:r>
              <w:rPr>
                <w:rFonts w:hint="eastAsia"/>
                <w:lang w:eastAsia="zh-CN"/>
              </w:rPr>
              <w:t>佳量脑科学</w:t>
            </w:r>
            <w:r>
              <w:t>Epilcure™</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C89DA36">
            <w:pPr>
              <w:pStyle w:val="99"/>
              <w:bidi w:val="0"/>
            </w:pPr>
            <w:r>
              <w:t>NeuroPaceRNS-300M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088527F">
            <w:pPr>
              <w:pStyle w:val="99"/>
              <w:bidi w:val="0"/>
            </w:pPr>
            <w:r>
              <w:t>NeuroPaceRNS-320</w:t>
            </w:r>
          </w:p>
        </w:tc>
      </w:tr>
      <w:tr w14:paraId="1BCBC9D2">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941F50D">
            <w:pPr>
              <w:pStyle w:val="99"/>
              <w:bidi w:val="0"/>
            </w:pPr>
            <w:r>
              <w:t>适应症</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0C584F7">
            <w:pPr>
              <w:pStyle w:val="99"/>
              <w:bidi w:val="0"/>
            </w:pPr>
            <w:r>
              <w:t>耐药性癫痫</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9007121">
            <w:pPr>
              <w:pStyle w:val="99"/>
              <w:bidi w:val="0"/>
            </w:pPr>
            <w:r>
              <w:t>成人部分性发作耐药癫痫</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8B1C080">
            <w:pPr>
              <w:pStyle w:val="99"/>
              <w:bidi w:val="0"/>
            </w:pPr>
            <w:r>
              <w:t>成人部分性发作耐药癫痫</w:t>
            </w:r>
          </w:p>
        </w:tc>
      </w:tr>
      <w:tr w14:paraId="57CD639B">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F883ADF">
            <w:pPr>
              <w:pStyle w:val="99"/>
              <w:bidi w:val="0"/>
            </w:pPr>
            <w:r>
              <w:t>刺激模式</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01A35B6">
            <w:pPr>
              <w:pStyle w:val="99"/>
              <w:bidi w:val="0"/>
            </w:pPr>
            <w:r>
              <w:t>多模态闭环</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1FC198D">
            <w:pPr>
              <w:pStyle w:val="99"/>
              <w:bidi w:val="0"/>
            </w:pPr>
            <w:r>
              <w:t>单模态闭环</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FF0E1B9">
            <w:pPr>
              <w:pStyle w:val="99"/>
              <w:bidi w:val="0"/>
            </w:pPr>
            <w:r>
              <w:t>单模态闭环</w:t>
            </w:r>
          </w:p>
        </w:tc>
      </w:tr>
      <w:tr w14:paraId="483636AD">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59508E6">
            <w:pPr>
              <w:pStyle w:val="99"/>
              <w:bidi w:val="0"/>
            </w:pPr>
            <w:r>
              <w:t>植入位置</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8F581BD">
            <w:pPr>
              <w:pStyle w:val="99"/>
              <w:bidi w:val="0"/>
            </w:pPr>
            <w:r>
              <w:t>颅内植入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B0ADEE3">
            <w:pPr>
              <w:pStyle w:val="99"/>
              <w:bidi w:val="0"/>
            </w:pPr>
            <w:r>
              <w:t>颅内植入</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C0E5251">
            <w:pPr>
              <w:pStyle w:val="99"/>
              <w:bidi w:val="0"/>
            </w:pPr>
            <w:r>
              <w:t>颅内植入</w:t>
            </w:r>
          </w:p>
        </w:tc>
      </w:tr>
      <w:tr w14:paraId="6DC4C5FD">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D0F4586">
            <w:pPr>
              <w:pStyle w:val="99"/>
              <w:bidi w:val="0"/>
            </w:pPr>
            <w:r>
              <w:t>体积(cc)</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7862FE0">
            <w:pPr>
              <w:pStyle w:val="99"/>
              <w:bidi w:val="0"/>
            </w:pPr>
            <w:r>
              <w:t>9.5</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154B61A">
            <w:pPr>
              <w:pStyle w:val="99"/>
              <w:bidi w:val="0"/>
            </w:pPr>
            <w:r>
              <w:t>11</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E6B0842">
            <w:pPr>
              <w:pStyle w:val="99"/>
              <w:bidi w:val="0"/>
            </w:pPr>
            <w:r>
              <w:t>11</w:t>
            </w:r>
          </w:p>
        </w:tc>
      </w:tr>
      <w:tr w14:paraId="431FD5C2">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2B56310">
            <w:pPr>
              <w:pStyle w:val="99"/>
              <w:bidi w:val="0"/>
            </w:pPr>
            <w:r>
              <w:t>无线充电</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FA07CCC">
            <w:pPr>
              <w:pStyle w:val="99"/>
              <w:bidi w:val="0"/>
            </w:pPr>
            <w:r>
              <w:t>支持</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55B34FD">
            <w:pPr>
              <w:pStyle w:val="99"/>
              <w:bidi w:val="0"/>
            </w:pPr>
            <w:r>
              <w:t>不支持</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DD4D17">
            <w:pPr>
              <w:pStyle w:val="99"/>
              <w:bidi w:val="0"/>
            </w:pPr>
            <w:r>
              <w:t>不支持</w:t>
            </w:r>
          </w:p>
        </w:tc>
      </w:tr>
      <w:tr w14:paraId="4975E914">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0A49FF7">
            <w:pPr>
              <w:pStyle w:val="99"/>
              <w:bidi w:val="0"/>
            </w:pPr>
            <w:r>
              <w:t>电池寿命</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53A3023">
            <w:pPr>
              <w:pStyle w:val="99"/>
              <w:bidi w:val="0"/>
            </w:pPr>
            <w:r>
              <w:t>&gt;10年</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C9A48FC">
            <w:pPr>
              <w:pStyle w:val="99"/>
              <w:bidi w:val="0"/>
            </w:pPr>
            <w:r>
              <w:t>2.6-4.3年</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344965A">
            <w:pPr>
              <w:pStyle w:val="99"/>
              <w:bidi w:val="0"/>
            </w:pPr>
            <w:r>
              <w:t>6-12.4年</w:t>
            </w:r>
          </w:p>
        </w:tc>
      </w:tr>
      <w:tr w14:paraId="693DAB61">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8D42F63">
            <w:pPr>
              <w:pStyle w:val="99"/>
              <w:bidi w:val="0"/>
            </w:pPr>
            <w:r>
              <w:t>核磁兼容</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67AA65F">
            <w:pPr>
              <w:pStyle w:val="99"/>
              <w:bidi w:val="0"/>
            </w:pPr>
            <w:r>
              <w:t>1.5T/3T</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530B4F9">
            <w:pPr>
              <w:pStyle w:val="99"/>
              <w:bidi w:val="0"/>
            </w:pPr>
            <w:r>
              <w:t>不兼容</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4B15B1A">
            <w:pPr>
              <w:pStyle w:val="99"/>
              <w:bidi w:val="0"/>
            </w:pPr>
            <w:r>
              <w:t>1.5T兼容</w:t>
            </w:r>
          </w:p>
        </w:tc>
      </w:tr>
      <w:tr w14:paraId="2E2F1213">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0E4C5F1">
            <w:pPr>
              <w:pStyle w:val="99"/>
              <w:bidi w:val="0"/>
            </w:pPr>
            <w:r>
              <w:t>研发阶段</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72DBEBD">
            <w:pPr>
              <w:pStyle w:val="99"/>
              <w:bidi w:val="0"/>
            </w:pPr>
            <w:r>
              <w:t>临床开发中</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E3BFDFE">
            <w:pPr>
              <w:pStyle w:val="99"/>
              <w:bidi w:val="0"/>
            </w:pPr>
            <w:r>
              <w:t>2013年FDA获批</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4D59EAA">
            <w:pPr>
              <w:pStyle w:val="99"/>
              <w:bidi w:val="0"/>
            </w:pPr>
            <w:r>
              <w:t>2017年FDA获批</w:t>
            </w:r>
          </w:p>
        </w:tc>
      </w:tr>
    </w:tbl>
    <w:p w14:paraId="47D50ED6">
      <w:pPr>
        <w:pStyle w:val="88"/>
        <w:numPr>
          <w:ilvl w:val="0"/>
          <w:numId w:val="33"/>
        </w:numPr>
        <w:bidi w:val="0"/>
      </w:pPr>
      <w:bookmarkStart w:id="98" w:name="_Toc163921852"/>
      <w:r>
        <w:t>RNS市场驱动与发展趋势</w:t>
      </w:r>
      <w:bookmarkEnd w:id="98"/>
    </w:p>
    <w:p w14:paraId="680BBDE3">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癫痫患者基数增长、医疗基础设施完善，基层及专科中心逐步普及植入式神经调控；</w:t>
      </w:r>
    </w:p>
    <w:p w14:paraId="7AF805F2">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适应症拓展：从局灶性耐药癫痫向特发性全面性癫痫延伸；</w:t>
      </w:r>
    </w:p>
    <w:p w14:paraId="60F374E3">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技术融合：AI机器学习优化癫痫检测算法，RNS成为神经调控与BCI融合的核心载体。</w:t>
      </w:r>
    </w:p>
    <w:p w14:paraId="5A610226">
      <w:pPr>
        <w:pStyle w:val="88"/>
        <w:numPr>
          <w:ilvl w:val="0"/>
          <w:numId w:val="21"/>
        </w:numPr>
        <w:bidi w:val="0"/>
      </w:pPr>
      <w:bookmarkStart w:id="99" w:name="_Toc1960531110"/>
      <w:r>
        <w:t>耐药性癫痫（DRE）行业分析</w:t>
      </w:r>
      <w:bookmarkEnd w:id="99"/>
    </w:p>
    <w:p w14:paraId="690CE8DC">
      <w:pPr>
        <w:pStyle w:val="122"/>
        <w:numPr>
          <w:ilvl w:val="0"/>
          <w:numId w:val="34"/>
        </w:numPr>
        <w:bidi w:val="0"/>
      </w:pPr>
      <w:bookmarkStart w:id="100" w:name="_Toc1804769849"/>
      <w:r>
        <w:t>定义与流行病学</w:t>
      </w:r>
      <w:bookmarkEnd w:id="100"/>
    </w:p>
    <w:p w14:paraId="1885685F">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ILAE定义：经2种及以上耐受抗癫痫药物足量单药/联合治疗，仍无法实现长期无发作。约1/3癫痫患者为DRE。</w:t>
      </w:r>
    </w:p>
    <w:p w14:paraId="3ECB4A7C">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全球2024年患病2024.1万人，2020-2024CAGR2.7%；2034年预计2486.9万人，CAGR2.1%；</w:t>
      </w:r>
    </w:p>
    <w:p w14:paraId="398BA793">
      <w:pPr>
        <w:pStyle w:val="125"/>
        <w:ind w:firstLine="440" w:firstLineChars="200"/>
        <w:rPr>
          <w:rFonts w:ascii="仿宋" w:hAnsi="仿宋" w:eastAsia="仿宋" w:cs="Arial"/>
          <w:sz w:val="28"/>
          <w:szCs w:val="28"/>
          <w:lang w:val="en-US" w:eastAsia="zh-CN" w:bidi="ar-SA"/>
        </w:rPr>
      </w:pPr>
      <w:r>
        <w:drawing>
          <wp:inline distT="0" distB="0" distL="114300" distR="114300">
            <wp:extent cx="5269865" cy="2794000"/>
            <wp:effectExtent l="0" t="0" r="13335"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tretch>
                      <a:fillRect/>
                    </a:stretch>
                  </pic:blipFill>
                  <pic:spPr>
                    <a:xfrm>
                      <a:off x="0" y="0"/>
                      <a:ext cx="5269865" cy="2794000"/>
                    </a:xfrm>
                    <a:prstGeom prst="rect">
                      <a:avLst/>
                    </a:prstGeom>
                    <a:noFill/>
                    <a:ln>
                      <a:noFill/>
                    </a:ln>
                  </pic:spPr>
                </pic:pic>
              </a:graphicData>
            </a:graphic>
          </wp:inline>
        </w:drawing>
      </w:r>
    </w:p>
    <w:p w14:paraId="57DC0DF8">
      <w:pPr>
        <w:pStyle w:val="125"/>
        <w:ind w:firstLine="560" w:firstLineChars="200"/>
      </w:pPr>
      <w:r>
        <w:rPr>
          <w:rFonts w:ascii="仿宋" w:hAnsi="仿宋" w:eastAsia="仿宋" w:cs="Arial"/>
          <w:sz w:val="28"/>
          <w:szCs w:val="28"/>
          <w:lang w:val="en-US" w:eastAsia="zh-CN" w:bidi="ar-SA"/>
        </w:rPr>
        <w:t>中国2024年患病373.8万人，2020-2024CAGR3.2%；2034年预计467.2万人，CAGR2.3%。</w:t>
      </w:r>
    </w:p>
    <w:p w14:paraId="59C2FE36">
      <w:pPr>
        <w:pStyle w:val="125"/>
        <w:rPr>
          <w:lang w:val="en-US" w:eastAsia="zh-CN"/>
        </w:rPr>
      </w:pPr>
      <w:r>
        <w:drawing>
          <wp:inline distT="0" distB="0" distL="114300" distR="114300">
            <wp:extent cx="5272405" cy="2699385"/>
            <wp:effectExtent l="0" t="0" r="10795" b="1841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5"/>
                    <a:stretch>
                      <a:fillRect/>
                    </a:stretch>
                  </pic:blipFill>
                  <pic:spPr>
                    <a:xfrm>
                      <a:off x="0" y="0"/>
                      <a:ext cx="5272405" cy="2699385"/>
                    </a:xfrm>
                    <a:prstGeom prst="rect">
                      <a:avLst/>
                    </a:prstGeom>
                    <a:noFill/>
                    <a:ln>
                      <a:noFill/>
                    </a:ln>
                  </pic:spPr>
                </pic:pic>
              </a:graphicData>
            </a:graphic>
          </wp:inline>
        </w:drawing>
      </w:r>
    </w:p>
    <w:p w14:paraId="648E3C2F">
      <w:pPr>
        <w:pStyle w:val="122"/>
        <w:numPr>
          <w:ilvl w:val="0"/>
          <w:numId w:val="34"/>
        </w:numPr>
        <w:bidi w:val="0"/>
      </w:pPr>
      <w:bookmarkStart w:id="101" w:name="_Toc1707821915"/>
      <w:r>
        <w:t>癫痫分类</w:t>
      </w:r>
      <w:bookmarkEnd w:id="101"/>
    </w:p>
    <w:p w14:paraId="68BD4203">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局灶性癫痫（占60%，单侧大脑起源）、全面性癫痫（双侧大脑同时发作）、未知起源癫痫。</w:t>
      </w:r>
    </w:p>
    <w:p w14:paraId="1E401A9D">
      <w:pPr>
        <w:pStyle w:val="122"/>
        <w:numPr>
          <w:ilvl w:val="0"/>
          <w:numId w:val="34"/>
        </w:numPr>
        <w:bidi w:val="0"/>
      </w:pPr>
      <w:bookmarkStart w:id="102" w:name="_Toc96499603"/>
      <w:r>
        <w:t>DRE发病机制假说</w:t>
      </w:r>
      <w:bookmarkEnd w:id="102"/>
    </w:p>
    <w:p w14:paraId="5C749D3D">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药代动力学、基因变异、受体靶点、离子通道、转运体、内在严重程度六大假说。</w:t>
      </w:r>
    </w:p>
    <w:p w14:paraId="52E215AD">
      <w:pPr>
        <w:pStyle w:val="125"/>
        <w:ind w:firstLine="440" w:firstLineChars="200"/>
        <w:rPr>
          <w:rFonts w:ascii="仿宋" w:hAnsi="仿宋" w:eastAsia="仿宋" w:cs="Arial"/>
          <w:sz w:val="28"/>
          <w:szCs w:val="28"/>
          <w:lang w:val="en-US" w:eastAsia="zh-CN" w:bidi="ar-SA"/>
        </w:rPr>
      </w:pPr>
      <w:r>
        <w:drawing>
          <wp:inline distT="0" distB="0" distL="114300" distR="114300">
            <wp:extent cx="4826000" cy="388620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6"/>
                    <a:stretch>
                      <a:fillRect/>
                    </a:stretch>
                  </pic:blipFill>
                  <pic:spPr>
                    <a:xfrm>
                      <a:off x="0" y="0"/>
                      <a:ext cx="4826000" cy="3886200"/>
                    </a:xfrm>
                    <a:prstGeom prst="rect">
                      <a:avLst/>
                    </a:prstGeom>
                    <a:noFill/>
                    <a:ln>
                      <a:noFill/>
                    </a:ln>
                  </pic:spPr>
                </pic:pic>
              </a:graphicData>
            </a:graphic>
          </wp:inline>
        </w:drawing>
      </w:r>
    </w:p>
    <w:p w14:paraId="29F28FBD">
      <w:pPr>
        <w:pStyle w:val="122"/>
        <w:numPr>
          <w:ilvl w:val="0"/>
          <w:numId w:val="34"/>
        </w:numPr>
        <w:bidi w:val="0"/>
      </w:pPr>
      <w:bookmarkStart w:id="103" w:name="_Toc518674136"/>
      <w:r>
        <w:t>DRE治疗路径</w:t>
      </w:r>
      <w:bookmarkEnd w:id="103"/>
    </w:p>
    <w:p w14:paraId="5C9F7424">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药物治疗：一线基础方案，长期疗效有限；</w:t>
      </w:r>
    </w:p>
    <w:p w14:paraId="1611C5E3">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开放手术：病灶切除、离断手术，创伤大、恢复期长；</w:t>
      </w:r>
    </w:p>
    <w:p w14:paraId="30677189">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微创消融：SEEG射频热凝、LITT激光消融，适合深部及功能区病灶；</w:t>
      </w:r>
    </w:p>
    <w:p w14:paraId="106711D7">
      <w:pPr>
        <w:pStyle w:val="125"/>
        <w:ind w:firstLine="560" w:firstLineChars="200"/>
        <w:rPr>
          <w:rFonts w:ascii="仿宋" w:hAnsi="仿宋" w:eastAsia="仿宋" w:cs="Arial"/>
          <w:sz w:val="28"/>
          <w:szCs w:val="28"/>
          <w:lang w:val="en-US" w:eastAsia="zh-CN" w:bidi="ar-SA"/>
        </w:rPr>
      </w:pPr>
      <w:r>
        <w:rPr>
          <w:rFonts w:ascii="仿宋" w:hAnsi="仿宋" w:eastAsia="仿宋" w:cs="Arial"/>
          <w:sz w:val="28"/>
          <w:szCs w:val="28"/>
          <w:lang w:val="en-US" w:eastAsia="zh-CN" w:bidi="ar-SA"/>
        </w:rPr>
        <w:t>神经调控：VNS、DBS、RNS，为无法手术/不愿开颅患者提供优选方案。</w:t>
      </w:r>
    </w:p>
    <w:p w14:paraId="3B5BC388">
      <w:pPr>
        <w:pStyle w:val="125"/>
        <w:rPr>
          <w:rFonts w:ascii="仿宋" w:hAnsi="仿宋" w:eastAsia="仿宋" w:cs="Arial"/>
          <w:sz w:val="28"/>
          <w:szCs w:val="28"/>
          <w:lang w:val="en-US" w:eastAsia="zh-CN" w:bidi="ar-SA"/>
        </w:rPr>
      </w:pPr>
      <w:r>
        <w:drawing>
          <wp:inline distT="0" distB="0" distL="114300" distR="114300">
            <wp:extent cx="5269865" cy="1353820"/>
            <wp:effectExtent l="0" t="0" r="13335" b="177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7"/>
                    <a:stretch>
                      <a:fillRect/>
                    </a:stretch>
                  </pic:blipFill>
                  <pic:spPr>
                    <a:xfrm>
                      <a:off x="0" y="0"/>
                      <a:ext cx="5269865" cy="1353820"/>
                    </a:xfrm>
                    <a:prstGeom prst="rect">
                      <a:avLst/>
                    </a:prstGeom>
                    <a:noFill/>
                    <a:ln>
                      <a:noFill/>
                    </a:ln>
                  </pic:spPr>
                </pic:pic>
              </a:graphicData>
            </a:graphic>
          </wp:inline>
        </w:drawing>
      </w:r>
    </w:p>
    <w:p w14:paraId="07611BFD">
      <w:pPr>
        <w:pStyle w:val="122"/>
        <w:numPr>
          <w:ilvl w:val="0"/>
          <w:numId w:val="34"/>
        </w:numPr>
        <w:bidi w:val="0"/>
      </w:pPr>
      <w:bookmarkStart w:id="104" w:name="_Toc720080579"/>
      <w:r>
        <w:t>DRE临床未满足需求</w:t>
      </w:r>
      <w:bookmarkEnd w:id="104"/>
    </w:p>
    <w:p w14:paraId="25C34456">
      <w:pPr>
        <w:pStyle w:val="91"/>
        <w:numPr>
          <w:ilvl w:val="0"/>
          <w:numId w:val="0"/>
        </w:numPr>
        <w:bidi w:val="0"/>
        <w:ind w:leftChars="200"/>
      </w:pPr>
      <w:r>
        <w:t>缺乏安全长效的管理方案，药物疗效瓶颈明显；</w:t>
      </w:r>
    </w:p>
    <w:p w14:paraId="1BBA6BF0">
      <w:pPr>
        <w:pStyle w:val="91"/>
        <w:numPr>
          <w:ilvl w:val="0"/>
          <w:numId w:val="0"/>
        </w:numPr>
        <w:bidi w:val="0"/>
        <w:ind w:leftChars="200"/>
      </w:pPr>
      <w:r>
        <w:t>癫痫灶精准定位诊断能力不足，常规影像难以明确病灶；</w:t>
      </w:r>
    </w:p>
    <w:p w14:paraId="1EF9A240">
      <w:pPr>
        <w:pStyle w:val="91"/>
        <w:numPr>
          <w:ilvl w:val="0"/>
          <w:numId w:val="0"/>
        </w:numPr>
        <w:bidi w:val="0"/>
        <w:ind w:leftChars="200"/>
      </w:pPr>
      <w:r>
        <w:t>长期脑电监测手段匮乏，依赖患者自述及短时脑电图，易漏诊夜间/轻微发作。</w:t>
      </w:r>
    </w:p>
    <w:p w14:paraId="1CDD038B">
      <w:pPr>
        <w:pStyle w:val="86"/>
        <w:bidi w:val="0"/>
      </w:pPr>
      <w:bookmarkStart w:id="105" w:name="_Toc1323940408"/>
      <w:r>
        <w:t>LITT激光间质热疗设备市场</w:t>
      </w:r>
      <w:bookmarkEnd w:id="105"/>
    </w:p>
    <w:p w14:paraId="3E919A4C">
      <w:pPr>
        <w:pStyle w:val="88"/>
        <w:numPr>
          <w:ilvl w:val="0"/>
          <w:numId w:val="35"/>
        </w:numPr>
        <w:bidi w:val="0"/>
      </w:pPr>
      <w:bookmarkStart w:id="106" w:name="_Toc1388370689"/>
      <w:r>
        <w:t>LITT技术原理</w:t>
      </w:r>
      <w:bookmarkEnd w:id="106"/>
    </w:p>
    <w:p w14:paraId="062FE2BA">
      <w:pPr>
        <w:pStyle w:val="91"/>
        <w:numPr>
          <w:ilvl w:val="0"/>
          <w:numId w:val="0"/>
        </w:numPr>
        <w:bidi w:val="0"/>
        <w:ind w:leftChars="200"/>
      </w:pPr>
      <w:r>
        <w:t>MR引导激光间质热疗（MRgLITT）为经皮微创技术，由激光发生器、激光导管、立体定向规划导航软件组成；经3-4mm颅骨微孔置入激光导管，核磁实时测温，精准消融脑部病灶（癫痫灶、脑肿瘤、放射性坏死），控制热损伤范围，保护周围正常组织。</w:t>
      </w:r>
    </w:p>
    <w:p w14:paraId="658BAAB9">
      <w:pPr>
        <w:pStyle w:val="88"/>
        <w:numPr>
          <w:ilvl w:val="0"/>
          <w:numId w:val="35"/>
        </w:numPr>
        <w:bidi w:val="0"/>
      </w:pPr>
      <w:bookmarkStart w:id="107" w:name="_Toc1936345368"/>
      <w:r>
        <w:t>LITT治疗流程</w:t>
      </w:r>
      <w:bookmarkEnd w:id="107"/>
    </w:p>
    <w:p w14:paraId="5EA1F2A1">
      <w:pPr>
        <w:pStyle w:val="91"/>
        <w:numPr>
          <w:ilvl w:val="0"/>
          <w:numId w:val="0"/>
        </w:numPr>
        <w:bidi w:val="0"/>
        <w:ind w:leftChars="200"/>
      </w:pPr>
      <w:r>
        <w:t>术前影像规划→全麻下颅骨微孔置管→核磁确认导管位置→实时测温激光消融→术后影像复盘疗效。</w:t>
      </w:r>
    </w:p>
    <w:p w14:paraId="1C31C203">
      <w:pPr>
        <w:pStyle w:val="88"/>
        <w:numPr>
          <w:ilvl w:val="0"/>
          <w:numId w:val="35"/>
        </w:numPr>
        <w:bidi w:val="0"/>
      </w:pPr>
      <w:bookmarkStart w:id="108" w:name="_Toc1189413338"/>
      <w:r>
        <w:t>LITT核心优势</w:t>
      </w:r>
      <w:bookmarkEnd w:id="108"/>
    </w:p>
    <w:p w14:paraId="4A108C8F">
      <w:pPr>
        <w:pStyle w:val="91"/>
        <w:numPr>
          <w:ilvl w:val="0"/>
          <w:numId w:val="0"/>
        </w:numPr>
        <w:bidi w:val="0"/>
        <w:ind w:leftChars="200"/>
      </w:pPr>
      <w:r>
        <w:t>全程可视化精准消融：术前轨迹规划、术中实时测温、术后疗效量化评估，精准局限消融范围；</w:t>
      </w:r>
    </w:p>
    <w:p w14:paraId="2E5B78EA">
      <w:pPr>
        <w:pStyle w:val="91"/>
        <w:numPr>
          <w:ilvl w:val="0"/>
          <w:numId w:val="0"/>
        </w:numPr>
        <w:bidi w:val="0"/>
        <w:ind w:leftChars="200"/>
      </w:pPr>
      <w:r>
        <w:t>微创低创伤、快速康复：无需开颅，手术创伤小、感染风险低、住院周期短、快速回归正常生活；</w:t>
      </w:r>
    </w:p>
    <w:p w14:paraId="053885D5">
      <w:pPr>
        <w:pStyle w:val="91"/>
        <w:numPr>
          <w:ilvl w:val="0"/>
          <w:numId w:val="0"/>
        </w:numPr>
        <w:bidi w:val="0"/>
        <w:ind w:leftChars="200"/>
      </w:pPr>
      <w:r>
        <w:t>适应症广泛：适配耐药癫痫、胶质瘤、脑转移瘤、放射性坏死，尤其适合深部/功能区病灶、无法耐受开放手术患者。</w:t>
      </w:r>
    </w:p>
    <w:p w14:paraId="049559A5">
      <w:pPr>
        <w:pStyle w:val="88"/>
        <w:numPr>
          <w:ilvl w:val="0"/>
          <w:numId w:val="35"/>
        </w:numPr>
        <w:bidi w:val="0"/>
      </w:pPr>
      <w:bookmarkStart w:id="109" w:name="_Toc1692185490"/>
      <w:r>
        <w:t>LITT行业进入壁垒</w:t>
      </w:r>
      <w:bookmarkEnd w:id="109"/>
    </w:p>
    <w:p w14:paraId="75474E18">
      <w:pPr>
        <w:pStyle w:val="91"/>
        <w:numPr>
          <w:ilvl w:val="0"/>
          <w:numId w:val="0"/>
        </w:numPr>
        <w:bidi w:val="0"/>
        <w:ind w:leftChars="200"/>
      </w:pPr>
      <w:r>
        <w:t>技术复杂度高：消融温度/体积精准控制、实时核磁测温、激光光纤导管材料与精密制造难度大；</w:t>
      </w:r>
    </w:p>
    <w:p w14:paraId="680975C4">
      <w:pPr>
        <w:pStyle w:val="91"/>
        <w:numPr>
          <w:ilvl w:val="0"/>
          <w:numId w:val="0"/>
        </w:numPr>
        <w:bidi w:val="0"/>
        <w:ind w:leftChars="200"/>
      </w:pPr>
      <w:r>
        <w:t>临床推广壁垒：需神经外科、影像科专业培训，医院临床体系建设投入高；</w:t>
      </w:r>
    </w:p>
    <w:p w14:paraId="777707D0">
      <w:pPr>
        <w:pStyle w:val="91"/>
        <w:numPr>
          <w:ilvl w:val="0"/>
          <w:numId w:val="0"/>
        </w:numPr>
        <w:bidi w:val="0"/>
        <w:ind w:leftChars="200"/>
      </w:pPr>
      <w:r>
        <w:t>专利壁垒：海外龙头掌握激光发射、热控、影像融合核心专利，新进入者专利布局成本高。</w:t>
      </w:r>
    </w:p>
    <w:p w14:paraId="0B799164">
      <w:pPr>
        <w:pStyle w:val="88"/>
        <w:numPr>
          <w:ilvl w:val="0"/>
          <w:numId w:val="35"/>
        </w:numPr>
        <w:bidi w:val="0"/>
      </w:pPr>
      <w:bookmarkStart w:id="110" w:name="_Toc1435593209"/>
      <w:r>
        <w:t>LITT市场规模（2020-2034E）</w:t>
      </w:r>
      <w:bookmarkEnd w:id="110"/>
    </w:p>
    <w:p w14:paraId="43E3C7D4">
      <w:pPr>
        <w:pStyle w:val="91"/>
        <w:numPr>
          <w:ilvl w:val="0"/>
          <w:numId w:val="0"/>
        </w:numPr>
        <w:bidi w:val="0"/>
        <w:ind w:firstLine="560" w:firstLineChars="200"/>
      </w:pPr>
      <w:r>
        <w:t>全球2020年3.7亿美元，2024年7.9亿美元，CAGR20.9%；2034年预计41.1亿美元，2024-2034年CAGR17.9%；</w:t>
      </w:r>
    </w:p>
    <w:p w14:paraId="424D95C5">
      <w:pPr>
        <w:pStyle w:val="91"/>
        <w:numPr>
          <w:ilvl w:val="0"/>
          <w:numId w:val="0"/>
        </w:numPr>
        <w:bidi w:val="0"/>
        <w:ind w:firstLine="560" w:firstLineChars="200"/>
      </w:pPr>
      <w:r>
        <w:t>中国处于起步阶段，2025年约0.1亿美元，2034年达6.3亿美元，2025-2034年CAGR63.8%，增速全球领先。</w:t>
      </w:r>
    </w:p>
    <w:p w14:paraId="50CF848F">
      <w:pPr>
        <w:pStyle w:val="91"/>
        <w:numPr>
          <w:ilvl w:val="0"/>
          <w:numId w:val="0"/>
        </w:numPr>
        <w:bidi w:val="0"/>
      </w:pPr>
      <w:r>
        <w:drawing>
          <wp:inline distT="0" distB="0" distL="114300" distR="114300">
            <wp:extent cx="5276850" cy="2511425"/>
            <wp:effectExtent l="0" t="0" r="6350" b="317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8"/>
                    <a:stretch>
                      <a:fillRect/>
                    </a:stretch>
                  </pic:blipFill>
                  <pic:spPr>
                    <a:xfrm>
                      <a:off x="0" y="0"/>
                      <a:ext cx="5276850" cy="2511425"/>
                    </a:xfrm>
                    <a:prstGeom prst="rect">
                      <a:avLst/>
                    </a:prstGeom>
                    <a:noFill/>
                    <a:ln>
                      <a:noFill/>
                    </a:ln>
                  </pic:spPr>
                </pic:pic>
              </a:graphicData>
            </a:graphic>
          </wp:inline>
        </w:drawing>
      </w:r>
    </w:p>
    <w:p w14:paraId="29AC719E">
      <w:pPr>
        <w:pStyle w:val="88"/>
        <w:numPr>
          <w:ilvl w:val="0"/>
          <w:numId w:val="35"/>
        </w:numPr>
        <w:bidi w:val="0"/>
      </w:pPr>
      <w:bookmarkStart w:id="111" w:name="_Toc1036289618"/>
      <w:r>
        <w:t>LITT全球竞争格局</w:t>
      </w:r>
      <w:bookmarkEnd w:id="111"/>
    </w:p>
    <w:p w14:paraId="5CC706CE">
      <w:pPr>
        <w:pStyle w:val="91"/>
        <w:numPr>
          <w:ilvl w:val="0"/>
          <w:numId w:val="0"/>
        </w:numPr>
        <w:bidi w:val="0"/>
        <w:ind w:leftChars="200"/>
      </w:pPr>
      <w:r>
        <w:t>全球共5款获批LITT设备，国内2款NMPA获批，海外3款FDA/CE获批：</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2"/>
        <w:gridCol w:w="1700"/>
        <w:gridCol w:w="1786"/>
        <w:gridCol w:w="1833"/>
        <w:gridCol w:w="1681"/>
      </w:tblGrid>
      <w:tr w14:paraId="1A982916">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209C20F">
            <w:pPr>
              <w:pStyle w:val="99"/>
              <w:bidi w:val="0"/>
            </w:pPr>
            <w:r>
              <w:t>厂商</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E4B1EE1">
            <w:pPr>
              <w:pStyle w:val="99"/>
              <w:bidi w:val="0"/>
            </w:pPr>
            <w:r>
              <w:t>产品名称</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F120023">
            <w:pPr>
              <w:pStyle w:val="99"/>
              <w:bidi w:val="0"/>
            </w:pPr>
            <w:r>
              <w:t>激光波长</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3E8B4E5">
            <w:pPr>
              <w:pStyle w:val="99"/>
              <w:bidi w:val="0"/>
            </w:pPr>
            <w:r>
              <w:t>导管直径</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E2CA9F3">
            <w:pPr>
              <w:pStyle w:val="99"/>
              <w:bidi w:val="0"/>
            </w:pPr>
            <w:r>
              <w:t>首次获批</w:t>
            </w:r>
          </w:p>
        </w:tc>
      </w:tr>
      <w:tr w14:paraId="6AAA6054">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CE6A0B9">
            <w:pPr>
              <w:pStyle w:val="99"/>
              <w:bidi w:val="0"/>
              <w:rPr>
                <w:rFonts w:hint="eastAsia" w:eastAsia="仿宋"/>
                <w:lang w:eastAsia="zh-CN"/>
              </w:rPr>
            </w:pPr>
            <w:r>
              <w:rPr>
                <w:rFonts w:hint="eastAsia"/>
                <w:lang w:eastAsia="zh-CN"/>
              </w:rPr>
              <w:t>佳量脑科学</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9ADA83D">
            <w:pPr>
              <w:pStyle w:val="99"/>
              <w:bidi w:val="0"/>
            </w:pPr>
            <w:r>
              <w:t>LaserRO™</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8263E4A">
            <w:pPr>
              <w:pStyle w:val="99"/>
              <w:bidi w:val="0"/>
            </w:pPr>
            <w:r>
              <w:t>980nm/1064nm双波长</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E92E6F2">
            <w:pPr>
              <w:pStyle w:val="99"/>
              <w:bidi w:val="0"/>
            </w:pPr>
            <w:r>
              <w:t>1.55mm/2.30mm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7EF493B">
            <w:pPr>
              <w:pStyle w:val="99"/>
              <w:bidi w:val="0"/>
            </w:pPr>
            <w:r>
              <w:t>2025.10NMPA</w:t>
            </w:r>
          </w:p>
        </w:tc>
      </w:tr>
      <w:tr w14:paraId="22042D15">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BA7A6A">
            <w:pPr>
              <w:pStyle w:val="99"/>
              <w:bidi w:val="0"/>
            </w:pPr>
            <w:r>
              <w:t>神外新锐</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10CF6BB">
            <w:pPr>
              <w:pStyle w:val="99"/>
              <w:bidi w:val="0"/>
            </w:pPr>
            <w:r>
              <w:t>SinoLITT</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4420EB8">
            <w:pPr>
              <w:pStyle w:val="99"/>
              <w:bidi w:val="0"/>
            </w:pPr>
            <w:r>
              <w:t>980nm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1AE78FD">
            <w:pPr>
              <w:pStyle w:val="99"/>
              <w:bidi w:val="0"/>
            </w:pPr>
            <w:r>
              <w:t>＜2mm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B66C4B7">
            <w:pPr>
              <w:pStyle w:val="99"/>
              <w:bidi w:val="0"/>
            </w:pPr>
            <w:r>
              <w:t>2023.04NMPA</w:t>
            </w:r>
          </w:p>
        </w:tc>
      </w:tr>
      <w:tr w14:paraId="6DE01851">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685615E">
            <w:pPr>
              <w:pStyle w:val="99"/>
              <w:bidi w:val="0"/>
            </w:pPr>
            <w:r>
              <w:t>ClearPoint</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ABA419A">
            <w:pPr>
              <w:pStyle w:val="99"/>
              <w:bidi w:val="0"/>
            </w:pPr>
            <w:r>
              <w:t>Prism™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6F33436">
            <w:pPr>
              <w:pStyle w:val="99"/>
              <w:bidi w:val="0"/>
            </w:pPr>
            <w:r>
              <w:t>1064nm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AE107BF">
            <w:pPr>
              <w:pStyle w:val="99"/>
              <w:bidi w:val="0"/>
            </w:pPr>
            <w:r>
              <w:t>1.7mm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A46917F">
            <w:pPr>
              <w:pStyle w:val="99"/>
              <w:bidi w:val="0"/>
            </w:pPr>
            <w:r>
              <w:t>2022.09FDA</w:t>
            </w:r>
          </w:p>
        </w:tc>
      </w:tr>
      <w:tr w14:paraId="02B09A7A">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E825A68">
            <w:pPr>
              <w:pStyle w:val="99"/>
              <w:bidi w:val="0"/>
            </w:pPr>
            <w:r>
              <w:t>Monteris</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4C4413F">
            <w:pPr>
              <w:pStyle w:val="99"/>
              <w:bidi w:val="0"/>
            </w:pPr>
            <w:r>
              <w:t>NeuroBlate®</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76559BE">
            <w:pPr>
              <w:pStyle w:val="99"/>
              <w:bidi w:val="0"/>
            </w:pPr>
            <w:r>
              <w:t>1064nm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2C5BE14">
            <w:pPr>
              <w:pStyle w:val="99"/>
              <w:bidi w:val="0"/>
            </w:pPr>
            <w:r>
              <w:t>1.6/2.2/3.3mm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34B6D53">
            <w:pPr>
              <w:pStyle w:val="99"/>
              <w:bidi w:val="0"/>
            </w:pPr>
            <w:r>
              <w:t>2013.04FDA</w:t>
            </w:r>
          </w:p>
        </w:tc>
      </w:tr>
      <w:tr w14:paraId="2F96022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ADD250C">
            <w:pPr>
              <w:pStyle w:val="99"/>
              <w:bidi w:val="0"/>
            </w:pPr>
            <w:r>
              <w:t>美敦力</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1691C80">
            <w:pPr>
              <w:pStyle w:val="99"/>
              <w:bidi w:val="0"/>
            </w:pPr>
            <w:r>
              <w:t>Visualase™</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C08E02C">
            <w:pPr>
              <w:pStyle w:val="99"/>
              <w:bidi w:val="0"/>
            </w:pPr>
            <w:r>
              <w:t>980nm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84822C0">
            <w:pPr>
              <w:pStyle w:val="99"/>
              <w:bidi w:val="0"/>
            </w:pPr>
            <w:r>
              <w:t>1.65mm</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1E0CFD8">
            <w:pPr>
              <w:pStyle w:val="99"/>
              <w:bidi w:val="0"/>
            </w:pPr>
            <w:r>
              <w:t>2007.07FDA</w:t>
            </w:r>
          </w:p>
        </w:tc>
      </w:tr>
    </w:tbl>
    <w:p w14:paraId="69CA5031">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核心亮点：</w:t>
      </w:r>
      <w:r>
        <w:rPr>
          <w:rFonts w:hint="eastAsia" w:ascii="仿宋" w:hAnsi="仿宋" w:eastAsia="仿宋" w:cs="Arial"/>
          <w:sz w:val="28"/>
          <w:szCs w:val="28"/>
          <w:lang w:val="en-US" w:eastAsia="zh-CN" w:bidi="ar-SA"/>
        </w:rPr>
        <w:t>佳量脑科学</w:t>
      </w:r>
      <w:r>
        <w:rPr>
          <w:rFonts w:ascii="仿宋" w:hAnsi="仿宋" w:eastAsia="仿宋" w:cs="Arial"/>
          <w:sz w:val="28"/>
          <w:szCs w:val="28"/>
          <w:lang w:val="en-US" w:eastAsia="zh-CN" w:bidi="ar-SA"/>
        </w:rPr>
        <w:t>LaserRO™为全球唯一双波长术中可切换产品，导管行业最细。</w:t>
      </w:r>
    </w:p>
    <w:p w14:paraId="065B8687">
      <w:pPr>
        <w:pStyle w:val="88"/>
        <w:numPr>
          <w:ilvl w:val="0"/>
          <w:numId w:val="35"/>
        </w:numPr>
        <w:bidi w:val="0"/>
      </w:pPr>
      <w:bookmarkStart w:id="112" w:name="_Toc827232556"/>
      <w:r>
        <w:t>LITT市场驱动与趋势</w:t>
      </w:r>
      <w:bookmarkEnd w:id="112"/>
    </w:p>
    <w:p w14:paraId="5DC6A788">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临床认可度提升：微创精准优势凸显，逐步纳入癫痫、脑肿瘤诊疗专家共识；</w:t>
      </w:r>
    </w:p>
    <w:p w14:paraId="7B64C8BD">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临床证据完善：2021年AANS/CNS发布LITT治疗脑肿瘤立场声明、NCCN指南纳入LITT方案；</w:t>
      </w:r>
    </w:p>
    <w:p w14:paraId="5BDA2E5A">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国产设备技术突围：双波长、超细导管等差异化技术成型，具备出海竞争潜力。</w:t>
      </w:r>
    </w:p>
    <w:p w14:paraId="66579CAE">
      <w:pPr>
        <w:pStyle w:val="88"/>
        <w:numPr>
          <w:ilvl w:val="0"/>
          <w:numId w:val="21"/>
        </w:numPr>
        <w:bidi w:val="0"/>
      </w:pPr>
      <w:bookmarkStart w:id="113" w:name="_Toc488438014"/>
      <w:r>
        <w:t>脑肿瘤行业分析</w:t>
      </w:r>
      <w:bookmarkEnd w:id="113"/>
    </w:p>
    <w:p w14:paraId="1353FF15">
      <w:pPr>
        <w:pStyle w:val="122"/>
        <w:numPr>
          <w:ilvl w:val="0"/>
          <w:numId w:val="36"/>
        </w:numPr>
        <w:bidi w:val="0"/>
      </w:pPr>
      <w:bookmarkStart w:id="114" w:name="_Toc1495202464"/>
      <w:r>
        <w:t>胶质瘤</w:t>
      </w:r>
      <w:bookmarkEnd w:id="114"/>
    </w:p>
    <w:p w14:paraId="05FC090D">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概述：最常见原发性恶性脑肿瘤，占恶性脑肿瘤81%，5年生存率低于20%；高发45-65岁，遗传、年龄、饮食、电离辐射为核心诱因；</w:t>
      </w:r>
    </w:p>
    <w:p w14:paraId="3487D59A">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分型：成人弥漫型、儿童高低度弥漫型、局限性星形细胞瘤、室管膜肿瘤；</w:t>
      </w:r>
    </w:p>
    <w:p w14:paraId="376B63C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流行病学：全球2024年发病56.2万例，2034年达80.4万例；中国2024年10.3万例，2034年14.0万例。</w:t>
      </w:r>
    </w:p>
    <w:p w14:paraId="05505A88">
      <w:pPr>
        <w:pStyle w:val="125"/>
      </w:pPr>
      <w:r>
        <w:drawing>
          <wp:inline distT="0" distB="0" distL="114300" distR="114300">
            <wp:extent cx="5271135" cy="2660015"/>
            <wp:effectExtent l="0" t="0" r="12065"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9"/>
                    <a:stretch>
                      <a:fillRect/>
                    </a:stretch>
                  </pic:blipFill>
                  <pic:spPr>
                    <a:xfrm>
                      <a:off x="0" y="0"/>
                      <a:ext cx="5271135" cy="2660015"/>
                    </a:xfrm>
                    <a:prstGeom prst="rect">
                      <a:avLst/>
                    </a:prstGeom>
                    <a:noFill/>
                    <a:ln>
                      <a:noFill/>
                    </a:ln>
                  </pic:spPr>
                </pic:pic>
              </a:graphicData>
            </a:graphic>
          </wp:inline>
        </w:drawing>
      </w:r>
    </w:p>
    <w:p w14:paraId="377F9E36">
      <w:pPr>
        <w:pStyle w:val="125"/>
        <w:rPr>
          <w:lang w:val="en-US" w:eastAsia="zh-CN"/>
        </w:rPr>
      </w:pPr>
      <w:r>
        <w:drawing>
          <wp:inline distT="0" distB="0" distL="114300" distR="114300">
            <wp:extent cx="5276850" cy="2738120"/>
            <wp:effectExtent l="0" t="0" r="6350" b="508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30"/>
                    <a:stretch>
                      <a:fillRect/>
                    </a:stretch>
                  </pic:blipFill>
                  <pic:spPr>
                    <a:xfrm>
                      <a:off x="0" y="0"/>
                      <a:ext cx="5276850" cy="2738120"/>
                    </a:xfrm>
                    <a:prstGeom prst="rect">
                      <a:avLst/>
                    </a:prstGeom>
                    <a:noFill/>
                    <a:ln>
                      <a:noFill/>
                    </a:ln>
                  </pic:spPr>
                </pic:pic>
              </a:graphicData>
            </a:graphic>
          </wp:inline>
        </w:drawing>
      </w:r>
    </w:p>
    <w:p w14:paraId="637FA73D">
      <w:pPr>
        <w:pStyle w:val="122"/>
        <w:numPr>
          <w:ilvl w:val="0"/>
          <w:numId w:val="36"/>
        </w:numPr>
        <w:bidi w:val="0"/>
      </w:pPr>
      <w:bookmarkStart w:id="115" w:name="_Toc14175254"/>
      <w:r>
        <w:t>脑转移瘤</w:t>
      </w:r>
      <w:bookmarkEnd w:id="115"/>
    </w:p>
    <w:p w14:paraId="76C1E688">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概述：全身恶性肿瘤转移至脑部，高发来源：肺癌＞黑色素瘤＞肾癌＞乳腺癌＞结直肠癌；症状包含头痛、癫痫、视力障碍、言语失衡；</w:t>
      </w:r>
    </w:p>
    <w:p w14:paraId="4FFA9E25">
      <w:pPr>
        <w:pStyle w:val="125"/>
        <w:rPr>
          <w:lang w:val="en-US" w:eastAsia="zh-CN"/>
        </w:rPr>
      </w:pPr>
      <w:r>
        <w:rPr>
          <w:rFonts w:ascii="仿宋" w:hAnsi="仿宋" w:eastAsia="仿宋" w:cs="Arial"/>
          <w:sz w:val="28"/>
          <w:szCs w:val="28"/>
          <w:lang w:val="en-US" w:eastAsia="zh-CN" w:bidi="ar-SA"/>
        </w:rPr>
        <w:t>流行病学：全球2024年177.1万例，2034年246.4万例；中国2024年44.1万例，2034年57.2万例。</w:t>
      </w:r>
    </w:p>
    <w:p w14:paraId="156F5666">
      <w:pPr>
        <w:pStyle w:val="122"/>
        <w:numPr>
          <w:ilvl w:val="0"/>
          <w:numId w:val="36"/>
        </w:numPr>
        <w:bidi w:val="0"/>
      </w:pPr>
      <w:bookmarkStart w:id="116" w:name="_Toc2020292808"/>
      <w:r>
        <w:t>脑肿瘤临床未满足需求</w:t>
      </w:r>
      <w:bookmarkEnd w:id="116"/>
    </w:p>
    <w:p w14:paraId="4A74610B">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深部/功能区肿瘤开放手术风险高，易造成神经功能损伤；</w:t>
      </w:r>
    </w:p>
    <w:p w14:paraId="6760FD8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传统开颅术后恢复期长、并发症多；</w:t>
      </w:r>
    </w:p>
    <w:p w14:paraId="5CBDD46B">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血脑屏障导致全身药物难以起效，复发率高，缺乏长效控制方案；LITT成为重要补充治疗手段。</w:t>
      </w:r>
    </w:p>
    <w:p w14:paraId="4598C5CE">
      <w:pPr>
        <w:pStyle w:val="86"/>
        <w:bidi w:val="0"/>
      </w:pPr>
      <w:bookmarkStart w:id="117" w:name="_Toc1197281339"/>
      <w:r>
        <w:t>SEEG深部电极市场</w:t>
      </w:r>
      <w:bookmarkEnd w:id="117"/>
    </w:p>
    <w:p w14:paraId="38DC3347">
      <w:pPr>
        <w:pStyle w:val="88"/>
        <w:numPr>
          <w:ilvl w:val="0"/>
          <w:numId w:val="37"/>
        </w:numPr>
        <w:bidi w:val="0"/>
      </w:pPr>
      <w:bookmarkStart w:id="118" w:name="_Toc785692183"/>
      <w:r>
        <w:t>SEEG技术概述</w:t>
      </w:r>
      <w:bookmarkEnd w:id="118"/>
    </w:p>
    <w:p w14:paraId="020985E4">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立体定向脑电图（SEEG）为侵入式颅内脑电监测技术，经2.5mm颅骨微孔植入多触点深部电极，精准采集脑深部电活动；用于DRE术前癫痫灶定位，可同步电刺激标定功能区、部分具备射频热凝治疗功能。</w:t>
      </w:r>
    </w:p>
    <w:p w14:paraId="0AE63934">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相较无创头皮脑电图：空间分辨率更高、无颅骨/头皮信号衰减，定位精度显著提升。</w:t>
      </w:r>
    </w:p>
    <w:p w14:paraId="6B897B94">
      <w:pPr>
        <w:pStyle w:val="88"/>
        <w:numPr>
          <w:ilvl w:val="0"/>
          <w:numId w:val="37"/>
        </w:numPr>
        <w:bidi w:val="0"/>
      </w:pPr>
      <w:bookmarkStart w:id="119" w:name="_Toc251574278"/>
      <w:r>
        <w:t>SEEG应用场景</w:t>
      </w:r>
      <w:bookmarkEnd w:id="119"/>
    </w:p>
    <w:p w14:paraId="1A0323DA">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耐药癫痫术前精准定位癫痫灶；</w:t>
      </w:r>
    </w:p>
    <w:p w14:paraId="7950C686">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标定脑功能区，规避手术损伤；</w:t>
      </w:r>
    </w:p>
    <w:p w14:paraId="097F61BC">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热凝型SEEG可直接消融癫痫灶，实现诊断+治疗一体化；</w:t>
      </w:r>
    </w:p>
    <w:p w14:paraId="5407DAED">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支撑BCI、帕金森等神经科学基础研究。</w:t>
      </w:r>
    </w:p>
    <w:p w14:paraId="5C0A2432">
      <w:pPr>
        <w:pStyle w:val="88"/>
        <w:numPr>
          <w:ilvl w:val="0"/>
          <w:numId w:val="37"/>
        </w:numPr>
        <w:bidi w:val="0"/>
      </w:pPr>
      <w:bookmarkStart w:id="120" w:name="_Toc1961073050"/>
      <w:r>
        <w:t>SEEG市场规模（2020-2034E）</w:t>
      </w:r>
      <w:bookmarkEnd w:id="120"/>
    </w:p>
    <w:p w14:paraId="0600C2DC">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全球2020年7835万美元，2024年1.38亿美元，CAGR15.2%；2034年预计6.31亿美元，2024-2034年CAGR16.4%；</w:t>
      </w:r>
    </w:p>
    <w:p w14:paraId="490D2422">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中国2020年765万美元，2024年1439万美元，CAGR17.1%；2034年达1.17亿美元，2024-2034年CAGR23.3%。</w:t>
      </w:r>
    </w:p>
    <w:p w14:paraId="196AAF5D">
      <w:pPr>
        <w:pStyle w:val="88"/>
        <w:numPr>
          <w:ilvl w:val="0"/>
          <w:numId w:val="37"/>
        </w:numPr>
        <w:bidi w:val="0"/>
      </w:pPr>
      <w:bookmarkStart w:id="121" w:name="_Toc175737194"/>
      <w:r>
        <w:t>全球SEEG竞争格局</w:t>
      </w:r>
      <w:bookmarkEnd w:id="121"/>
    </w:p>
    <w:p w14:paraId="3A3B3A51">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全球共11款获批SEEG深部电极，7款NMPA获批、7款FDA获批；涵盖Ad-Tech、神外新锐、AlcisNeuro、PMT、DIXI、NeuroOne、日升娜、</w:t>
      </w:r>
      <w:r>
        <w:rPr>
          <w:rFonts w:hint="eastAsia" w:ascii="仿宋" w:hAnsi="仿宋" w:eastAsia="仿宋" w:cs="Arial"/>
          <w:sz w:val="28"/>
          <w:szCs w:val="28"/>
          <w:lang w:val="en-US" w:eastAsia="zh-CN" w:bidi="ar-SA"/>
        </w:rPr>
        <w:t>佳量脑科学</w:t>
      </w:r>
      <w:r>
        <w:rPr>
          <w:rFonts w:ascii="仿宋" w:hAnsi="仿宋" w:eastAsia="仿宋" w:cs="Arial"/>
          <w:sz w:val="28"/>
          <w:szCs w:val="28"/>
          <w:lang w:val="en-US" w:eastAsia="zh-CN" w:bidi="ar-SA"/>
        </w:rPr>
        <w:t>等企业，</w:t>
      </w:r>
      <w:r>
        <w:rPr>
          <w:rFonts w:hint="eastAsia" w:ascii="仿宋" w:hAnsi="仿宋" w:eastAsia="仿宋" w:cs="Arial"/>
          <w:sz w:val="28"/>
          <w:szCs w:val="28"/>
          <w:lang w:val="en-US" w:eastAsia="zh-CN" w:bidi="ar-SA"/>
        </w:rPr>
        <w:t>佳量脑科学</w:t>
      </w:r>
      <w:r>
        <w:rPr>
          <w:rFonts w:ascii="仿宋" w:hAnsi="仿宋" w:eastAsia="仿宋" w:cs="Arial"/>
          <w:sz w:val="28"/>
          <w:szCs w:val="28"/>
          <w:lang w:val="en-US" w:eastAsia="zh-CN" w:bidi="ar-SA"/>
        </w:rPr>
        <w:t>S-Deep™于2025年NMPA获批。</w:t>
      </w:r>
    </w:p>
    <w:p w14:paraId="169391F2">
      <w:pPr>
        <w:pStyle w:val="88"/>
        <w:numPr>
          <w:ilvl w:val="0"/>
          <w:numId w:val="37"/>
        </w:numPr>
        <w:bidi w:val="0"/>
      </w:pPr>
      <w:bookmarkStart w:id="122" w:name="_Toc825004933"/>
      <w:r>
        <w:t>SEEG市场驱动趋势</w:t>
      </w:r>
      <w:bookmarkEnd w:id="122"/>
    </w:p>
    <w:p w14:paraId="0A15EF2B">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DRE精准诊疗需求提升，SEEG成为癫痫中心标配诊断工具；</w:t>
      </w:r>
    </w:p>
    <w:p w14:paraId="41EB7944">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与神经科学、BCI深度融合，适应症从癫痫拓展至运动障碍、认知疾病；</w:t>
      </w:r>
    </w:p>
    <w:p w14:paraId="7B9D989B">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医疗基建完善、医保覆盖提升，基层及专科中心渗透率持续提高。</w:t>
      </w:r>
    </w:p>
    <w:p w14:paraId="66A9EB8D">
      <w:pPr>
        <w:pStyle w:val="86"/>
        <w:bidi w:val="0"/>
      </w:pPr>
      <w:bookmarkStart w:id="123" w:name="_Toc1703483899"/>
      <w:r>
        <w:t>BCI细分——EES硬膜外电刺激</w:t>
      </w:r>
      <w:bookmarkEnd w:id="123"/>
    </w:p>
    <w:p w14:paraId="29AEA7E6">
      <w:pPr>
        <w:pStyle w:val="88"/>
        <w:numPr>
          <w:ilvl w:val="0"/>
          <w:numId w:val="38"/>
        </w:numPr>
        <w:bidi w:val="0"/>
      </w:pPr>
      <w:bookmarkStart w:id="124" w:name="_Toc201908689"/>
      <w:r>
        <w:t>EES技术原理</w:t>
      </w:r>
      <w:bookmarkEnd w:id="124"/>
    </w:p>
    <w:p w14:paraId="0BE05D49">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硬膜外电刺激（EES）为针对脊髓损伤（SCI）的神经调控疗法，由可编程脉冲发生器、硬膜外电极阵列、程控/充电设备组成；通过精准时序电刺激激活脊髓运动神经环路，结合肌电信号反馈动态调节刺激参数，促进神经可塑性，实现站立、行走及疼痛、痉挛缓解。</w:t>
      </w:r>
    </w:p>
    <w:p w14:paraId="5F6A309F">
      <w:pPr>
        <w:pStyle w:val="88"/>
        <w:numPr>
          <w:ilvl w:val="0"/>
          <w:numId w:val="38"/>
        </w:numPr>
        <w:bidi w:val="0"/>
      </w:pPr>
      <w:bookmarkStart w:id="125" w:name="_Toc455173763"/>
      <w:r>
        <w:t>闭环EES核心优势</w:t>
      </w:r>
      <w:bookmarkEnd w:id="125"/>
    </w:p>
    <w:p w14:paraId="2B142A56">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增强神经可塑性：重塑脊髓神经环路，促进损伤后神经通路修复；</w:t>
      </w:r>
    </w:p>
    <w:p w14:paraId="4BBF18E5">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意念驱动主动康复：解码运动意图与肌电信号，同步匹配刺激节律，强化运动学习；</w:t>
      </w:r>
    </w:p>
    <w:p w14:paraId="25CE0E00">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附加获益：缓解脊髓损伤后慢性疼痛、肌肉痉挛，减少药物依赖。</w:t>
      </w:r>
    </w:p>
    <w:p w14:paraId="1C0F563D">
      <w:pPr>
        <w:pStyle w:val="88"/>
        <w:numPr>
          <w:ilvl w:val="0"/>
          <w:numId w:val="38"/>
        </w:numPr>
        <w:bidi w:val="0"/>
      </w:pPr>
      <w:bookmarkStart w:id="126" w:name="_Toc768684127"/>
      <w:r>
        <w:t>EES竞争格局</w:t>
      </w:r>
      <w:bookmarkEnd w:id="126"/>
    </w:p>
    <w:p w14:paraId="6736A133">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全球暂无获批SCI适应症EES产品；国内2款在研：</w:t>
      </w:r>
    </w:p>
    <w:p w14:paraId="277A74B7">
      <w:pPr>
        <w:pStyle w:val="125"/>
        <w:rPr>
          <w:rFonts w:ascii="仿宋" w:hAnsi="仿宋" w:eastAsia="仿宋" w:cs="Arial"/>
          <w:sz w:val="28"/>
          <w:szCs w:val="28"/>
          <w:lang w:val="en-US" w:eastAsia="zh-CN" w:bidi="ar-SA"/>
        </w:rPr>
      </w:pPr>
      <w:r>
        <w:rPr>
          <w:rFonts w:hint="eastAsia" w:ascii="仿宋" w:hAnsi="仿宋" w:eastAsia="仿宋" w:cs="Arial"/>
          <w:sz w:val="28"/>
          <w:szCs w:val="28"/>
          <w:lang w:val="en-US" w:eastAsia="zh-CN" w:bidi="ar-SA"/>
        </w:rPr>
        <w:t>佳量脑科学</w:t>
      </w:r>
      <w:r>
        <w:rPr>
          <w:rFonts w:ascii="仿宋" w:hAnsi="仿宋" w:eastAsia="仿宋" w:cs="Arial"/>
          <w:sz w:val="28"/>
          <w:szCs w:val="28"/>
          <w:lang w:val="en-US" w:eastAsia="zh-CN" w:bidi="ar-SA"/>
        </w:rPr>
        <w:t>Vivastep™：靶向脊髓损伤截瘫功能恢复；</w:t>
      </w:r>
    </w:p>
    <w:p w14:paraId="45AAD22C">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新云医疗NewStim®：覆盖慢性疼痛、脊髓损伤、脑外伤、脑卒中康复。</w:t>
      </w:r>
    </w:p>
    <w:p w14:paraId="3802AD75">
      <w:pPr>
        <w:pStyle w:val="88"/>
        <w:numPr>
          <w:ilvl w:val="0"/>
          <w:numId w:val="38"/>
        </w:numPr>
        <w:bidi w:val="0"/>
      </w:pPr>
      <w:bookmarkStart w:id="127" w:name="_Toc12502137"/>
      <w:r>
        <w:t>EES市场规模（2030E-2034E）</w:t>
      </w:r>
      <w:bookmarkEnd w:id="127"/>
    </w:p>
    <w:p w14:paraId="7D3FF980">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预计2030年中国率先商业化，全球市场946万美元；2034年达4.04亿美元，2030-2034年CAGR155.6%；中国2034年达2.74亿美元，CAGR132.0%，行业处于爆发前夜。</w:t>
      </w:r>
    </w:p>
    <w:p w14:paraId="089B114A">
      <w:pPr>
        <w:pStyle w:val="88"/>
        <w:numPr>
          <w:ilvl w:val="0"/>
          <w:numId w:val="38"/>
        </w:numPr>
        <w:bidi w:val="0"/>
      </w:pPr>
      <w:bookmarkStart w:id="128" w:name="_Toc1817502800"/>
      <w:r>
        <w:t>脊髓损伤（SCI）行业分析</w:t>
      </w:r>
      <w:bookmarkEnd w:id="128"/>
    </w:p>
    <w:p w14:paraId="7C9633FB">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病因与分型</w:t>
      </w:r>
    </w:p>
    <w:p w14:paraId="32BA40F5">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诱因：交通事故、跌倒、运动损伤等创伤；肿瘤、炎症等非创伤因素；手术并发症。</w:t>
      </w:r>
    </w:p>
    <w:p w14:paraId="511404FC">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分型：完全性SCI（损伤平面以下感觉运动完全丧失）、不完全性SCI（保留部分功能）；按部位分为截瘫、四肢瘫。</w:t>
      </w:r>
    </w:p>
    <w:p w14:paraId="0A1D360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流行病学</w:t>
      </w:r>
    </w:p>
    <w:p w14:paraId="04AE231D">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全球2024年患病1595.7万人，2034年2041.1万人；</w:t>
      </w:r>
    </w:p>
    <w:p w14:paraId="0AA79616">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中国2024年383.0万人，2034年468.0万人。</w:t>
      </w:r>
    </w:p>
    <w:p w14:paraId="2028ED9E">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治疗路径</w:t>
      </w:r>
    </w:p>
    <w:p w14:paraId="1805F42B">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急性期：生命支持、脊柱固定、减压手术、并发症管控；</w:t>
      </w:r>
    </w:p>
    <w:p w14:paraId="1247C540">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中后期：康复训练、神经修复手术、细胞治疗、EES神经调控、BCI假肢辅助。</w:t>
      </w:r>
    </w:p>
    <w:p w14:paraId="5B271D79">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临床未满足需求</w:t>
      </w:r>
    </w:p>
    <w:p w14:paraId="016C8EB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传统康复以被动训练为主，难以实现独立站立行走；</w:t>
      </w:r>
    </w:p>
    <w:p w14:paraId="684F9B7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专业康复资源不足，长期个性化诊疗与随访体系缺失；</w:t>
      </w:r>
    </w:p>
    <w:p w14:paraId="1BBA785C">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缺乏可重塑神经通路、从根源改善功能的治疗手段。</w:t>
      </w:r>
    </w:p>
    <w:p w14:paraId="12BEC000">
      <w:pPr>
        <w:pStyle w:val="86"/>
        <w:bidi w:val="0"/>
      </w:pPr>
      <w:bookmarkStart w:id="129" w:name="_Toc962164672"/>
      <w:r>
        <w:t>BCI细分——DBS脑深部电刺激</w:t>
      </w:r>
      <w:bookmarkEnd w:id="129"/>
    </w:p>
    <w:p w14:paraId="54265308">
      <w:pPr>
        <w:pStyle w:val="88"/>
        <w:numPr>
          <w:ilvl w:val="0"/>
          <w:numId w:val="39"/>
        </w:numPr>
        <w:bidi w:val="0"/>
      </w:pPr>
      <w:bookmarkStart w:id="130" w:name="_Toc549780394"/>
      <w:r>
        <w:t>DBS技术原理与系统构成</w:t>
      </w:r>
      <w:bookmarkEnd w:id="130"/>
    </w:p>
    <w:p w14:paraId="76B19034">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DBS通过立体定向手术将电极植入大脑基底节环路靶点（STN丘脑底核、GPi苍白球内侧核、VIM腹中间核），锁骨下植入脉冲发生器，高频电刺激调控异常神经放电，改善运动障碍症状。</w:t>
      </w:r>
    </w:p>
    <w:p w14:paraId="49B7D8B5">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手术步骤：核磁靶点定位→颅骨微孔钻孔→电极植入→脉冲发生器植入程控。</w:t>
      </w:r>
    </w:p>
    <w:p w14:paraId="31EA1788">
      <w:pPr>
        <w:pStyle w:val="88"/>
        <w:numPr>
          <w:ilvl w:val="0"/>
          <w:numId w:val="39"/>
        </w:numPr>
        <w:bidi w:val="0"/>
      </w:pPr>
      <w:bookmarkStart w:id="131" w:name="_Toc1684432564"/>
      <w:r>
        <w:t>DBS适应症与优势</w:t>
      </w:r>
      <w:bookmarkEnd w:id="131"/>
    </w:p>
    <w:p w14:paraId="5CC09B23">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适应症</w:t>
      </w:r>
    </w:p>
    <w:p w14:paraId="6E8F45C6">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运动障碍：帕金森病、特发性震颤、肌张力障碍；</w:t>
      </w:r>
    </w:p>
    <w:p w14:paraId="1F5C0932">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精神疾病：强迫症、抑郁症、抽动症、成瘾、植物状态促醒等在研适应症。</w:t>
      </w:r>
    </w:p>
    <w:p w14:paraId="679FBA41">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相较传统手术优势</w:t>
      </w:r>
    </w:p>
    <w:p w14:paraId="457E9084">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不损毁神经核团、可逆可调；</w:t>
      </w:r>
    </w:p>
    <w:p w14:paraId="12322479">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可双侧手术，参数可终身程控优化；</w:t>
      </w:r>
    </w:p>
    <w:p w14:paraId="4ED6440D">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并发症少、长期疗效稳定。</w:t>
      </w:r>
    </w:p>
    <w:p w14:paraId="4BAB276B">
      <w:pPr>
        <w:pStyle w:val="88"/>
        <w:numPr>
          <w:ilvl w:val="0"/>
          <w:numId w:val="39"/>
        </w:numPr>
        <w:bidi w:val="0"/>
      </w:pPr>
      <w:bookmarkStart w:id="132" w:name="_Toc2128668394"/>
      <w:r>
        <w:t>传统开环DBS临床痛点</w:t>
      </w:r>
      <w:bookmarkEnd w:id="132"/>
    </w:p>
    <w:p w14:paraId="25400205">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刺激范围精准度不足，易波及周边核团引发副作用；</w:t>
      </w:r>
    </w:p>
    <w:p w14:paraId="53C11B5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设备体积偏大、非充电款电池寿命3-9年，需手术更换；</w:t>
      </w:r>
    </w:p>
    <w:p w14:paraId="5C291361">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导线移位、断裂、植入部位感染等硬件并发症高发。</w:t>
      </w:r>
    </w:p>
    <w:p w14:paraId="2F2DDE25">
      <w:pPr>
        <w:pStyle w:val="88"/>
        <w:numPr>
          <w:ilvl w:val="0"/>
          <w:numId w:val="39"/>
        </w:numPr>
        <w:bidi w:val="0"/>
      </w:pPr>
      <w:bookmarkStart w:id="133" w:name="_Toc1599622585"/>
      <w:r>
        <w:t>闭环自适应DBS（aDBS）优势</w:t>
      </w:r>
      <w:bookmarkEnd w:id="133"/>
    </w:p>
    <w:p w14:paraId="70171729">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按需刺激，减少无效放电，降低副作用、延长电池寿命；</w:t>
      </w:r>
    </w:p>
    <w:p w14:paraId="1FD2637E">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实时监测脑电生物标志物，自动适配病情波动，个性化治疗；</w:t>
      </w:r>
    </w:p>
    <w:p w14:paraId="14876D8D">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兼容神经解码与双向BCI架构，拓展康复、认知调控新场景。</w:t>
      </w:r>
    </w:p>
    <w:p w14:paraId="0FC9F52C">
      <w:pPr>
        <w:pStyle w:val="88"/>
        <w:numPr>
          <w:ilvl w:val="0"/>
          <w:numId w:val="39"/>
        </w:numPr>
        <w:bidi w:val="0"/>
      </w:pPr>
      <w:bookmarkStart w:id="134" w:name="_Toc509009302"/>
      <w:r>
        <w:t>DBS市场规模（2020-2034E）</w:t>
      </w:r>
      <w:bookmarkEnd w:id="134"/>
    </w:p>
    <w:p w14:paraId="19641236">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全球2020年91.6亿美元，2024年186.1亿美元，CAGR19.4%；2034年预计531.7亿美元，2024-2034年CAGR11.1%；</w:t>
      </w:r>
    </w:p>
    <w:p w14:paraId="5042B45A">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中国2020年5.6亿美元，2024年16.6亿美元，CAGR31.3%；2034年达57.2亿美元，2024-2034年CAGR13.2%。</w:t>
      </w:r>
    </w:p>
    <w:p w14:paraId="1725ECBE">
      <w:pPr>
        <w:pStyle w:val="88"/>
        <w:numPr>
          <w:ilvl w:val="0"/>
          <w:numId w:val="39"/>
        </w:numPr>
        <w:bidi w:val="0"/>
      </w:pPr>
      <w:bookmarkStart w:id="135" w:name="_Toc1491972713"/>
      <w:r>
        <w:t>DBS竞争格局</w:t>
      </w:r>
      <w:bookmarkEnd w:id="135"/>
    </w:p>
    <w:p w14:paraId="482B4D82">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国内NMPA获批产品超20款，均为开环锁骨下植入式；厂商包含品驰、景昱、乐普、日升娜等；</w:t>
      </w:r>
    </w:p>
    <w:p w14:paraId="1D91D87F">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进口品牌：美敦力、雅培、波士顿科学；</w:t>
      </w:r>
    </w:p>
    <w:p w14:paraId="66BAC7A5">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在研管线：国内11款在研DBS，仅**</w:t>
      </w:r>
      <w:r>
        <w:rPr>
          <w:rFonts w:hint="eastAsia" w:ascii="仿宋" w:hAnsi="仿宋" w:eastAsia="仿宋" w:cs="Arial"/>
          <w:sz w:val="28"/>
          <w:szCs w:val="28"/>
          <w:lang w:val="en-US" w:eastAsia="zh-CN" w:bidi="ar-SA"/>
        </w:rPr>
        <w:t>佳量脑科学</w:t>
      </w:r>
      <w:r>
        <w:rPr>
          <w:rFonts w:ascii="仿宋" w:hAnsi="仿宋" w:eastAsia="仿宋" w:cs="Arial"/>
          <w:sz w:val="28"/>
          <w:szCs w:val="28"/>
          <w:lang w:val="en-US" w:eastAsia="zh-CN" w:bidi="ar-SA"/>
        </w:rPr>
        <w:t>iSBS®**为颅内植入+闭环神经调控架构，为下一代技术方向。</w:t>
      </w:r>
    </w:p>
    <w:p w14:paraId="6E148A1A">
      <w:pPr>
        <w:pStyle w:val="88"/>
        <w:numPr>
          <w:ilvl w:val="0"/>
          <w:numId w:val="39"/>
        </w:numPr>
        <w:bidi w:val="0"/>
      </w:pPr>
      <w:bookmarkStart w:id="136" w:name="_Toc1566325019"/>
      <w:r>
        <w:t>帕金森病（PD）行业分析</w:t>
      </w:r>
      <w:bookmarkEnd w:id="136"/>
    </w:p>
    <w:p w14:paraId="09C3206E">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发病机制</w:t>
      </w:r>
    </w:p>
    <w:p w14:paraId="2022797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黑质多巴胺能神经元变性凋亡，多巴胺分泌减少，乙酰胆碱相对亢进，引发震颤、肌强直、运动迟缓、认知衰退。</w:t>
      </w:r>
    </w:p>
    <w:p w14:paraId="69041D6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流行病学</w:t>
      </w:r>
    </w:p>
    <w:p w14:paraId="622554E4">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全球2024年患病985.9万人，2034年1525.6万人；</w:t>
      </w:r>
    </w:p>
    <w:p w14:paraId="6078DEC7">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中国2024年336.3万人，2034年676.8万人，老龄化驱动增速显著高于全球。</w:t>
      </w:r>
    </w:p>
    <w:p w14:paraId="50C4F22F">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治疗路径</w:t>
      </w:r>
    </w:p>
    <w:p w14:paraId="6E8DA522">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早期：左旋多巴、多巴胺激动剂等药物；</w:t>
      </w:r>
    </w:p>
    <w:p w14:paraId="664C2BD8">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中晚期：药物疗效衰减，运动并发症高发，DBS成为首选外科方案；其他可选聚焦超声、苍白球切开术、Duopa肠道给药。</w:t>
      </w:r>
    </w:p>
    <w:p w14:paraId="01644502">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临床未满足需求</w:t>
      </w:r>
    </w:p>
    <w:p w14:paraId="4C91CE45">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长期服药易引发运动波动、异动症、幻觉、低血压等副作用；</w:t>
      </w:r>
    </w:p>
    <w:p w14:paraId="09105768">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药物耐受性逐年提升，疗效持续衰减；</w:t>
      </w:r>
    </w:p>
    <w:p w14:paraId="4761DE98">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暂无可延缓神经退行性进程的根治性疗法，仅能对症治疗。</w:t>
      </w:r>
    </w:p>
    <w:p w14:paraId="66AE9B08">
      <w:pPr>
        <w:pStyle w:val="86"/>
        <w:bidi w:val="0"/>
      </w:pPr>
      <w:bookmarkStart w:id="143" w:name="_GoBack"/>
      <w:bookmarkEnd w:id="143"/>
      <w:bookmarkStart w:id="137" w:name="_Toc1370049407"/>
      <w:r>
        <w:t>行业总结与未来展望</w:t>
      </w:r>
      <w:bookmarkEnd w:id="137"/>
    </w:p>
    <w:p w14:paraId="4CFE7B6D">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神经外科微创化、精准化、智能化为长期趋势，LITT、SEEG、DBS、RNS、EES等设备渗透率持续提升；</w:t>
      </w:r>
    </w:p>
    <w:p w14:paraId="010EBE3A">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BCI从消费级向医疗级快速落地，闭环、双向、植入式为核心技术演进方向；</w:t>
      </w:r>
    </w:p>
    <w:p w14:paraId="4FC5A983">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中国市场增速全面领先全球，政策扶持+患者基数庞大+国产技术突围，成为全球神经调控与BCI核心增长极；</w:t>
      </w:r>
    </w:p>
    <w:p w14:paraId="44BF46F1">
      <w:pPr>
        <w:pStyle w:val="125"/>
        <w:rPr>
          <w:rFonts w:ascii="仿宋" w:hAnsi="仿宋" w:eastAsia="仿宋" w:cs="Arial"/>
          <w:sz w:val="28"/>
          <w:szCs w:val="28"/>
          <w:lang w:val="en-US" w:eastAsia="zh-CN" w:bidi="ar-SA"/>
        </w:rPr>
      </w:pPr>
      <w:r>
        <w:rPr>
          <w:rFonts w:hint="eastAsia" w:ascii="仿宋" w:hAnsi="仿宋" w:eastAsia="仿宋" w:cs="Arial"/>
          <w:sz w:val="28"/>
          <w:szCs w:val="28"/>
          <w:lang w:val="en-US" w:eastAsia="zh-CN" w:bidi="ar-SA"/>
        </w:rPr>
        <w:t>佳量脑科学</w:t>
      </w:r>
      <w:r>
        <w:rPr>
          <w:rFonts w:ascii="仿宋" w:hAnsi="仿宋" w:eastAsia="仿宋" w:cs="Arial"/>
          <w:sz w:val="28"/>
          <w:szCs w:val="28"/>
          <w:lang w:val="en-US" w:eastAsia="zh-CN" w:bidi="ar-SA"/>
        </w:rPr>
        <w:t>等本土企业在RNS、LITT、SEEG、EES、闭环DBS多管线布局，技术指标对标甚至超越海外龙头，具备进口替代与出海潜力；</w:t>
      </w:r>
    </w:p>
    <w:p w14:paraId="1BC619D9">
      <w:pPr>
        <w:pStyle w:val="125"/>
        <w:rPr>
          <w:rFonts w:ascii="仿宋" w:hAnsi="仿宋" w:eastAsia="仿宋" w:cs="Arial"/>
          <w:sz w:val="28"/>
          <w:szCs w:val="28"/>
          <w:lang w:val="en-US" w:eastAsia="zh-CN" w:bidi="ar-SA"/>
        </w:rPr>
      </w:pPr>
      <w:r>
        <w:rPr>
          <w:rFonts w:ascii="仿宋" w:hAnsi="仿宋" w:eastAsia="仿宋" w:cs="Arial"/>
          <w:sz w:val="28"/>
          <w:szCs w:val="28"/>
          <w:lang w:val="en-US" w:eastAsia="zh-CN" w:bidi="ar-SA"/>
        </w:rPr>
        <w:t>耐药癫痫、帕金森、脊髓损伤、脑肿瘤四大疾病赛道，带动对应医疗器械长期扩容，闭环神经调控将成为未来5-10年行业核心竞争赛道。</w:t>
      </w:r>
    </w:p>
    <w:p w14:paraId="286F5B1D">
      <w:pPr>
        <w:pStyle w:val="79"/>
        <w:numPr>
          <w:ilvl w:val="0"/>
          <w:numId w:val="7"/>
        </w:numPr>
        <w:ind w:firstLine="0"/>
        <w:rPr>
          <w:color w:val="auto"/>
        </w:rPr>
      </w:pPr>
      <w:bookmarkStart w:id="138" w:name="_Toc1100720315"/>
      <w:r>
        <w:rPr>
          <w:rFonts w:hint="eastAsia"/>
          <w:color w:val="auto"/>
        </w:rPr>
        <w:t>投资</w:t>
      </w:r>
      <w:r>
        <w:rPr>
          <w:color w:val="auto"/>
        </w:rPr>
        <w:t>结论</w:t>
      </w:r>
      <w:bookmarkEnd w:id="138"/>
    </w:p>
    <w:p w14:paraId="68C2F5BA">
      <w:pPr>
        <w:pStyle w:val="86"/>
        <w:numPr>
          <w:ilvl w:val="0"/>
          <w:numId w:val="40"/>
        </w:numPr>
      </w:pPr>
      <w:bookmarkStart w:id="139" w:name="_Toc1382198947"/>
      <w:r>
        <w:rPr>
          <w:rFonts w:hint="eastAsia"/>
          <w:color w:val="auto"/>
          <w:lang w:val="en-US" w:eastAsia="zh-CN"/>
        </w:rPr>
        <w:t>回报分析</w:t>
      </w:r>
      <w:bookmarkEnd w:id="139"/>
    </w:p>
    <w:p w14:paraId="327695EE">
      <w:pPr>
        <w:pStyle w:val="91"/>
        <w:bidi w:val="0"/>
        <w:ind w:left="0" w:leftChars="0" w:firstLine="0" w:firstLineChars="0"/>
        <w:rPr>
          <w:rFonts w:hint="eastAsia"/>
          <w:lang w:val="en-US" w:eastAsia="zh-CN"/>
        </w:rPr>
      </w:pPr>
      <w:r>
        <w:drawing>
          <wp:inline distT="0" distB="0" distL="114300" distR="114300">
            <wp:extent cx="5278120" cy="2217420"/>
            <wp:effectExtent l="0" t="0" r="5080" b="1778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1"/>
                    <a:stretch>
                      <a:fillRect/>
                    </a:stretch>
                  </pic:blipFill>
                  <pic:spPr>
                    <a:xfrm>
                      <a:off x="0" y="0"/>
                      <a:ext cx="5278120" cy="2217420"/>
                    </a:xfrm>
                    <a:prstGeom prst="rect">
                      <a:avLst/>
                    </a:prstGeom>
                    <a:noFill/>
                    <a:ln>
                      <a:noFill/>
                    </a:ln>
                  </pic:spPr>
                </pic:pic>
              </a:graphicData>
            </a:graphic>
          </wp:inline>
        </w:drawing>
      </w:r>
    </w:p>
    <w:p w14:paraId="5B6F9698">
      <w:pPr>
        <w:pStyle w:val="86"/>
        <w:numPr>
          <w:ilvl w:val="0"/>
          <w:numId w:val="40"/>
        </w:numPr>
        <w:rPr>
          <w:rFonts w:hint="eastAsia"/>
          <w:color w:val="auto"/>
        </w:rPr>
      </w:pPr>
      <w:bookmarkStart w:id="140" w:name="_Toc1287092630"/>
      <w:r>
        <w:rPr>
          <w:rFonts w:hint="eastAsia"/>
          <w:color w:val="auto"/>
          <w:lang w:val="en-US" w:eastAsia="zh-CN"/>
        </w:rPr>
        <w:t>投资亮点</w:t>
      </w:r>
      <w:bookmarkEnd w:id="140"/>
    </w:p>
    <w:p w14:paraId="5BA7EFAC">
      <w:pPr>
        <w:pStyle w:val="91"/>
        <w:bidi w:val="0"/>
        <w:ind w:left="0" w:leftChars="0" w:firstLine="0" w:firstLineChars="0"/>
        <w:rPr>
          <w:rFonts w:hint="eastAsia"/>
          <w:color w:val="auto"/>
        </w:rPr>
      </w:pPr>
      <w:r>
        <w:rPr>
          <w:rFonts w:hint="eastAsia"/>
          <w:color w:val="auto"/>
        </w:rPr>
        <w:t>1.赛道红利</w:t>
      </w:r>
    </w:p>
    <w:p w14:paraId="486EA43B">
      <w:pPr>
        <w:pStyle w:val="91"/>
        <w:bidi w:val="0"/>
        <w:ind w:left="0" w:leftChars="0" w:firstLine="0" w:firstLineChars="0"/>
        <w:rPr>
          <w:rFonts w:hint="eastAsia"/>
          <w:color w:val="auto"/>
        </w:rPr>
      </w:pPr>
      <w:r>
        <w:rPr>
          <w:rFonts w:hint="eastAsia"/>
          <w:color w:val="auto"/>
        </w:rPr>
        <w:t>万亿级BCI赛道爆发在即，国家政策大力支持，市场空间广阔</w:t>
      </w:r>
    </w:p>
    <w:p w14:paraId="33DE7196">
      <w:pPr>
        <w:pStyle w:val="91"/>
        <w:bidi w:val="0"/>
        <w:ind w:left="0" w:leftChars="0" w:firstLine="0" w:firstLineChars="0"/>
        <w:rPr>
          <w:rFonts w:hint="eastAsia"/>
          <w:color w:val="auto"/>
        </w:rPr>
      </w:pPr>
      <w:r>
        <w:rPr>
          <w:rFonts w:hint="eastAsia"/>
          <w:color w:val="auto"/>
        </w:rPr>
        <w:t>2.数据壁垒</w:t>
      </w:r>
    </w:p>
    <w:p w14:paraId="54A7D665">
      <w:pPr>
        <w:pStyle w:val="91"/>
        <w:bidi w:val="0"/>
        <w:ind w:left="0" w:leftChars="0" w:firstLine="0" w:firstLineChars="0"/>
        <w:rPr>
          <w:rFonts w:hint="eastAsia"/>
          <w:color w:val="auto"/>
        </w:rPr>
      </w:pPr>
      <w:r>
        <w:rPr>
          <w:rFonts w:hint="eastAsia"/>
          <w:color w:val="auto"/>
        </w:rPr>
        <w:t>国内唯一实现侵入式BCI临床数据闭环，构建不可复制的“数据飞轮”</w:t>
      </w:r>
    </w:p>
    <w:p w14:paraId="2DBD5CD8">
      <w:pPr>
        <w:pStyle w:val="91"/>
        <w:bidi w:val="0"/>
        <w:ind w:left="0" w:leftChars="0" w:firstLine="0" w:firstLineChars="0"/>
        <w:rPr>
          <w:rFonts w:hint="eastAsia"/>
          <w:color w:val="auto"/>
        </w:rPr>
      </w:pPr>
      <w:r>
        <w:rPr>
          <w:rFonts w:hint="eastAsia"/>
          <w:color w:val="auto"/>
        </w:rPr>
        <w:t>3.产品落地</w:t>
      </w:r>
    </w:p>
    <w:p w14:paraId="2442ADD6">
      <w:pPr>
        <w:pStyle w:val="91"/>
        <w:bidi w:val="0"/>
        <w:ind w:left="0" w:leftChars="0" w:firstLine="0" w:firstLineChars="0"/>
        <w:rPr>
          <w:rFonts w:hint="eastAsia"/>
          <w:color w:val="auto"/>
        </w:rPr>
      </w:pPr>
      <w:r>
        <w:rPr>
          <w:rFonts w:hint="eastAsia"/>
          <w:color w:val="auto"/>
        </w:rPr>
        <w:t>核心产品即将取证，商业化路径清晰，短期业绩有明确保障</w:t>
      </w:r>
    </w:p>
    <w:p w14:paraId="5F0BF61D">
      <w:pPr>
        <w:pStyle w:val="91"/>
        <w:bidi w:val="0"/>
        <w:ind w:left="0" w:leftChars="0" w:firstLine="0" w:firstLineChars="0"/>
        <w:rPr>
          <w:rFonts w:hint="eastAsia"/>
          <w:color w:val="auto"/>
        </w:rPr>
      </w:pPr>
      <w:r>
        <w:rPr>
          <w:rFonts w:hint="eastAsia"/>
          <w:color w:val="auto"/>
        </w:rPr>
        <w:t>4.团队优势</w:t>
      </w:r>
    </w:p>
    <w:p w14:paraId="719E3DA0">
      <w:pPr>
        <w:pStyle w:val="91"/>
        <w:bidi w:val="0"/>
        <w:ind w:left="0" w:leftChars="0" w:firstLine="0" w:firstLineChars="0"/>
        <w:rPr>
          <w:rFonts w:hint="eastAsia"/>
          <w:color w:val="auto"/>
        </w:rPr>
      </w:pPr>
      <w:r>
        <w:rPr>
          <w:rFonts w:hint="eastAsia"/>
          <w:color w:val="auto"/>
        </w:rPr>
        <w:t>汇聚技术、临床、产业经验完美融合的顶尖团队，执行力强</w:t>
      </w:r>
    </w:p>
    <w:p w14:paraId="144569EE">
      <w:pPr>
        <w:pStyle w:val="91"/>
        <w:bidi w:val="0"/>
        <w:ind w:left="0" w:leftChars="0" w:firstLine="0" w:firstLineChars="0"/>
        <w:rPr>
          <w:rFonts w:hint="eastAsia"/>
          <w:color w:val="auto"/>
        </w:rPr>
      </w:pPr>
      <w:r>
        <w:rPr>
          <w:rFonts w:hint="eastAsia"/>
          <w:color w:val="auto"/>
        </w:rPr>
        <w:t>5.平台潜力</w:t>
      </w:r>
    </w:p>
    <w:p w14:paraId="26385CD0">
      <w:pPr>
        <w:pStyle w:val="91"/>
        <w:bidi w:val="0"/>
        <w:ind w:left="0" w:leftChars="0" w:firstLine="0" w:firstLineChars="0"/>
        <w:rPr>
          <w:rFonts w:hint="eastAsia"/>
          <w:color w:val="auto"/>
        </w:rPr>
      </w:pPr>
      <w:r>
        <w:rPr>
          <w:rFonts w:hint="eastAsia"/>
          <w:color w:val="auto"/>
        </w:rPr>
        <w:t>BCMod平台化架构，支撑产品快速迭代和未来生态构建</w:t>
      </w:r>
    </w:p>
    <w:p w14:paraId="0D4F67A3">
      <w:pPr>
        <w:pStyle w:val="91"/>
        <w:bidi w:val="0"/>
        <w:ind w:left="0" w:leftChars="0" w:firstLine="0" w:firstLineChars="0"/>
        <w:rPr>
          <w:rFonts w:hint="eastAsia"/>
          <w:color w:val="auto"/>
        </w:rPr>
      </w:pPr>
      <w:r>
        <w:rPr>
          <w:rFonts w:hint="eastAsia"/>
          <w:color w:val="auto"/>
        </w:rPr>
        <w:t>6.退出清晰</w:t>
      </w:r>
    </w:p>
    <w:p w14:paraId="4EE20DC6">
      <w:pPr>
        <w:pStyle w:val="91"/>
        <w:bidi w:val="0"/>
        <w:ind w:left="0" w:leftChars="0" w:firstLine="0" w:firstLineChars="0"/>
        <w:rPr>
          <w:color w:val="auto"/>
        </w:rPr>
      </w:pPr>
      <w:r>
        <w:rPr>
          <w:rFonts w:hint="eastAsia"/>
          <w:color w:val="auto"/>
        </w:rPr>
        <w:t>港股18A上市路径明确，为投资人提供良好的退出预期</w:t>
      </w:r>
    </w:p>
    <w:p w14:paraId="561C77C1">
      <w:pPr>
        <w:pStyle w:val="86"/>
        <w:numPr>
          <w:ilvl w:val="0"/>
          <w:numId w:val="40"/>
        </w:numPr>
        <w:rPr>
          <w:color w:val="auto"/>
        </w:rPr>
      </w:pPr>
      <w:bookmarkStart w:id="141" w:name="_Toc563056179"/>
      <w:r>
        <w:rPr>
          <w:rFonts w:hint="eastAsia"/>
          <w:color w:val="auto"/>
          <w:lang w:val="en-US" w:eastAsia="zh-CN"/>
        </w:rPr>
        <w:t>风险提示与应对措施</w:t>
      </w:r>
      <w:bookmarkEnd w:id="141"/>
    </w:p>
    <w:p w14:paraId="4EF9F43C">
      <w:pPr>
        <w:pStyle w:val="91"/>
        <w:bidi w:val="0"/>
      </w:pPr>
      <w:r>
        <w:drawing>
          <wp:inline distT="0" distB="0" distL="114300" distR="114300">
            <wp:extent cx="5276850" cy="2395855"/>
            <wp:effectExtent l="0" t="0" r="6350" b="1714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2"/>
                    <a:stretch>
                      <a:fillRect/>
                    </a:stretch>
                  </pic:blipFill>
                  <pic:spPr>
                    <a:xfrm>
                      <a:off x="0" y="0"/>
                      <a:ext cx="5276850" cy="2395855"/>
                    </a:xfrm>
                    <a:prstGeom prst="rect">
                      <a:avLst/>
                    </a:prstGeom>
                    <a:noFill/>
                    <a:ln>
                      <a:noFill/>
                    </a:ln>
                  </pic:spPr>
                </pic:pic>
              </a:graphicData>
            </a:graphic>
          </wp:inline>
        </w:drawing>
      </w:r>
    </w:p>
    <w:p w14:paraId="060302D2">
      <w:pPr>
        <w:pStyle w:val="86"/>
        <w:numPr>
          <w:ilvl w:val="0"/>
          <w:numId w:val="40"/>
        </w:numPr>
        <w:rPr>
          <w:color w:val="auto"/>
        </w:rPr>
      </w:pPr>
      <w:bookmarkStart w:id="142" w:name="_Toc1472251771"/>
      <w:r>
        <w:rPr>
          <w:rFonts w:hint="eastAsia"/>
          <w:color w:val="auto"/>
          <w:lang w:val="en-US" w:eastAsia="zh-CN"/>
        </w:rPr>
        <w:t>结论</w:t>
      </w:r>
      <w:bookmarkEnd w:id="142"/>
    </w:p>
    <w:p w14:paraId="3B03D5A2">
      <w:pPr>
        <w:pStyle w:val="91"/>
        <w:ind w:left="0" w:leftChars="0" w:firstLine="560" w:firstLineChars="200"/>
        <w:rPr>
          <w:rFonts w:hint="eastAsia"/>
          <w:color w:val="auto"/>
        </w:rPr>
      </w:pPr>
      <w:r>
        <w:rPr>
          <w:rFonts w:hint="eastAsia"/>
          <w:color w:val="auto"/>
        </w:rPr>
        <w:t>综上，建议跟进。</w:t>
      </w:r>
    </w:p>
    <w:sectPr>
      <w:footerReference r:id="rId6" w:type="default"/>
      <w:pgSz w:w="11906" w:h="16838"/>
      <w:pgMar w:top="1440" w:right="1797" w:bottom="1497" w:left="179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Verdana">
    <w:panose1 w:val="020B0804030504040204"/>
    <w:charset w:val="00"/>
    <w:family w:val="swiss"/>
    <w:pitch w:val="default"/>
    <w:sig w:usb0="A10006FF" w:usb1="4000205B" w:usb2="00000010" w:usb3="00000000" w:csb0="2000019F" w:csb1="0000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0000000" w:usb3="00000000" w:csb0="0000019F" w:csb1="0000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10267">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46C26">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F0855">
    <w:pPr>
      <w:pStyle w:val="17"/>
    </w:pPr>
    <w:r>
      <mc:AlternateContent>
        <mc:Choice Requires="wps">
          <w:drawing>
            <wp:anchor distT="0" distB="0" distL="114300" distR="114300" simplePos="0" relativeHeight="251660288" behindDoc="0" locked="0" layoutInCell="1" allowOverlap="1">
              <wp:simplePos x="0" y="0"/>
              <wp:positionH relativeFrom="margin">
                <wp:posOffset>2584450</wp:posOffset>
              </wp:positionH>
              <wp:positionV relativeFrom="paragraph">
                <wp:posOffset>-1905</wp:posOffset>
              </wp:positionV>
              <wp:extent cx="317500" cy="190500"/>
              <wp:effectExtent l="0" t="0" r="6350" b="0"/>
              <wp:wrapNone/>
              <wp:docPr id="1210333096" name="文本框 1210333096"/>
              <wp:cNvGraphicFramePr/>
              <a:graphic xmlns:a="http://schemas.openxmlformats.org/drawingml/2006/main">
                <a:graphicData uri="http://schemas.microsoft.com/office/word/2010/wordprocessingShape">
                  <wps:wsp>
                    <wps:cNvSpPr txBox="1"/>
                    <wps:spPr>
                      <a:xfrm>
                        <a:off x="0" y="0"/>
                        <a:ext cx="317500"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690E4">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3.5pt;margin-top:-0.15pt;height:15pt;width:25pt;mso-position-horizontal-relative:margin;z-index:251660288;mso-width-relative:page;mso-height-relative:page;" filled="f" stroked="f" coordsize="21600,21600" o:gfxdata="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mhAb7XAAAACAEAAA8AAAAAAAAAAQAgAAAAIgAAAGRycy9kb3du&#10;cmV2LnhtbFBLAQIUABQAAAAIAIdO4kCgqxF5OQIAAGcEAAAOAAAAAAAAAAEAIAAAACYBAABkcnMv&#10;ZTJvRG9jLnhtbFBLBQYAAAAABgAGAFkBAADRBQAAAAA=&#10;">
              <v:fill on="f" focussize="0,0"/>
              <v:stroke on="f" weight="0.5pt"/>
              <v:imagedata o:title=""/>
              <o:lock v:ext="edit" aspectratio="f"/>
              <v:textbox inset="0mm,0mm,0mm,0mm">
                <w:txbxContent>
                  <w:p w14:paraId="5B2690E4">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F3A32">
    <w:pPr>
      <w:spacing w:line="14" w:lineRule="auto"/>
    </w:pPr>
    <w:r>
      <mc:AlternateContent>
        <mc:Choice Requires="wps">
          <w:drawing>
            <wp:anchor distT="0" distB="0" distL="114300" distR="114300" simplePos="0" relativeHeight="251659264" behindDoc="1" locked="0" layoutInCell="1" allowOverlap="1">
              <wp:simplePos x="0" y="0"/>
              <wp:positionH relativeFrom="page">
                <wp:posOffset>1124585</wp:posOffset>
              </wp:positionH>
              <wp:positionV relativeFrom="page">
                <wp:posOffset>696595</wp:posOffset>
              </wp:positionV>
              <wp:extent cx="5313680" cy="0"/>
              <wp:effectExtent l="0" t="0" r="0" b="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53136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88.55pt;margin-top:54.85pt;height:0pt;width:418.4pt;mso-position-horizontal-relative:page;mso-position-vertical-relative:page;z-index:-251657216;mso-width-relative:page;mso-height-relative:page;" filled="f" stroked="t" coordsize="21600,21600" o:gfxdata="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roZItcAAAAM&#10;AQAADwAAAAAAAAABACAAAAAiAAAAZHJzL2Rvd25yZXYueG1sUEsBAhQAFAAAAAgAh07iQLuYzOTk&#10;AQAAqgMAAA4AAAAAAAAAAQAgAAAAJgEAAGRycy9lMm9Eb2MueG1sUEsFBgAAAAAGAAYAWQEAAHwF&#10;AAAAAA==&#10;">
              <v:fill on="f" focussize="0,0"/>
              <v:stroke color="#000000" joinstyle="round"/>
              <v:imagedata o:title=""/>
              <o:lock v:ext="edit" aspectratio="f"/>
            </v:line>
          </w:pict>
        </mc:Fallback>
      </mc:AlternateContent>
    </w:r>
  </w:p>
  <w:p w14:paraId="10E855A0">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63B7D"/>
    <w:multiLevelType w:val="singleLevel"/>
    <w:tmpl w:val="B3F63B7D"/>
    <w:lvl w:ilvl="0" w:tentative="0">
      <w:start w:val="1"/>
      <w:numFmt w:val="decimal"/>
      <w:pStyle w:val="46"/>
      <w:lvlText w:val="%1）"/>
      <w:lvlJc w:val="left"/>
      <w:pPr>
        <w:ind w:left="6197" w:hanging="440"/>
      </w:pPr>
      <w:rPr>
        <w:rFonts w:hint="default"/>
      </w:rPr>
    </w:lvl>
  </w:abstractNum>
  <w:abstractNum w:abstractNumId="1">
    <w:nsid w:val="BFA7204D"/>
    <w:multiLevelType w:val="multilevel"/>
    <w:tmpl w:val="BFA7204D"/>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FDBE51EB"/>
    <w:multiLevelType w:val="singleLevel"/>
    <w:tmpl w:val="FDBE51EB"/>
    <w:lvl w:ilvl="0" w:tentative="0">
      <w:start w:val="1"/>
      <w:numFmt w:val="decimal"/>
      <w:pStyle w:val="122"/>
      <w:suff w:val="space"/>
      <w:lvlText w:val="（%1）"/>
      <w:lvlJc w:val="left"/>
    </w:lvl>
  </w:abstractNum>
  <w:abstractNum w:abstractNumId="3">
    <w:nsid w:val="0076517A"/>
    <w:multiLevelType w:val="multilevel"/>
    <w:tmpl w:val="0076517A"/>
    <w:lvl w:ilvl="0" w:tentative="0">
      <w:start w:val="1"/>
      <w:numFmt w:val="chineseCountingThousand"/>
      <w:suff w:val="space"/>
      <w:lvlText w:val="%1、"/>
      <w:lvlJc w:val="left"/>
      <w:pPr>
        <w:ind w:left="400" w:firstLine="162"/>
      </w:pPr>
      <w:rPr>
        <w:rFonts w:hint="eastAsia"/>
      </w:r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abstractNum w:abstractNumId="4">
    <w:nsid w:val="15DD69F8"/>
    <w:multiLevelType w:val="multilevel"/>
    <w:tmpl w:val="15DD69F8"/>
    <w:lvl w:ilvl="0" w:tentative="0">
      <w:start w:val="1"/>
      <w:numFmt w:val="upperRoman"/>
      <w:pStyle w:val="2"/>
      <w:lvlText w:val="第 %1 条"/>
      <w:lvlJc w:val="left"/>
      <w:pPr>
        <w:tabs>
          <w:tab w:val="left" w:pos="1440"/>
        </w:tabs>
      </w:pPr>
      <w:rPr>
        <w:rFonts w:cs="Times New Roman"/>
      </w:rPr>
    </w:lvl>
    <w:lvl w:ilvl="1" w:tentative="0">
      <w:start w:val="1"/>
      <w:numFmt w:val="decimalZero"/>
      <w:isLgl/>
      <w:lvlText w:val="节 %1.%2"/>
      <w:lvlJc w:val="left"/>
      <w:pPr>
        <w:tabs>
          <w:tab w:val="left" w:pos="720"/>
        </w:tabs>
      </w:pPr>
      <w:rPr>
        <w:rFonts w:cs="Times New Roman"/>
      </w:rPr>
    </w:lvl>
    <w:lvl w:ilvl="2" w:tentative="0">
      <w:start w:val="1"/>
      <w:numFmt w:val="lowerLetter"/>
      <w:lvlText w:val="(%3)"/>
      <w:lvlJc w:val="left"/>
      <w:pPr>
        <w:tabs>
          <w:tab w:val="left" w:pos="720"/>
        </w:tabs>
        <w:ind w:left="720" w:hanging="432"/>
      </w:pPr>
      <w:rPr>
        <w:rFonts w:cs="Times New Roman"/>
      </w:rPr>
    </w:lvl>
    <w:lvl w:ilvl="3" w:tentative="0">
      <w:start w:val="1"/>
      <w:numFmt w:val="lowerRoman"/>
      <w:lvlText w:val="(%4)"/>
      <w:lvlJc w:val="right"/>
      <w:pPr>
        <w:tabs>
          <w:tab w:val="left" w:pos="864"/>
        </w:tabs>
        <w:ind w:left="864" w:hanging="144"/>
      </w:pPr>
      <w:rPr>
        <w:rFonts w:cs="Times New Roman"/>
      </w:rPr>
    </w:lvl>
    <w:lvl w:ilvl="4" w:tentative="0">
      <w:start w:val="1"/>
      <w:numFmt w:val="decimal"/>
      <w:lvlText w:val="%5)"/>
      <w:lvlJc w:val="left"/>
      <w:pPr>
        <w:tabs>
          <w:tab w:val="left" w:pos="1008"/>
        </w:tabs>
        <w:ind w:left="1008" w:hanging="432"/>
      </w:pPr>
      <w:rPr>
        <w:rFonts w:cs="Times New Roman"/>
      </w:rPr>
    </w:lvl>
    <w:lvl w:ilvl="5" w:tentative="0">
      <w:start w:val="1"/>
      <w:numFmt w:val="lowerLetter"/>
      <w:lvlText w:val="%6)"/>
      <w:lvlJc w:val="left"/>
      <w:pPr>
        <w:tabs>
          <w:tab w:val="left" w:pos="1152"/>
        </w:tabs>
        <w:ind w:left="1152" w:hanging="432"/>
      </w:pPr>
      <w:rPr>
        <w:rFonts w:cs="Times New Roman"/>
      </w:rPr>
    </w:lvl>
    <w:lvl w:ilvl="6" w:tentative="0">
      <w:start w:val="1"/>
      <w:numFmt w:val="lowerRoman"/>
      <w:lvlText w:val="%7)"/>
      <w:lvlJc w:val="right"/>
      <w:pPr>
        <w:tabs>
          <w:tab w:val="left" w:pos="1296"/>
        </w:tabs>
        <w:ind w:left="1296" w:hanging="288"/>
      </w:pPr>
      <w:rPr>
        <w:rFonts w:cs="Times New Roman"/>
      </w:rPr>
    </w:lvl>
    <w:lvl w:ilvl="7" w:tentative="0">
      <w:start w:val="1"/>
      <w:numFmt w:val="lowerLetter"/>
      <w:lvlText w:val="%8."/>
      <w:lvlJc w:val="left"/>
      <w:pPr>
        <w:tabs>
          <w:tab w:val="left" w:pos="1440"/>
        </w:tabs>
        <w:ind w:left="1440" w:hanging="432"/>
      </w:pPr>
      <w:rPr>
        <w:rFonts w:cs="Times New Roman"/>
      </w:rPr>
    </w:lvl>
    <w:lvl w:ilvl="8" w:tentative="0">
      <w:start w:val="1"/>
      <w:numFmt w:val="lowerRoman"/>
      <w:lvlText w:val="%9."/>
      <w:lvlJc w:val="right"/>
      <w:pPr>
        <w:tabs>
          <w:tab w:val="left" w:pos="1584"/>
        </w:tabs>
        <w:ind w:left="1584" w:hanging="144"/>
      </w:pPr>
      <w:rPr>
        <w:rFonts w:cs="Times New Roman"/>
      </w:rPr>
    </w:lvl>
  </w:abstractNum>
  <w:abstractNum w:abstractNumId="5">
    <w:nsid w:val="1FB9329A"/>
    <w:multiLevelType w:val="multilevel"/>
    <w:tmpl w:val="1FB9329A"/>
    <w:lvl w:ilvl="0" w:tentative="0">
      <w:start w:val="1"/>
      <w:numFmt w:val="decimal"/>
      <w:pStyle w:val="88"/>
      <w:suff w:val="space"/>
      <w:lvlText w:val="%1."/>
      <w:lvlJc w:val="left"/>
      <w:pPr>
        <w:ind w:left="400" w:firstLine="80"/>
      </w:pPr>
      <w:rPr>
        <w:rFonts w:hint="eastAsia"/>
      </w:rPr>
    </w:lvl>
    <w:lvl w:ilvl="1" w:tentative="0">
      <w:start w:val="1"/>
      <w:numFmt w:val="lowerLetter"/>
      <w:lvlText w:val="%2)"/>
      <w:lvlJc w:val="left"/>
      <w:pPr>
        <w:ind w:left="960" w:firstLine="0"/>
      </w:pPr>
      <w:rPr>
        <w:rFonts w:hint="eastAsia"/>
      </w:rPr>
    </w:lvl>
    <w:lvl w:ilvl="2" w:tentative="0">
      <w:start w:val="1"/>
      <w:numFmt w:val="lowerRoman"/>
      <w:lvlText w:val="%3."/>
      <w:lvlJc w:val="right"/>
      <w:pPr>
        <w:ind w:left="1440" w:firstLine="0"/>
      </w:pPr>
      <w:rPr>
        <w:rFonts w:hint="eastAsia"/>
      </w:rPr>
    </w:lvl>
    <w:lvl w:ilvl="3" w:tentative="0">
      <w:start w:val="1"/>
      <w:numFmt w:val="decimal"/>
      <w:lvlText w:val="%4."/>
      <w:lvlJc w:val="left"/>
      <w:pPr>
        <w:ind w:left="1920" w:firstLine="0"/>
      </w:pPr>
      <w:rPr>
        <w:rFonts w:hint="eastAsia"/>
      </w:rPr>
    </w:lvl>
    <w:lvl w:ilvl="4" w:tentative="0">
      <w:start w:val="1"/>
      <w:numFmt w:val="lowerLetter"/>
      <w:lvlText w:val="%5)"/>
      <w:lvlJc w:val="left"/>
      <w:pPr>
        <w:ind w:left="2400" w:firstLine="0"/>
      </w:pPr>
      <w:rPr>
        <w:rFonts w:hint="eastAsia"/>
      </w:rPr>
    </w:lvl>
    <w:lvl w:ilvl="5" w:tentative="0">
      <w:start w:val="1"/>
      <w:numFmt w:val="lowerRoman"/>
      <w:lvlText w:val="%6."/>
      <w:lvlJc w:val="right"/>
      <w:pPr>
        <w:ind w:left="2880" w:firstLine="0"/>
      </w:pPr>
      <w:rPr>
        <w:rFonts w:hint="eastAsia"/>
      </w:rPr>
    </w:lvl>
    <w:lvl w:ilvl="6" w:tentative="0">
      <w:start w:val="1"/>
      <w:numFmt w:val="decimal"/>
      <w:lvlText w:val="%7."/>
      <w:lvlJc w:val="left"/>
      <w:pPr>
        <w:ind w:left="3360" w:firstLine="0"/>
      </w:pPr>
      <w:rPr>
        <w:rFonts w:hint="eastAsia"/>
      </w:rPr>
    </w:lvl>
    <w:lvl w:ilvl="7" w:tentative="0">
      <w:start w:val="1"/>
      <w:numFmt w:val="lowerLetter"/>
      <w:lvlText w:val="%8)"/>
      <w:lvlJc w:val="left"/>
      <w:pPr>
        <w:ind w:left="3840" w:firstLine="0"/>
      </w:pPr>
      <w:rPr>
        <w:rFonts w:hint="eastAsia"/>
      </w:rPr>
    </w:lvl>
    <w:lvl w:ilvl="8" w:tentative="0">
      <w:start w:val="1"/>
      <w:numFmt w:val="lowerRoman"/>
      <w:lvlText w:val="%9."/>
      <w:lvlJc w:val="right"/>
      <w:pPr>
        <w:ind w:left="4320" w:firstLine="0"/>
      </w:pPr>
      <w:rPr>
        <w:rFonts w:hint="eastAsia"/>
      </w:rPr>
    </w:lvl>
  </w:abstractNum>
  <w:abstractNum w:abstractNumId="6">
    <w:nsid w:val="48EC3C02"/>
    <w:multiLevelType w:val="multilevel"/>
    <w:tmpl w:val="48EC3C0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DF5023A"/>
    <w:multiLevelType w:val="multilevel"/>
    <w:tmpl w:val="4DF5023A"/>
    <w:lvl w:ilvl="0" w:tentative="0">
      <w:start w:val="1"/>
      <w:numFmt w:val="chineseCountingThousand"/>
      <w:pStyle w:val="79"/>
      <w:suff w:val="space"/>
      <w:lvlText w:val="%1、"/>
      <w:lvlJc w:val="left"/>
      <w:pPr>
        <w:ind w:left="400" w:firstLine="162"/>
      </w:pPr>
      <w:rPr>
        <w:rFonts w:hint="eastAsia"/>
      </w:r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abstractNum w:abstractNumId="8">
    <w:nsid w:val="53EF41BF"/>
    <w:multiLevelType w:val="multilevel"/>
    <w:tmpl w:val="53EF41BF"/>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9">
    <w:nsid w:val="72770C3D"/>
    <w:multiLevelType w:val="multilevel"/>
    <w:tmpl w:val="72770C3D"/>
    <w:lvl w:ilvl="0" w:tentative="0">
      <w:start w:val="1"/>
      <w:numFmt w:val="chineseCountingThousand"/>
      <w:pStyle w:val="86"/>
      <w:suff w:val="space"/>
      <w:lvlText w:val="(%1)"/>
      <w:lvlJc w:val="left"/>
      <w:pPr>
        <w:ind w:left="400" w:firstLine="160"/>
      </w:pPr>
      <w:rPr>
        <w:rFonts w:hint="eastAsia"/>
        <w:color w:val="000000" w:themeColor="text1"/>
        <w:lang w:eastAsia="zh-CN"/>
        <w14:textFill>
          <w14:solidFill>
            <w14:schemeClr w14:val="tx1"/>
          </w14:solidFill>
        </w14:textFill>
      </w:rPr>
    </w:lvl>
    <w:lvl w:ilvl="1" w:tentative="0">
      <w:start w:val="1"/>
      <w:numFmt w:val="decimalEnclosedCircle"/>
      <w:lvlText w:val="%2"/>
      <w:lvlJc w:val="left"/>
      <w:pPr>
        <w:ind w:left="1360" w:hanging="36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4"/>
  </w:num>
  <w:num w:numId="2">
    <w:abstractNumId w:val="0"/>
  </w:num>
  <w:num w:numId="3">
    <w:abstractNumId w:val="7"/>
  </w:num>
  <w:num w:numId="4">
    <w:abstractNumId w:val="9"/>
  </w:num>
  <w:num w:numId="5">
    <w:abstractNumId w:val="5"/>
  </w:num>
  <w:num w:numId="6">
    <w:abstractNumId w:val="2"/>
  </w:num>
  <w:num w:numId="7">
    <w:abstractNumId w:val="3"/>
  </w:num>
  <w:num w:numId="8">
    <w:abstractNumId w:val="9"/>
    <w:lvlOverride w:ilvl="0">
      <w:startOverride w:val="1"/>
    </w:lvlOverride>
  </w:num>
  <w:num w:numId="9">
    <w:abstractNumId w:val="6"/>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2"/>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2"/>
    <w:lvlOverride w:ilvl="0">
      <w:startOverride w:val="1"/>
    </w:lvlOverride>
  </w:num>
  <w:num w:numId="20">
    <w:abstractNumId w:val="1"/>
    <w:lvlOverride w:ilvl="0">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2"/>
    <w:lvlOverride w:ilvl="0">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num>
  <w:num w:numId="32">
    <w:abstractNumId w:val="2"/>
    <w:lvlOverride w:ilvl="0">
      <w:startOverride w:val="1"/>
    </w:lvlOverride>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num>
  <w:num w:numId="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hideSpellingErrors/>
  <w:hideGrammaticalErrors/>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yNzQ1MzRkZDQ4MDQ0ZDg5NmZiOGNmYjMzMjM3ZjQifQ=="/>
  </w:docVars>
  <w:rsids>
    <w:rsidRoot w:val="00172A27"/>
    <w:rsid w:val="00003EF9"/>
    <w:rsid w:val="00005073"/>
    <w:rsid w:val="00013ABF"/>
    <w:rsid w:val="00015D2A"/>
    <w:rsid w:val="00017E74"/>
    <w:rsid w:val="00020983"/>
    <w:rsid w:val="00025132"/>
    <w:rsid w:val="0002573B"/>
    <w:rsid w:val="000274E8"/>
    <w:rsid w:val="00027DF3"/>
    <w:rsid w:val="00032256"/>
    <w:rsid w:val="00033EE3"/>
    <w:rsid w:val="00036430"/>
    <w:rsid w:val="00036AA3"/>
    <w:rsid w:val="000409CD"/>
    <w:rsid w:val="00040D57"/>
    <w:rsid w:val="0004100D"/>
    <w:rsid w:val="000424B7"/>
    <w:rsid w:val="00042567"/>
    <w:rsid w:val="00047DB6"/>
    <w:rsid w:val="000506A1"/>
    <w:rsid w:val="000507C5"/>
    <w:rsid w:val="00050D0E"/>
    <w:rsid w:val="00050DAB"/>
    <w:rsid w:val="00052F7B"/>
    <w:rsid w:val="00064041"/>
    <w:rsid w:val="00064A4A"/>
    <w:rsid w:val="00067A98"/>
    <w:rsid w:val="00072FEA"/>
    <w:rsid w:val="00084E38"/>
    <w:rsid w:val="0009306D"/>
    <w:rsid w:val="0009323F"/>
    <w:rsid w:val="000937A9"/>
    <w:rsid w:val="000949C6"/>
    <w:rsid w:val="000A061E"/>
    <w:rsid w:val="000A1CFD"/>
    <w:rsid w:val="000A2DD6"/>
    <w:rsid w:val="000A4B82"/>
    <w:rsid w:val="000A4D27"/>
    <w:rsid w:val="000A7872"/>
    <w:rsid w:val="000B169F"/>
    <w:rsid w:val="000B6A8B"/>
    <w:rsid w:val="000B732E"/>
    <w:rsid w:val="000B7642"/>
    <w:rsid w:val="000C0518"/>
    <w:rsid w:val="000C178C"/>
    <w:rsid w:val="000C5558"/>
    <w:rsid w:val="000C6BB6"/>
    <w:rsid w:val="000D05D4"/>
    <w:rsid w:val="000D331D"/>
    <w:rsid w:val="000D73A1"/>
    <w:rsid w:val="000E1DEE"/>
    <w:rsid w:val="000F0031"/>
    <w:rsid w:val="000F3486"/>
    <w:rsid w:val="000F35A5"/>
    <w:rsid w:val="000F41FB"/>
    <w:rsid w:val="000F4C65"/>
    <w:rsid w:val="000F57BB"/>
    <w:rsid w:val="000F67DF"/>
    <w:rsid w:val="00100869"/>
    <w:rsid w:val="00103542"/>
    <w:rsid w:val="001065CB"/>
    <w:rsid w:val="00120486"/>
    <w:rsid w:val="0012647A"/>
    <w:rsid w:val="00127454"/>
    <w:rsid w:val="00136124"/>
    <w:rsid w:val="0014016C"/>
    <w:rsid w:val="00143CE8"/>
    <w:rsid w:val="00145EEC"/>
    <w:rsid w:val="00154321"/>
    <w:rsid w:val="001601D0"/>
    <w:rsid w:val="00161C3F"/>
    <w:rsid w:val="00164572"/>
    <w:rsid w:val="00165918"/>
    <w:rsid w:val="0017227B"/>
    <w:rsid w:val="001723E7"/>
    <w:rsid w:val="00172A27"/>
    <w:rsid w:val="00175805"/>
    <w:rsid w:val="001772EC"/>
    <w:rsid w:val="00177F44"/>
    <w:rsid w:val="00180F1B"/>
    <w:rsid w:val="001813B1"/>
    <w:rsid w:val="0018632B"/>
    <w:rsid w:val="001901FF"/>
    <w:rsid w:val="00192A5C"/>
    <w:rsid w:val="00195A60"/>
    <w:rsid w:val="001A16E5"/>
    <w:rsid w:val="001A18BB"/>
    <w:rsid w:val="001A5122"/>
    <w:rsid w:val="001A67A0"/>
    <w:rsid w:val="001A6D46"/>
    <w:rsid w:val="001B2972"/>
    <w:rsid w:val="001B5755"/>
    <w:rsid w:val="001C373C"/>
    <w:rsid w:val="001D274D"/>
    <w:rsid w:val="001D458E"/>
    <w:rsid w:val="001D58A7"/>
    <w:rsid w:val="001E28AC"/>
    <w:rsid w:val="001E3279"/>
    <w:rsid w:val="001E3D01"/>
    <w:rsid w:val="001F0094"/>
    <w:rsid w:val="001F149C"/>
    <w:rsid w:val="001F1B22"/>
    <w:rsid w:val="001F34DB"/>
    <w:rsid w:val="001F49C1"/>
    <w:rsid w:val="001F4B59"/>
    <w:rsid w:val="00202E27"/>
    <w:rsid w:val="0020476D"/>
    <w:rsid w:val="00207702"/>
    <w:rsid w:val="0021267D"/>
    <w:rsid w:val="0021391C"/>
    <w:rsid w:val="00216627"/>
    <w:rsid w:val="002173EA"/>
    <w:rsid w:val="00221CEB"/>
    <w:rsid w:val="00226414"/>
    <w:rsid w:val="00226C4A"/>
    <w:rsid w:val="00231691"/>
    <w:rsid w:val="0023536E"/>
    <w:rsid w:val="002403AD"/>
    <w:rsid w:val="00246CAB"/>
    <w:rsid w:val="00252CED"/>
    <w:rsid w:val="00252D8C"/>
    <w:rsid w:val="0025611F"/>
    <w:rsid w:val="00260DEF"/>
    <w:rsid w:val="002613DA"/>
    <w:rsid w:val="0026159A"/>
    <w:rsid w:val="00261BA6"/>
    <w:rsid w:val="00262909"/>
    <w:rsid w:val="00263E4A"/>
    <w:rsid w:val="002641FC"/>
    <w:rsid w:val="0026429F"/>
    <w:rsid w:val="00266278"/>
    <w:rsid w:val="00272EF7"/>
    <w:rsid w:val="002733F5"/>
    <w:rsid w:val="00282AA3"/>
    <w:rsid w:val="002843F7"/>
    <w:rsid w:val="00292273"/>
    <w:rsid w:val="00295F40"/>
    <w:rsid w:val="002B59BE"/>
    <w:rsid w:val="002B6056"/>
    <w:rsid w:val="002B6ED4"/>
    <w:rsid w:val="002C0ACE"/>
    <w:rsid w:val="002C1D09"/>
    <w:rsid w:val="002C6D49"/>
    <w:rsid w:val="002C7809"/>
    <w:rsid w:val="002D0B95"/>
    <w:rsid w:val="002D13CC"/>
    <w:rsid w:val="002D1611"/>
    <w:rsid w:val="002D2258"/>
    <w:rsid w:val="002D55BE"/>
    <w:rsid w:val="002D72B0"/>
    <w:rsid w:val="002E23A8"/>
    <w:rsid w:val="002E2467"/>
    <w:rsid w:val="002E603F"/>
    <w:rsid w:val="002F325E"/>
    <w:rsid w:val="002F50A6"/>
    <w:rsid w:val="002F767A"/>
    <w:rsid w:val="003022CA"/>
    <w:rsid w:val="00303CB3"/>
    <w:rsid w:val="00306CA0"/>
    <w:rsid w:val="003102C4"/>
    <w:rsid w:val="00312EB7"/>
    <w:rsid w:val="0031570A"/>
    <w:rsid w:val="00317DD5"/>
    <w:rsid w:val="00325FC7"/>
    <w:rsid w:val="00326BD0"/>
    <w:rsid w:val="00331E0B"/>
    <w:rsid w:val="00333939"/>
    <w:rsid w:val="00335E70"/>
    <w:rsid w:val="0033699A"/>
    <w:rsid w:val="00337845"/>
    <w:rsid w:val="00343C75"/>
    <w:rsid w:val="0034525F"/>
    <w:rsid w:val="00346AA6"/>
    <w:rsid w:val="00347511"/>
    <w:rsid w:val="003478D7"/>
    <w:rsid w:val="00350C8D"/>
    <w:rsid w:val="003540BB"/>
    <w:rsid w:val="00356CC1"/>
    <w:rsid w:val="00362EFC"/>
    <w:rsid w:val="003638CC"/>
    <w:rsid w:val="00366B86"/>
    <w:rsid w:val="0037146B"/>
    <w:rsid w:val="0037283B"/>
    <w:rsid w:val="00373372"/>
    <w:rsid w:val="0037589D"/>
    <w:rsid w:val="003773BA"/>
    <w:rsid w:val="00381CC7"/>
    <w:rsid w:val="00390FF5"/>
    <w:rsid w:val="00392EFC"/>
    <w:rsid w:val="00394B59"/>
    <w:rsid w:val="00394EE3"/>
    <w:rsid w:val="00397412"/>
    <w:rsid w:val="003A03CB"/>
    <w:rsid w:val="003A0F61"/>
    <w:rsid w:val="003A32BE"/>
    <w:rsid w:val="003A43A3"/>
    <w:rsid w:val="003B0351"/>
    <w:rsid w:val="003B06CE"/>
    <w:rsid w:val="003B33F6"/>
    <w:rsid w:val="003B4DBF"/>
    <w:rsid w:val="003B6695"/>
    <w:rsid w:val="003C2526"/>
    <w:rsid w:val="003C29A2"/>
    <w:rsid w:val="003C3AA7"/>
    <w:rsid w:val="003C5CFB"/>
    <w:rsid w:val="003C6FA1"/>
    <w:rsid w:val="003D2124"/>
    <w:rsid w:val="003D3672"/>
    <w:rsid w:val="003D6906"/>
    <w:rsid w:val="003D70B6"/>
    <w:rsid w:val="003E2B4C"/>
    <w:rsid w:val="003E7091"/>
    <w:rsid w:val="003F207F"/>
    <w:rsid w:val="003F6F1D"/>
    <w:rsid w:val="004034D1"/>
    <w:rsid w:val="004045DC"/>
    <w:rsid w:val="004047C9"/>
    <w:rsid w:val="004061A0"/>
    <w:rsid w:val="004068B5"/>
    <w:rsid w:val="00412125"/>
    <w:rsid w:val="004129E5"/>
    <w:rsid w:val="00412DAC"/>
    <w:rsid w:val="00414E36"/>
    <w:rsid w:val="004178A5"/>
    <w:rsid w:val="004245AB"/>
    <w:rsid w:val="00424F68"/>
    <w:rsid w:val="00426AA7"/>
    <w:rsid w:val="00430C64"/>
    <w:rsid w:val="00431B9E"/>
    <w:rsid w:val="0043295A"/>
    <w:rsid w:val="00433651"/>
    <w:rsid w:val="00435A07"/>
    <w:rsid w:val="004402BF"/>
    <w:rsid w:val="004420E1"/>
    <w:rsid w:val="004433D5"/>
    <w:rsid w:val="004433DA"/>
    <w:rsid w:val="00451EFB"/>
    <w:rsid w:val="00452349"/>
    <w:rsid w:val="00452869"/>
    <w:rsid w:val="004533A5"/>
    <w:rsid w:val="0045561A"/>
    <w:rsid w:val="00456985"/>
    <w:rsid w:val="0046199D"/>
    <w:rsid w:val="00467AD5"/>
    <w:rsid w:val="00473405"/>
    <w:rsid w:val="00477061"/>
    <w:rsid w:val="0048410A"/>
    <w:rsid w:val="00493133"/>
    <w:rsid w:val="00493E9E"/>
    <w:rsid w:val="004968D6"/>
    <w:rsid w:val="004971B8"/>
    <w:rsid w:val="004A0A2E"/>
    <w:rsid w:val="004A108D"/>
    <w:rsid w:val="004A4A8E"/>
    <w:rsid w:val="004B39AD"/>
    <w:rsid w:val="004B4E5F"/>
    <w:rsid w:val="004B5E05"/>
    <w:rsid w:val="004C00E1"/>
    <w:rsid w:val="004C2086"/>
    <w:rsid w:val="004C44BB"/>
    <w:rsid w:val="004C5963"/>
    <w:rsid w:val="004D0A38"/>
    <w:rsid w:val="004D2F05"/>
    <w:rsid w:val="004D3FED"/>
    <w:rsid w:val="004D6A10"/>
    <w:rsid w:val="004D7087"/>
    <w:rsid w:val="004E1218"/>
    <w:rsid w:val="004E175E"/>
    <w:rsid w:val="004E400F"/>
    <w:rsid w:val="004E482D"/>
    <w:rsid w:val="004E5FA7"/>
    <w:rsid w:val="004E6F0C"/>
    <w:rsid w:val="004F20F1"/>
    <w:rsid w:val="00500B47"/>
    <w:rsid w:val="00500B52"/>
    <w:rsid w:val="00505CF1"/>
    <w:rsid w:val="005065DA"/>
    <w:rsid w:val="0050688A"/>
    <w:rsid w:val="00506C16"/>
    <w:rsid w:val="00511679"/>
    <w:rsid w:val="00516131"/>
    <w:rsid w:val="005201EF"/>
    <w:rsid w:val="00525AFB"/>
    <w:rsid w:val="0052643F"/>
    <w:rsid w:val="005313B6"/>
    <w:rsid w:val="00533CFB"/>
    <w:rsid w:val="00535096"/>
    <w:rsid w:val="00535D91"/>
    <w:rsid w:val="00535FA4"/>
    <w:rsid w:val="00541578"/>
    <w:rsid w:val="0054249F"/>
    <w:rsid w:val="005450AA"/>
    <w:rsid w:val="00546354"/>
    <w:rsid w:val="005469F6"/>
    <w:rsid w:val="00553411"/>
    <w:rsid w:val="005560BF"/>
    <w:rsid w:val="00560061"/>
    <w:rsid w:val="005614EF"/>
    <w:rsid w:val="005737C6"/>
    <w:rsid w:val="00573DE1"/>
    <w:rsid w:val="00574B66"/>
    <w:rsid w:val="00580A35"/>
    <w:rsid w:val="00581865"/>
    <w:rsid w:val="00583FBA"/>
    <w:rsid w:val="0058555B"/>
    <w:rsid w:val="00592FD1"/>
    <w:rsid w:val="00594E77"/>
    <w:rsid w:val="005A069B"/>
    <w:rsid w:val="005A2C92"/>
    <w:rsid w:val="005A59A0"/>
    <w:rsid w:val="005B0764"/>
    <w:rsid w:val="005B20E3"/>
    <w:rsid w:val="005B23D2"/>
    <w:rsid w:val="005B7409"/>
    <w:rsid w:val="005C1344"/>
    <w:rsid w:val="005C2B60"/>
    <w:rsid w:val="005C615B"/>
    <w:rsid w:val="005D0B60"/>
    <w:rsid w:val="005D18C2"/>
    <w:rsid w:val="005D2EB9"/>
    <w:rsid w:val="005E5D19"/>
    <w:rsid w:val="005F20DF"/>
    <w:rsid w:val="005F262A"/>
    <w:rsid w:val="005F2B7A"/>
    <w:rsid w:val="005F4DC0"/>
    <w:rsid w:val="0060487C"/>
    <w:rsid w:val="00604A43"/>
    <w:rsid w:val="00612DA8"/>
    <w:rsid w:val="00616B9C"/>
    <w:rsid w:val="00616C32"/>
    <w:rsid w:val="006201B6"/>
    <w:rsid w:val="00620A5F"/>
    <w:rsid w:val="006212D4"/>
    <w:rsid w:val="00621523"/>
    <w:rsid w:val="006227AF"/>
    <w:rsid w:val="00627162"/>
    <w:rsid w:val="006279B3"/>
    <w:rsid w:val="00631F89"/>
    <w:rsid w:val="0063214D"/>
    <w:rsid w:val="0063373E"/>
    <w:rsid w:val="006363CF"/>
    <w:rsid w:val="00637615"/>
    <w:rsid w:val="00643586"/>
    <w:rsid w:val="0064713A"/>
    <w:rsid w:val="00665780"/>
    <w:rsid w:val="0067604B"/>
    <w:rsid w:val="00677FB9"/>
    <w:rsid w:val="00681B30"/>
    <w:rsid w:val="00682D15"/>
    <w:rsid w:val="006851DD"/>
    <w:rsid w:val="00685D4B"/>
    <w:rsid w:val="00693778"/>
    <w:rsid w:val="006A057F"/>
    <w:rsid w:val="006A1EAD"/>
    <w:rsid w:val="006A3A4F"/>
    <w:rsid w:val="006A5E4A"/>
    <w:rsid w:val="006B5E3C"/>
    <w:rsid w:val="006B6E20"/>
    <w:rsid w:val="006B722C"/>
    <w:rsid w:val="006C4A5E"/>
    <w:rsid w:val="006C6D0B"/>
    <w:rsid w:val="006D1B59"/>
    <w:rsid w:val="006D2CB7"/>
    <w:rsid w:val="006D4BF6"/>
    <w:rsid w:val="006D65CD"/>
    <w:rsid w:val="006E046A"/>
    <w:rsid w:val="006E1DF0"/>
    <w:rsid w:val="006E2940"/>
    <w:rsid w:val="006E3ADD"/>
    <w:rsid w:val="006E47E0"/>
    <w:rsid w:val="006F162A"/>
    <w:rsid w:val="006F33B3"/>
    <w:rsid w:val="006F354F"/>
    <w:rsid w:val="006F5212"/>
    <w:rsid w:val="006F6F29"/>
    <w:rsid w:val="006F7200"/>
    <w:rsid w:val="006F7542"/>
    <w:rsid w:val="007002B1"/>
    <w:rsid w:val="007002E9"/>
    <w:rsid w:val="00701ADF"/>
    <w:rsid w:val="007045BD"/>
    <w:rsid w:val="00707F90"/>
    <w:rsid w:val="00710615"/>
    <w:rsid w:val="007137BB"/>
    <w:rsid w:val="00721F8A"/>
    <w:rsid w:val="007222BF"/>
    <w:rsid w:val="0072253D"/>
    <w:rsid w:val="00722605"/>
    <w:rsid w:val="00723EDD"/>
    <w:rsid w:val="00724A4A"/>
    <w:rsid w:val="00731CCB"/>
    <w:rsid w:val="00733F4E"/>
    <w:rsid w:val="007363D6"/>
    <w:rsid w:val="00737587"/>
    <w:rsid w:val="00740BE0"/>
    <w:rsid w:val="00742EE9"/>
    <w:rsid w:val="007433F4"/>
    <w:rsid w:val="00743C49"/>
    <w:rsid w:val="00753A87"/>
    <w:rsid w:val="00753FA5"/>
    <w:rsid w:val="0075655D"/>
    <w:rsid w:val="00764C52"/>
    <w:rsid w:val="00770713"/>
    <w:rsid w:val="007762D2"/>
    <w:rsid w:val="00776479"/>
    <w:rsid w:val="007826EF"/>
    <w:rsid w:val="0078684E"/>
    <w:rsid w:val="00787290"/>
    <w:rsid w:val="007874FF"/>
    <w:rsid w:val="00793CAB"/>
    <w:rsid w:val="007943C9"/>
    <w:rsid w:val="00794590"/>
    <w:rsid w:val="007956C7"/>
    <w:rsid w:val="00796BF8"/>
    <w:rsid w:val="007A47F0"/>
    <w:rsid w:val="007A4805"/>
    <w:rsid w:val="007A7387"/>
    <w:rsid w:val="007A7959"/>
    <w:rsid w:val="007B0D3A"/>
    <w:rsid w:val="007B3B1C"/>
    <w:rsid w:val="007B4122"/>
    <w:rsid w:val="007C0A65"/>
    <w:rsid w:val="007C2906"/>
    <w:rsid w:val="007C678D"/>
    <w:rsid w:val="007D0618"/>
    <w:rsid w:val="007D0CA7"/>
    <w:rsid w:val="007D49DA"/>
    <w:rsid w:val="007E1AB6"/>
    <w:rsid w:val="007E26D4"/>
    <w:rsid w:val="007E5950"/>
    <w:rsid w:val="007E6456"/>
    <w:rsid w:val="00800168"/>
    <w:rsid w:val="008030ED"/>
    <w:rsid w:val="00810B67"/>
    <w:rsid w:val="00814841"/>
    <w:rsid w:val="00824950"/>
    <w:rsid w:val="00825B8C"/>
    <w:rsid w:val="00825D6B"/>
    <w:rsid w:val="00831D56"/>
    <w:rsid w:val="00834658"/>
    <w:rsid w:val="0083735A"/>
    <w:rsid w:val="00843962"/>
    <w:rsid w:val="00843EC1"/>
    <w:rsid w:val="00853290"/>
    <w:rsid w:val="008543BC"/>
    <w:rsid w:val="008548E6"/>
    <w:rsid w:val="00860593"/>
    <w:rsid w:val="00863BCF"/>
    <w:rsid w:val="00864B56"/>
    <w:rsid w:val="00867181"/>
    <w:rsid w:val="008712D5"/>
    <w:rsid w:val="0088021E"/>
    <w:rsid w:val="0088391D"/>
    <w:rsid w:val="00883EEF"/>
    <w:rsid w:val="00885856"/>
    <w:rsid w:val="00885FD0"/>
    <w:rsid w:val="00892990"/>
    <w:rsid w:val="00893364"/>
    <w:rsid w:val="0089385E"/>
    <w:rsid w:val="008963B9"/>
    <w:rsid w:val="00897421"/>
    <w:rsid w:val="00897BB5"/>
    <w:rsid w:val="008A0566"/>
    <w:rsid w:val="008A4042"/>
    <w:rsid w:val="008A4AAB"/>
    <w:rsid w:val="008A5E6C"/>
    <w:rsid w:val="008A7C06"/>
    <w:rsid w:val="008B01D3"/>
    <w:rsid w:val="008B062F"/>
    <w:rsid w:val="008B0F51"/>
    <w:rsid w:val="008B4960"/>
    <w:rsid w:val="008B4CF3"/>
    <w:rsid w:val="008B66A8"/>
    <w:rsid w:val="008B680C"/>
    <w:rsid w:val="008C2E09"/>
    <w:rsid w:val="008C4ADF"/>
    <w:rsid w:val="008E12CB"/>
    <w:rsid w:val="008E2D2E"/>
    <w:rsid w:val="008E3424"/>
    <w:rsid w:val="008E599B"/>
    <w:rsid w:val="008E7920"/>
    <w:rsid w:val="008F0A17"/>
    <w:rsid w:val="008F0F46"/>
    <w:rsid w:val="008F2FC4"/>
    <w:rsid w:val="008F38A3"/>
    <w:rsid w:val="008F5620"/>
    <w:rsid w:val="008F5B97"/>
    <w:rsid w:val="008F6565"/>
    <w:rsid w:val="008F719C"/>
    <w:rsid w:val="00901334"/>
    <w:rsid w:val="00902C85"/>
    <w:rsid w:val="00902D09"/>
    <w:rsid w:val="00910CF2"/>
    <w:rsid w:val="00913099"/>
    <w:rsid w:val="00917CCD"/>
    <w:rsid w:val="00920037"/>
    <w:rsid w:val="00920A71"/>
    <w:rsid w:val="009246C8"/>
    <w:rsid w:val="00924F16"/>
    <w:rsid w:val="00932692"/>
    <w:rsid w:val="009372A6"/>
    <w:rsid w:val="00941359"/>
    <w:rsid w:val="0094554C"/>
    <w:rsid w:val="009475CF"/>
    <w:rsid w:val="00954839"/>
    <w:rsid w:val="00960A05"/>
    <w:rsid w:val="00963A2A"/>
    <w:rsid w:val="00964A50"/>
    <w:rsid w:val="00972106"/>
    <w:rsid w:val="0097304C"/>
    <w:rsid w:val="0097758B"/>
    <w:rsid w:val="00980F2E"/>
    <w:rsid w:val="00983822"/>
    <w:rsid w:val="0098398C"/>
    <w:rsid w:val="009872F0"/>
    <w:rsid w:val="00991336"/>
    <w:rsid w:val="00993139"/>
    <w:rsid w:val="009A0B44"/>
    <w:rsid w:val="009A3BE7"/>
    <w:rsid w:val="009A71C5"/>
    <w:rsid w:val="009A7353"/>
    <w:rsid w:val="009B47AC"/>
    <w:rsid w:val="009B7B8D"/>
    <w:rsid w:val="009C3390"/>
    <w:rsid w:val="009C39EE"/>
    <w:rsid w:val="009C73CA"/>
    <w:rsid w:val="009D5FF6"/>
    <w:rsid w:val="009D6E26"/>
    <w:rsid w:val="009D710A"/>
    <w:rsid w:val="009D7258"/>
    <w:rsid w:val="009D7525"/>
    <w:rsid w:val="009E06AC"/>
    <w:rsid w:val="009E0C23"/>
    <w:rsid w:val="009E28C6"/>
    <w:rsid w:val="009E745E"/>
    <w:rsid w:val="009F120A"/>
    <w:rsid w:val="009F1F7B"/>
    <w:rsid w:val="009F6E04"/>
    <w:rsid w:val="00A02A94"/>
    <w:rsid w:val="00A0310A"/>
    <w:rsid w:val="00A043D3"/>
    <w:rsid w:val="00A052A5"/>
    <w:rsid w:val="00A05605"/>
    <w:rsid w:val="00A06572"/>
    <w:rsid w:val="00A107F2"/>
    <w:rsid w:val="00A109EA"/>
    <w:rsid w:val="00A1199D"/>
    <w:rsid w:val="00A13D68"/>
    <w:rsid w:val="00A1531E"/>
    <w:rsid w:val="00A22132"/>
    <w:rsid w:val="00A26FA5"/>
    <w:rsid w:val="00A27C99"/>
    <w:rsid w:val="00A338E5"/>
    <w:rsid w:val="00A347DD"/>
    <w:rsid w:val="00A37D6A"/>
    <w:rsid w:val="00A4438B"/>
    <w:rsid w:val="00A470F5"/>
    <w:rsid w:val="00A510E2"/>
    <w:rsid w:val="00A528A7"/>
    <w:rsid w:val="00A558B3"/>
    <w:rsid w:val="00A6011D"/>
    <w:rsid w:val="00A612AE"/>
    <w:rsid w:val="00A6144F"/>
    <w:rsid w:val="00A67758"/>
    <w:rsid w:val="00A67C01"/>
    <w:rsid w:val="00A67D07"/>
    <w:rsid w:val="00A73B33"/>
    <w:rsid w:val="00A743D7"/>
    <w:rsid w:val="00A762E6"/>
    <w:rsid w:val="00A77CCA"/>
    <w:rsid w:val="00A83C4A"/>
    <w:rsid w:val="00A84774"/>
    <w:rsid w:val="00A93D37"/>
    <w:rsid w:val="00A9533A"/>
    <w:rsid w:val="00A97C89"/>
    <w:rsid w:val="00AA09FD"/>
    <w:rsid w:val="00AA2C2F"/>
    <w:rsid w:val="00AA479F"/>
    <w:rsid w:val="00AA6478"/>
    <w:rsid w:val="00AA6C46"/>
    <w:rsid w:val="00AB1B4B"/>
    <w:rsid w:val="00AB4437"/>
    <w:rsid w:val="00AB4885"/>
    <w:rsid w:val="00AB5B98"/>
    <w:rsid w:val="00AB713C"/>
    <w:rsid w:val="00AB75DA"/>
    <w:rsid w:val="00AC0C28"/>
    <w:rsid w:val="00AC1F05"/>
    <w:rsid w:val="00AC300B"/>
    <w:rsid w:val="00AC3589"/>
    <w:rsid w:val="00AC7A4B"/>
    <w:rsid w:val="00AD35EC"/>
    <w:rsid w:val="00AD4256"/>
    <w:rsid w:val="00AD468A"/>
    <w:rsid w:val="00AD576B"/>
    <w:rsid w:val="00AD5A8F"/>
    <w:rsid w:val="00AD5E51"/>
    <w:rsid w:val="00AD60FE"/>
    <w:rsid w:val="00AD6D87"/>
    <w:rsid w:val="00AE0C39"/>
    <w:rsid w:val="00AF288A"/>
    <w:rsid w:val="00AF2E69"/>
    <w:rsid w:val="00AF372F"/>
    <w:rsid w:val="00AF4BF1"/>
    <w:rsid w:val="00AF7A17"/>
    <w:rsid w:val="00B00CEB"/>
    <w:rsid w:val="00B03EF9"/>
    <w:rsid w:val="00B11707"/>
    <w:rsid w:val="00B12862"/>
    <w:rsid w:val="00B129AE"/>
    <w:rsid w:val="00B13441"/>
    <w:rsid w:val="00B13C3C"/>
    <w:rsid w:val="00B15E85"/>
    <w:rsid w:val="00B214E1"/>
    <w:rsid w:val="00B22195"/>
    <w:rsid w:val="00B24BD3"/>
    <w:rsid w:val="00B2730B"/>
    <w:rsid w:val="00B337FE"/>
    <w:rsid w:val="00B349BE"/>
    <w:rsid w:val="00B40681"/>
    <w:rsid w:val="00B40FD3"/>
    <w:rsid w:val="00B415C0"/>
    <w:rsid w:val="00B42834"/>
    <w:rsid w:val="00B42B5B"/>
    <w:rsid w:val="00B50C4C"/>
    <w:rsid w:val="00B51B87"/>
    <w:rsid w:val="00B57810"/>
    <w:rsid w:val="00B63155"/>
    <w:rsid w:val="00B63414"/>
    <w:rsid w:val="00B63ABF"/>
    <w:rsid w:val="00B7615F"/>
    <w:rsid w:val="00B76852"/>
    <w:rsid w:val="00BA1FE3"/>
    <w:rsid w:val="00BA4F2D"/>
    <w:rsid w:val="00BA5DF9"/>
    <w:rsid w:val="00BA5F41"/>
    <w:rsid w:val="00BB0643"/>
    <w:rsid w:val="00BB219E"/>
    <w:rsid w:val="00BB33AD"/>
    <w:rsid w:val="00BB34B3"/>
    <w:rsid w:val="00BC0605"/>
    <w:rsid w:val="00BC47C1"/>
    <w:rsid w:val="00BC6C26"/>
    <w:rsid w:val="00BC6D68"/>
    <w:rsid w:val="00BD12CC"/>
    <w:rsid w:val="00BD168F"/>
    <w:rsid w:val="00BD46F3"/>
    <w:rsid w:val="00BD530A"/>
    <w:rsid w:val="00BE0060"/>
    <w:rsid w:val="00BE2ED2"/>
    <w:rsid w:val="00BE4C66"/>
    <w:rsid w:val="00BE4EE9"/>
    <w:rsid w:val="00BE6803"/>
    <w:rsid w:val="00BF32CC"/>
    <w:rsid w:val="00BF3D31"/>
    <w:rsid w:val="00BF549B"/>
    <w:rsid w:val="00C00578"/>
    <w:rsid w:val="00C005E8"/>
    <w:rsid w:val="00C03891"/>
    <w:rsid w:val="00C04104"/>
    <w:rsid w:val="00C04BDA"/>
    <w:rsid w:val="00C04D6C"/>
    <w:rsid w:val="00C1277D"/>
    <w:rsid w:val="00C13583"/>
    <w:rsid w:val="00C15059"/>
    <w:rsid w:val="00C16CBD"/>
    <w:rsid w:val="00C17DCC"/>
    <w:rsid w:val="00C2242D"/>
    <w:rsid w:val="00C24B2D"/>
    <w:rsid w:val="00C24EE7"/>
    <w:rsid w:val="00C36D7F"/>
    <w:rsid w:val="00C4233D"/>
    <w:rsid w:val="00C4315F"/>
    <w:rsid w:val="00C43649"/>
    <w:rsid w:val="00C4503E"/>
    <w:rsid w:val="00C456B8"/>
    <w:rsid w:val="00C56C3F"/>
    <w:rsid w:val="00C57788"/>
    <w:rsid w:val="00C6308C"/>
    <w:rsid w:val="00C634D9"/>
    <w:rsid w:val="00C64637"/>
    <w:rsid w:val="00C64C27"/>
    <w:rsid w:val="00C65BA2"/>
    <w:rsid w:val="00C6684E"/>
    <w:rsid w:val="00C71D7E"/>
    <w:rsid w:val="00C7295F"/>
    <w:rsid w:val="00C76B0E"/>
    <w:rsid w:val="00C82A69"/>
    <w:rsid w:val="00C82D48"/>
    <w:rsid w:val="00C86085"/>
    <w:rsid w:val="00C86A8F"/>
    <w:rsid w:val="00C87057"/>
    <w:rsid w:val="00C8755F"/>
    <w:rsid w:val="00C914C2"/>
    <w:rsid w:val="00C926C6"/>
    <w:rsid w:val="00C92752"/>
    <w:rsid w:val="00C92914"/>
    <w:rsid w:val="00C94097"/>
    <w:rsid w:val="00C94591"/>
    <w:rsid w:val="00C95967"/>
    <w:rsid w:val="00C96380"/>
    <w:rsid w:val="00CA0590"/>
    <w:rsid w:val="00CA193D"/>
    <w:rsid w:val="00CA4161"/>
    <w:rsid w:val="00CA6F7B"/>
    <w:rsid w:val="00CB0DA3"/>
    <w:rsid w:val="00CB2335"/>
    <w:rsid w:val="00CB4EED"/>
    <w:rsid w:val="00CB50B3"/>
    <w:rsid w:val="00CB5533"/>
    <w:rsid w:val="00CC039E"/>
    <w:rsid w:val="00CC0F1F"/>
    <w:rsid w:val="00CC1C02"/>
    <w:rsid w:val="00CC2C0B"/>
    <w:rsid w:val="00CC48C2"/>
    <w:rsid w:val="00CC5091"/>
    <w:rsid w:val="00CC728B"/>
    <w:rsid w:val="00CC7692"/>
    <w:rsid w:val="00CD02AC"/>
    <w:rsid w:val="00CD1A6C"/>
    <w:rsid w:val="00CD3A2C"/>
    <w:rsid w:val="00CD606D"/>
    <w:rsid w:val="00CE02B1"/>
    <w:rsid w:val="00CE3AD4"/>
    <w:rsid w:val="00CE5304"/>
    <w:rsid w:val="00CE6B30"/>
    <w:rsid w:val="00CE7AD9"/>
    <w:rsid w:val="00CF0715"/>
    <w:rsid w:val="00CF26CA"/>
    <w:rsid w:val="00CF4D06"/>
    <w:rsid w:val="00CF6A4D"/>
    <w:rsid w:val="00CF6F29"/>
    <w:rsid w:val="00CF7A6F"/>
    <w:rsid w:val="00D049BC"/>
    <w:rsid w:val="00D067DC"/>
    <w:rsid w:val="00D1311C"/>
    <w:rsid w:val="00D20E11"/>
    <w:rsid w:val="00D215CF"/>
    <w:rsid w:val="00D22477"/>
    <w:rsid w:val="00D2660D"/>
    <w:rsid w:val="00D360DE"/>
    <w:rsid w:val="00D408D0"/>
    <w:rsid w:val="00D474B0"/>
    <w:rsid w:val="00D505A0"/>
    <w:rsid w:val="00D54ED9"/>
    <w:rsid w:val="00D565F7"/>
    <w:rsid w:val="00D56CE3"/>
    <w:rsid w:val="00D605CF"/>
    <w:rsid w:val="00D615CB"/>
    <w:rsid w:val="00D63D5D"/>
    <w:rsid w:val="00D72E6B"/>
    <w:rsid w:val="00D8022E"/>
    <w:rsid w:val="00D80BB7"/>
    <w:rsid w:val="00D84A66"/>
    <w:rsid w:val="00D84AFB"/>
    <w:rsid w:val="00D870B3"/>
    <w:rsid w:val="00D8792C"/>
    <w:rsid w:val="00D87968"/>
    <w:rsid w:val="00D9364B"/>
    <w:rsid w:val="00D948F6"/>
    <w:rsid w:val="00DA1D8D"/>
    <w:rsid w:val="00DA7302"/>
    <w:rsid w:val="00DC236C"/>
    <w:rsid w:val="00DC27B6"/>
    <w:rsid w:val="00DC3769"/>
    <w:rsid w:val="00DC38E4"/>
    <w:rsid w:val="00DC3DCB"/>
    <w:rsid w:val="00DC6BFD"/>
    <w:rsid w:val="00DD1C37"/>
    <w:rsid w:val="00DD517B"/>
    <w:rsid w:val="00DD5F31"/>
    <w:rsid w:val="00DE0CF8"/>
    <w:rsid w:val="00DF11DF"/>
    <w:rsid w:val="00DF27E3"/>
    <w:rsid w:val="00DF2E5F"/>
    <w:rsid w:val="00DF4A33"/>
    <w:rsid w:val="00E0636B"/>
    <w:rsid w:val="00E13739"/>
    <w:rsid w:val="00E201EC"/>
    <w:rsid w:val="00E23840"/>
    <w:rsid w:val="00E26BA7"/>
    <w:rsid w:val="00E273AE"/>
    <w:rsid w:val="00E300C3"/>
    <w:rsid w:val="00E300E1"/>
    <w:rsid w:val="00E329B0"/>
    <w:rsid w:val="00E359CD"/>
    <w:rsid w:val="00E4020E"/>
    <w:rsid w:val="00E411EA"/>
    <w:rsid w:val="00E42AEC"/>
    <w:rsid w:val="00E44B76"/>
    <w:rsid w:val="00E4591F"/>
    <w:rsid w:val="00E46605"/>
    <w:rsid w:val="00E46A81"/>
    <w:rsid w:val="00E56C3E"/>
    <w:rsid w:val="00E64A92"/>
    <w:rsid w:val="00E65FDF"/>
    <w:rsid w:val="00E7254C"/>
    <w:rsid w:val="00E738AE"/>
    <w:rsid w:val="00E74026"/>
    <w:rsid w:val="00E77B48"/>
    <w:rsid w:val="00E829B1"/>
    <w:rsid w:val="00E92A58"/>
    <w:rsid w:val="00E92E2E"/>
    <w:rsid w:val="00E93A31"/>
    <w:rsid w:val="00E94F61"/>
    <w:rsid w:val="00E95300"/>
    <w:rsid w:val="00E973A3"/>
    <w:rsid w:val="00EA0954"/>
    <w:rsid w:val="00EA1CB2"/>
    <w:rsid w:val="00EA1E6B"/>
    <w:rsid w:val="00EA477D"/>
    <w:rsid w:val="00EB08F5"/>
    <w:rsid w:val="00EB1E93"/>
    <w:rsid w:val="00EB23C9"/>
    <w:rsid w:val="00EB3C42"/>
    <w:rsid w:val="00EB4B95"/>
    <w:rsid w:val="00EC09D3"/>
    <w:rsid w:val="00EC2887"/>
    <w:rsid w:val="00EC4229"/>
    <w:rsid w:val="00EE0011"/>
    <w:rsid w:val="00EF1776"/>
    <w:rsid w:val="00EF2217"/>
    <w:rsid w:val="00EF257F"/>
    <w:rsid w:val="00EF276E"/>
    <w:rsid w:val="00EF77EB"/>
    <w:rsid w:val="00F146C3"/>
    <w:rsid w:val="00F24EA4"/>
    <w:rsid w:val="00F2735E"/>
    <w:rsid w:val="00F27C7C"/>
    <w:rsid w:val="00F30D7D"/>
    <w:rsid w:val="00F41DC8"/>
    <w:rsid w:val="00F43FE3"/>
    <w:rsid w:val="00F44A56"/>
    <w:rsid w:val="00F63FF8"/>
    <w:rsid w:val="00F67127"/>
    <w:rsid w:val="00F70B98"/>
    <w:rsid w:val="00F71203"/>
    <w:rsid w:val="00F72293"/>
    <w:rsid w:val="00F72B25"/>
    <w:rsid w:val="00F72EEA"/>
    <w:rsid w:val="00F7452A"/>
    <w:rsid w:val="00F81B4F"/>
    <w:rsid w:val="00F82755"/>
    <w:rsid w:val="00F829C8"/>
    <w:rsid w:val="00F83906"/>
    <w:rsid w:val="00F863A8"/>
    <w:rsid w:val="00F932F6"/>
    <w:rsid w:val="00F94CFF"/>
    <w:rsid w:val="00F97141"/>
    <w:rsid w:val="00FA0554"/>
    <w:rsid w:val="00FA220D"/>
    <w:rsid w:val="00FA385E"/>
    <w:rsid w:val="00FA4A13"/>
    <w:rsid w:val="00FA598D"/>
    <w:rsid w:val="00FA6635"/>
    <w:rsid w:val="00FA7658"/>
    <w:rsid w:val="00FB1290"/>
    <w:rsid w:val="00FB22AD"/>
    <w:rsid w:val="00FB76D3"/>
    <w:rsid w:val="00FC0D8F"/>
    <w:rsid w:val="00FC186D"/>
    <w:rsid w:val="00FC215E"/>
    <w:rsid w:val="00FC2D64"/>
    <w:rsid w:val="00FC7200"/>
    <w:rsid w:val="00FC7CCB"/>
    <w:rsid w:val="00FD432D"/>
    <w:rsid w:val="00FD73FE"/>
    <w:rsid w:val="00FE1972"/>
    <w:rsid w:val="00FE57C1"/>
    <w:rsid w:val="00FF246A"/>
    <w:rsid w:val="00FF4E1D"/>
    <w:rsid w:val="01DD59FB"/>
    <w:rsid w:val="050F6813"/>
    <w:rsid w:val="059E268B"/>
    <w:rsid w:val="06387543"/>
    <w:rsid w:val="06705AD1"/>
    <w:rsid w:val="0997117F"/>
    <w:rsid w:val="09FF25AB"/>
    <w:rsid w:val="0AFB6682"/>
    <w:rsid w:val="0B9B3303"/>
    <w:rsid w:val="0B9F01C5"/>
    <w:rsid w:val="0C58169B"/>
    <w:rsid w:val="0DB7714B"/>
    <w:rsid w:val="0E93727A"/>
    <w:rsid w:val="10EF574B"/>
    <w:rsid w:val="12FE6834"/>
    <w:rsid w:val="13E52432"/>
    <w:rsid w:val="14C55B5B"/>
    <w:rsid w:val="154F4BD8"/>
    <w:rsid w:val="157EB915"/>
    <w:rsid w:val="195417FF"/>
    <w:rsid w:val="1B4A2C53"/>
    <w:rsid w:val="1BE24B32"/>
    <w:rsid w:val="1BFF0E88"/>
    <w:rsid w:val="1D40494A"/>
    <w:rsid w:val="1DCFA567"/>
    <w:rsid w:val="1E786332"/>
    <w:rsid w:val="1F5D9869"/>
    <w:rsid w:val="1F65F180"/>
    <w:rsid w:val="1FFB9888"/>
    <w:rsid w:val="21515A1B"/>
    <w:rsid w:val="22523F14"/>
    <w:rsid w:val="22873A35"/>
    <w:rsid w:val="23F92711"/>
    <w:rsid w:val="26CB4D9D"/>
    <w:rsid w:val="26FD19A7"/>
    <w:rsid w:val="27A72484"/>
    <w:rsid w:val="27FF0337"/>
    <w:rsid w:val="29BF0CED"/>
    <w:rsid w:val="2A053C91"/>
    <w:rsid w:val="2BCC4267"/>
    <w:rsid w:val="2DE34168"/>
    <w:rsid w:val="2F9D285D"/>
    <w:rsid w:val="2FFA4CD0"/>
    <w:rsid w:val="304856EF"/>
    <w:rsid w:val="31310C4D"/>
    <w:rsid w:val="317E249C"/>
    <w:rsid w:val="31901787"/>
    <w:rsid w:val="31DF4673"/>
    <w:rsid w:val="352F4A42"/>
    <w:rsid w:val="353A66E5"/>
    <w:rsid w:val="36B83D65"/>
    <w:rsid w:val="379CA6BA"/>
    <w:rsid w:val="37EAA378"/>
    <w:rsid w:val="37FB2686"/>
    <w:rsid w:val="37FEA3B6"/>
    <w:rsid w:val="39D3055D"/>
    <w:rsid w:val="3A607FFD"/>
    <w:rsid w:val="3B310231"/>
    <w:rsid w:val="3D6AF1CA"/>
    <w:rsid w:val="3DF36331"/>
    <w:rsid w:val="3E19C0F1"/>
    <w:rsid w:val="3E4E2989"/>
    <w:rsid w:val="3F6A2888"/>
    <w:rsid w:val="3FBF29DC"/>
    <w:rsid w:val="3FCFC849"/>
    <w:rsid w:val="3FEB75D4"/>
    <w:rsid w:val="40677844"/>
    <w:rsid w:val="42220A0F"/>
    <w:rsid w:val="422C3859"/>
    <w:rsid w:val="42B52C93"/>
    <w:rsid w:val="437BE2A7"/>
    <w:rsid w:val="442E690C"/>
    <w:rsid w:val="472D60AA"/>
    <w:rsid w:val="490E3CB9"/>
    <w:rsid w:val="491C4628"/>
    <w:rsid w:val="494F6901"/>
    <w:rsid w:val="49AD79B6"/>
    <w:rsid w:val="49DFA13B"/>
    <w:rsid w:val="4A165DF1"/>
    <w:rsid w:val="4ADF5FDB"/>
    <w:rsid w:val="4BD034A7"/>
    <w:rsid w:val="4BFEF0E5"/>
    <w:rsid w:val="4CB3BDA6"/>
    <w:rsid w:val="4DDFB51C"/>
    <w:rsid w:val="4EB78FA6"/>
    <w:rsid w:val="4EF2F00A"/>
    <w:rsid w:val="4FA42C81"/>
    <w:rsid w:val="5019541D"/>
    <w:rsid w:val="55C203E5"/>
    <w:rsid w:val="57B632EA"/>
    <w:rsid w:val="57FF8CAA"/>
    <w:rsid w:val="58EDBD4E"/>
    <w:rsid w:val="5AFFB963"/>
    <w:rsid w:val="5B7E910E"/>
    <w:rsid w:val="5B7F1F75"/>
    <w:rsid w:val="5BFCFC06"/>
    <w:rsid w:val="5C3A28D2"/>
    <w:rsid w:val="5D4FA886"/>
    <w:rsid w:val="5E3D2C1E"/>
    <w:rsid w:val="5E7EBD41"/>
    <w:rsid w:val="5EBCD6F8"/>
    <w:rsid w:val="5EEE484B"/>
    <w:rsid w:val="5EFE5CF5"/>
    <w:rsid w:val="5EFF580B"/>
    <w:rsid w:val="5F3F567D"/>
    <w:rsid w:val="5FBA3CE6"/>
    <w:rsid w:val="5FEB7DB9"/>
    <w:rsid w:val="61FF88F7"/>
    <w:rsid w:val="62CF4C72"/>
    <w:rsid w:val="64BD354C"/>
    <w:rsid w:val="65B205BB"/>
    <w:rsid w:val="66B72781"/>
    <w:rsid w:val="66FFB214"/>
    <w:rsid w:val="67172093"/>
    <w:rsid w:val="679F2BFE"/>
    <w:rsid w:val="67F56318"/>
    <w:rsid w:val="68ED6FEF"/>
    <w:rsid w:val="69937B96"/>
    <w:rsid w:val="69E71C90"/>
    <w:rsid w:val="6A5C0D00"/>
    <w:rsid w:val="6A9F210B"/>
    <w:rsid w:val="6DDE8A07"/>
    <w:rsid w:val="6DDFF586"/>
    <w:rsid w:val="6EBA03E0"/>
    <w:rsid w:val="6ED59ED3"/>
    <w:rsid w:val="6F9E9A03"/>
    <w:rsid w:val="6FAB7177"/>
    <w:rsid w:val="6FB7B71D"/>
    <w:rsid w:val="6FDDF923"/>
    <w:rsid w:val="6FF6B673"/>
    <w:rsid w:val="6FF77264"/>
    <w:rsid w:val="6FFEA51A"/>
    <w:rsid w:val="7034793E"/>
    <w:rsid w:val="73F5691A"/>
    <w:rsid w:val="74FFE2C6"/>
    <w:rsid w:val="757FADC1"/>
    <w:rsid w:val="75AD1FE0"/>
    <w:rsid w:val="76337AC7"/>
    <w:rsid w:val="7634287A"/>
    <w:rsid w:val="767DA81A"/>
    <w:rsid w:val="773E90FB"/>
    <w:rsid w:val="774EFBAC"/>
    <w:rsid w:val="775C2B2B"/>
    <w:rsid w:val="776963DA"/>
    <w:rsid w:val="777CA185"/>
    <w:rsid w:val="77ADE359"/>
    <w:rsid w:val="77AF9A5B"/>
    <w:rsid w:val="77E56AC3"/>
    <w:rsid w:val="77EAEECF"/>
    <w:rsid w:val="77F3D55A"/>
    <w:rsid w:val="783E2916"/>
    <w:rsid w:val="797B3CCB"/>
    <w:rsid w:val="797FDF54"/>
    <w:rsid w:val="79E386CB"/>
    <w:rsid w:val="7B0D99BB"/>
    <w:rsid w:val="7B4E68CF"/>
    <w:rsid w:val="7B7EE601"/>
    <w:rsid w:val="7BBFCD31"/>
    <w:rsid w:val="7BD47803"/>
    <w:rsid w:val="7BEA4DAB"/>
    <w:rsid w:val="7BFD5657"/>
    <w:rsid w:val="7C022F2F"/>
    <w:rsid w:val="7C7E223F"/>
    <w:rsid w:val="7C9C225B"/>
    <w:rsid w:val="7CDC3EC6"/>
    <w:rsid w:val="7CF13002"/>
    <w:rsid w:val="7CF7AB5C"/>
    <w:rsid w:val="7CFA393E"/>
    <w:rsid w:val="7D56143B"/>
    <w:rsid w:val="7D7F5A01"/>
    <w:rsid w:val="7DE32436"/>
    <w:rsid w:val="7DEF6D9D"/>
    <w:rsid w:val="7DF753EF"/>
    <w:rsid w:val="7E304161"/>
    <w:rsid w:val="7E7335CE"/>
    <w:rsid w:val="7E9F2C21"/>
    <w:rsid w:val="7EB7628E"/>
    <w:rsid w:val="7EB7C58E"/>
    <w:rsid w:val="7EBE6809"/>
    <w:rsid w:val="7F0B2139"/>
    <w:rsid w:val="7F3F9090"/>
    <w:rsid w:val="7F5D9FFB"/>
    <w:rsid w:val="7F7EFE26"/>
    <w:rsid w:val="7FAB2A45"/>
    <w:rsid w:val="7FCCE17A"/>
    <w:rsid w:val="7FDA0C95"/>
    <w:rsid w:val="7FDF07E8"/>
    <w:rsid w:val="7FE9FD40"/>
    <w:rsid w:val="7FF578CB"/>
    <w:rsid w:val="7FFEA5E1"/>
    <w:rsid w:val="7FFF5AEC"/>
    <w:rsid w:val="86FFB62A"/>
    <w:rsid w:val="8EFEEE24"/>
    <w:rsid w:val="8FFC7A3E"/>
    <w:rsid w:val="93DD4303"/>
    <w:rsid w:val="97ED6346"/>
    <w:rsid w:val="9E7E3BCF"/>
    <w:rsid w:val="9ED193D1"/>
    <w:rsid w:val="9FBFC279"/>
    <w:rsid w:val="A5C566EA"/>
    <w:rsid w:val="A6AEA0A4"/>
    <w:rsid w:val="AF3A3D13"/>
    <w:rsid w:val="AF3FCE76"/>
    <w:rsid w:val="AFDDA0C8"/>
    <w:rsid w:val="AFED997C"/>
    <w:rsid w:val="AFFE006F"/>
    <w:rsid w:val="B377D870"/>
    <w:rsid w:val="B77BC78F"/>
    <w:rsid w:val="B7AE39D0"/>
    <w:rsid w:val="B7FF82AB"/>
    <w:rsid w:val="B9E520E1"/>
    <w:rsid w:val="B9FE6D19"/>
    <w:rsid w:val="BB4A3AC2"/>
    <w:rsid w:val="BBEBE1F9"/>
    <w:rsid w:val="BCFFECBE"/>
    <w:rsid w:val="BD5D2BBD"/>
    <w:rsid w:val="BD753ACD"/>
    <w:rsid w:val="BE7B8FD0"/>
    <w:rsid w:val="BEBD4258"/>
    <w:rsid w:val="BECF9DFA"/>
    <w:rsid w:val="BEE70612"/>
    <w:rsid w:val="BF7F486F"/>
    <w:rsid w:val="BF9F433E"/>
    <w:rsid w:val="BFBFC4ED"/>
    <w:rsid w:val="BFE9C615"/>
    <w:rsid w:val="BFF6C788"/>
    <w:rsid w:val="BFF76FE7"/>
    <w:rsid w:val="BFFFCE09"/>
    <w:rsid w:val="C56E41C0"/>
    <w:rsid w:val="CB765A69"/>
    <w:rsid w:val="CBAEAB36"/>
    <w:rsid w:val="CEFB9DB8"/>
    <w:rsid w:val="CF3FA040"/>
    <w:rsid w:val="CF8F1E66"/>
    <w:rsid w:val="CFFF350B"/>
    <w:rsid w:val="D2F7B22D"/>
    <w:rsid w:val="D37F978C"/>
    <w:rsid w:val="D5DFCA3A"/>
    <w:rsid w:val="D7F71FD1"/>
    <w:rsid w:val="D9FFC3FB"/>
    <w:rsid w:val="DB5FAC48"/>
    <w:rsid w:val="DDBB4AB8"/>
    <w:rsid w:val="DEDC06E5"/>
    <w:rsid w:val="DEEF94D7"/>
    <w:rsid w:val="DF6F28AE"/>
    <w:rsid w:val="DF71E43D"/>
    <w:rsid w:val="DFB7E1D6"/>
    <w:rsid w:val="DFCE5C34"/>
    <w:rsid w:val="DFF75F6F"/>
    <w:rsid w:val="DFFBD6A8"/>
    <w:rsid w:val="DFFFBA76"/>
    <w:rsid w:val="E3FC4EA3"/>
    <w:rsid w:val="E5FF2C5D"/>
    <w:rsid w:val="E5FF6326"/>
    <w:rsid w:val="E6BA34D9"/>
    <w:rsid w:val="E6DE229D"/>
    <w:rsid w:val="E7E9C7B7"/>
    <w:rsid w:val="E7FB1AE5"/>
    <w:rsid w:val="E9FFF6CC"/>
    <w:rsid w:val="EDCE45AA"/>
    <w:rsid w:val="EDD379E9"/>
    <w:rsid w:val="EDE2634F"/>
    <w:rsid w:val="EDFD2BA7"/>
    <w:rsid w:val="EF73BCBB"/>
    <w:rsid w:val="EF7D52B4"/>
    <w:rsid w:val="EFFFC931"/>
    <w:rsid w:val="F05BA188"/>
    <w:rsid w:val="F3FE4936"/>
    <w:rsid w:val="F3FF835F"/>
    <w:rsid w:val="F4FF3750"/>
    <w:rsid w:val="F69EA396"/>
    <w:rsid w:val="F71DE57A"/>
    <w:rsid w:val="F7571CC5"/>
    <w:rsid w:val="F77F1522"/>
    <w:rsid w:val="F7BF7EDB"/>
    <w:rsid w:val="F7FA6E17"/>
    <w:rsid w:val="F7FB01F5"/>
    <w:rsid w:val="F7FE6249"/>
    <w:rsid w:val="F7FE6BBE"/>
    <w:rsid w:val="F7FF234D"/>
    <w:rsid w:val="F7FFE2D7"/>
    <w:rsid w:val="F97F01F3"/>
    <w:rsid w:val="F9F9332C"/>
    <w:rsid w:val="FA5729CE"/>
    <w:rsid w:val="FB977915"/>
    <w:rsid w:val="FBAB6741"/>
    <w:rsid w:val="FBD797B3"/>
    <w:rsid w:val="FBDFF716"/>
    <w:rsid w:val="FBFB96EA"/>
    <w:rsid w:val="FBFFCAD9"/>
    <w:rsid w:val="FCFE07EA"/>
    <w:rsid w:val="FCFE31BF"/>
    <w:rsid w:val="FD7D6EC3"/>
    <w:rsid w:val="FD9F57DE"/>
    <w:rsid w:val="FDB72D7D"/>
    <w:rsid w:val="FDCFA876"/>
    <w:rsid w:val="FDDDBF70"/>
    <w:rsid w:val="FDFA0A85"/>
    <w:rsid w:val="FE7F97A4"/>
    <w:rsid w:val="FEBF4371"/>
    <w:rsid w:val="FF7FBFA4"/>
    <w:rsid w:val="FFB38D42"/>
    <w:rsid w:val="FFBB2DB5"/>
    <w:rsid w:val="FFBD1B91"/>
    <w:rsid w:val="FFBDA9C4"/>
    <w:rsid w:val="FFBFC4F5"/>
    <w:rsid w:val="FFBFC894"/>
    <w:rsid w:val="FFF559AB"/>
    <w:rsid w:val="FFF57B99"/>
    <w:rsid w:val="FFF5D858"/>
    <w:rsid w:val="FFF6CF16"/>
    <w:rsid w:val="FFF7B910"/>
    <w:rsid w:val="FFFF34FB"/>
    <w:rsid w:val="FFFFEAA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38"/>
    <w:qFormat/>
    <w:uiPriority w:val="99"/>
    <w:pPr>
      <w:keepNext/>
      <w:numPr>
        <w:ilvl w:val="0"/>
        <w:numId w:val="1"/>
      </w:numPr>
      <w:spacing w:line="360" w:lineRule="auto"/>
      <w:ind w:firstLine="562" w:firstLineChars="200"/>
      <w:jc w:val="center"/>
      <w:outlineLvl w:val="0"/>
    </w:pPr>
    <w:rPr>
      <w:b/>
      <w:bCs/>
      <w:sz w:val="28"/>
      <w:szCs w:val="28"/>
    </w:rPr>
  </w:style>
  <w:style w:type="paragraph" w:styleId="3">
    <w:name w:val="heading 2"/>
    <w:basedOn w:val="1"/>
    <w:next w:val="1"/>
    <w:link w:val="64"/>
    <w:unhideWhenUsed/>
    <w:qFormat/>
    <w:uiPriority w:val="0"/>
    <w:pPr>
      <w:keepNext/>
      <w:keepLines/>
      <w:spacing w:before="260" w:after="260" w:line="416" w:lineRule="auto"/>
      <w:ind w:firstLine="200" w:firstLineChars="200"/>
      <w:jc w:val="both"/>
      <w:outlineLvl w:val="1"/>
    </w:pPr>
    <w:rPr>
      <w:rFonts w:asciiTheme="majorHAnsi" w:hAnsiTheme="majorHAnsi" w:eastAsiaTheme="majorEastAsia" w:cstheme="majorBidi"/>
      <w:b/>
      <w:bCs/>
      <w:kern w:val="2"/>
      <w:sz w:val="32"/>
      <w:szCs w:val="32"/>
    </w:rPr>
  </w:style>
  <w:style w:type="paragraph" w:styleId="4">
    <w:name w:val="heading 3"/>
    <w:basedOn w:val="5"/>
    <w:next w:val="1"/>
    <w:link w:val="105"/>
    <w:qFormat/>
    <w:uiPriority w:val="0"/>
    <w:pPr>
      <w:outlineLvl w:val="2"/>
    </w:pPr>
  </w:style>
  <w:style w:type="paragraph" w:styleId="6">
    <w:name w:val="heading 4"/>
    <w:basedOn w:val="1"/>
    <w:next w:val="1"/>
    <w:link w:val="74"/>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0">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customStyle="1" w:styleId="5">
    <w:name w:val="样式1"/>
    <w:basedOn w:val="1"/>
    <w:link w:val="69"/>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styleId="7">
    <w:name w:val="toc 7"/>
    <w:basedOn w:val="1"/>
    <w:next w:val="1"/>
    <w:unhideWhenUsed/>
    <w:qFormat/>
    <w:uiPriority w:val="39"/>
    <w:pPr>
      <w:widowControl w:val="0"/>
      <w:ind w:left="2520" w:leftChars="1200"/>
      <w:jc w:val="both"/>
    </w:pPr>
    <w:rPr>
      <w:rFonts w:asciiTheme="minorHAnsi" w:hAnsiTheme="minorHAnsi" w:eastAsiaTheme="minorEastAsia" w:cstheme="minorBidi"/>
      <w:kern w:val="2"/>
      <w:sz w:val="21"/>
      <w:szCs w:val="22"/>
    </w:rPr>
  </w:style>
  <w:style w:type="paragraph" w:styleId="8">
    <w:name w:val="Normal Indent"/>
    <w:basedOn w:val="1"/>
    <w:qFormat/>
    <w:uiPriority w:val="0"/>
    <w:pPr>
      <w:spacing w:before="120" w:after="120" w:line="360" w:lineRule="atLeast"/>
      <w:ind w:left="2336"/>
      <w:jc w:val="both"/>
    </w:pPr>
    <w:rPr>
      <w:sz w:val="21"/>
      <w:szCs w:val="20"/>
    </w:rPr>
  </w:style>
  <w:style w:type="paragraph" w:styleId="9">
    <w:name w:val="caption"/>
    <w:basedOn w:val="1"/>
    <w:next w:val="1"/>
    <w:link w:val="94"/>
    <w:unhideWhenUsed/>
    <w:qFormat/>
    <w:uiPriority w:val="0"/>
    <w:rPr>
      <w:rFonts w:ascii="Arial" w:hAnsi="Arial" w:eastAsia="黑体"/>
      <w:sz w:val="20"/>
    </w:rPr>
  </w:style>
  <w:style w:type="paragraph" w:styleId="10">
    <w:name w:val="annotation text"/>
    <w:basedOn w:val="1"/>
    <w:link w:val="57"/>
    <w:qFormat/>
    <w:uiPriority w:val="0"/>
  </w:style>
  <w:style w:type="paragraph" w:styleId="11">
    <w:name w:val="Body Text"/>
    <w:basedOn w:val="1"/>
    <w:link w:val="106"/>
    <w:qFormat/>
    <w:uiPriority w:val="1"/>
    <w:pPr>
      <w:spacing w:line="360" w:lineRule="auto"/>
      <w:ind w:left="896" w:right="896" w:firstLine="480" w:firstLineChars="200"/>
    </w:pPr>
  </w:style>
  <w:style w:type="paragraph" w:styleId="12">
    <w:name w:val="toc 5"/>
    <w:basedOn w:val="1"/>
    <w:next w:val="1"/>
    <w:unhideWhenUsed/>
    <w:qFormat/>
    <w:uiPriority w:val="39"/>
    <w:pPr>
      <w:widowControl w:val="0"/>
      <w:ind w:left="1680" w:leftChars="800"/>
      <w:jc w:val="both"/>
    </w:pPr>
    <w:rPr>
      <w:rFonts w:asciiTheme="minorHAnsi" w:hAnsiTheme="minorHAnsi" w:eastAsiaTheme="minorEastAsia" w:cstheme="minorBidi"/>
      <w:kern w:val="2"/>
      <w:sz w:val="21"/>
      <w:szCs w:val="22"/>
    </w:rPr>
  </w:style>
  <w:style w:type="paragraph" w:styleId="13">
    <w:name w:val="toc 3"/>
    <w:basedOn w:val="1"/>
    <w:next w:val="1"/>
    <w:qFormat/>
    <w:uiPriority w:val="39"/>
    <w:pPr>
      <w:ind w:left="840" w:leftChars="400"/>
    </w:pPr>
  </w:style>
  <w:style w:type="paragraph" w:styleId="14">
    <w:name w:val="Plain Text"/>
    <w:basedOn w:val="1"/>
    <w:link w:val="78"/>
    <w:qFormat/>
    <w:uiPriority w:val="0"/>
    <w:pPr>
      <w:widowControl w:val="0"/>
      <w:adjustRightInd w:val="0"/>
      <w:jc w:val="both"/>
      <w:textAlignment w:val="baseline"/>
    </w:pPr>
    <w:rPr>
      <w:rFonts w:hAnsi="Courier New" w:eastAsiaTheme="minorEastAsia"/>
      <w:kern w:val="2"/>
      <w:sz w:val="21"/>
    </w:rPr>
  </w:style>
  <w:style w:type="paragraph" w:styleId="15">
    <w:name w:val="toc 8"/>
    <w:basedOn w:val="1"/>
    <w:next w:val="1"/>
    <w:unhideWhenUsed/>
    <w:qFormat/>
    <w:uiPriority w:val="39"/>
    <w:pPr>
      <w:widowControl w:val="0"/>
      <w:ind w:left="2940" w:leftChars="1400"/>
      <w:jc w:val="both"/>
    </w:pPr>
    <w:rPr>
      <w:rFonts w:asciiTheme="minorHAnsi" w:hAnsiTheme="minorHAnsi" w:eastAsiaTheme="minorEastAsia" w:cstheme="minorBidi"/>
      <w:kern w:val="2"/>
      <w:sz w:val="21"/>
      <w:szCs w:val="22"/>
    </w:rPr>
  </w:style>
  <w:style w:type="paragraph" w:styleId="16">
    <w:name w:val="Date"/>
    <w:basedOn w:val="1"/>
    <w:next w:val="1"/>
    <w:link w:val="53"/>
    <w:qFormat/>
    <w:uiPriority w:val="0"/>
    <w:pPr>
      <w:ind w:left="100" w:leftChars="2500"/>
    </w:pPr>
  </w:style>
  <w:style w:type="paragraph" w:styleId="17">
    <w:name w:val="footer"/>
    <w:basedOn w:val="1"/>
    <w:link w:val="55"/>
    <w:unhideWhenUsed/>
    <w:qFormat/>
    <w:uiPriority w:val="99"/>
    <w:pPr>
      <w:tabs>
        <w:tab w:val="center" w:pos="4153"/>
        <w:tab w:val="right" w:pos="8306"/>
      </w:tabs>
      <w:snapToGrid w:val="0"/>
    </w:pPr>
    <w:rPr>
      <w:sz w:val="18"/>
      <w:szCs w:val="18"/>
    </w:rPr>
  </w:style>
  <w:style w:type="paragraph" w:styleId="18">
    <w:name w:val="header"/>
    <w:basedOn w:val="1"/>
    <w:link w:val="6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9">
    <w:name w:val="toc 1"/>
    <w:basedOn w:val="1"/>
    <w:next w:val="1"/>
    <w:qFormat/>
    <w:uiPriority w:val="39"/>
  </w:style>
  <w:style w:type="paragraph" w:styleId="20">
    <w:name w:val="toc 4"/>
    <w:basedOn w:val="1"/>
    <w:next w:val="1"/>
    <w:unhideWhenUsed/>
    <w:qFormat/>
    <w:uiPriority w:val="39"/>
    <w:pPr>
      <w:widowControl w:val="0"/>
      <w:ind w:left="1260" w:leftChars="600"/>
      <w:jc w:val="both"/>
    </w:pPr>
    <w:rPr>
      <w:rFonts w:asciiTheme="minorHAnsi" w:hAnsiTheme="minorHAnsi" w:eastAsiaTheme="minorEastAsia" w:cstheme="minorBidi"/>
      <w:kern w:val="2"/>
      <w:sz w:val="21"/>
      <w:szCs w:val="22"/>
    </w:rPr>
  </w:style>
  <w:style w:type="paragraph" w:styleId="21">
    <w:name w:val="footnote text"/>
    <w:basedOn w:val="1"/>
    <w:link w:val="107"/>
    <w:unhideWhenUsed/>
    <w:qFormat/>
    <w:uiPriority w:val="99"/>
    <w:pPr>
      <w:snapToGrid w:val="0"/>
    </w:pPr>
    <w:rPr>
      <w:sz w:val="18"/>
      <w:szCs w:val="18"/>
    </w:rPr>
  </w:style>
  <w:style w:type="paragraph" w:styleId="22">
    <w:name w:val="toc 6"/>
    <w:basedOn w:val="1"/>
    <w:next w:val="1"/>
    <w:unhideWhenUsed/>
    <w:qFormat/>
    <w:uiPriority w:val="39"/>
    <w:pPr>
      <w:widowControl w:val="0"/>
      <w:ind w:left="2100" w:leftChars="1000"/>
      <w:jc w:val="both"/>
    </w:pPr>
    <w:rPr>
      <w:rFonts w:asciiTheme="minorHAnsi" w:hAnsiTheme="minorHAnsi" w:eastAsiaTheme="minorEastAsia" w:cstheme="minorBidi"/>
      <w:kern w:val="2"/>
      <w:sz w:val="21"/>
      <w:szCs w:val="22"/>
    </w:rPr>
  </w:style>
  <w:style w:type="paragraph" w:styleId="23">
    <w:name w:val="toc 2"/>
    <w:basedOn w:val="1"/>
    <w:next w:val="1"/>
    <w:qFormat/>
    <w:uiPriority w:val="39"/>
    <w:pPr>
      <w:ind w:left="420" w:leftChars="200"/>
    </w:pPr>
  </w:style>
  <w:style w:type="paragraph" w:styleId="24">
    <w:name w:val="toc 9"/>
    <w:basedOn w:val="1"/>
    <w:next w:val="1"/>
    <w:unhideWhenUsed/>
    <w:qFormat/>
    <w:uiPriority w:val="39"/>
    <w:pPr>
      <w:widowControl w:val="0"/>
      <w:ind w:left="3360" w:leftChars="1600"/>
      <w:jc w:val="both"/>
    </w:pPr>
    <w:rPr>
      <w:rFonts w:asciiTheme="minorHAnsi" w:hAnsiTheme="minorHAnsi" w:eastAsiaTheme="minorEastAsia" w:cstheme="minorBidi"/>
      <w:kern w:val="2"/>
      <w:sz w:val="21"/>
      <w:szCs w:val="22"/>
    </w:rPr>
  </w:style>
  <w:style w:type="paragraph" w:styleId="25">
    <w:name w:val="Normal (Web)"/>
    <w:basedOn w:val="1"/>
    <w:qFormat/>
    <w:uiPriority w:val="99"/>
    <w:pPr>
      <w:spacing w:beforeAutospacing="1" w:afterAutospacing="1"/>
    </w:pPr>
    <w:rPr>
      <w:rFonts w:asciiTheme="minorHAnsi" w:hAnsiTheme="minorHAnsi" w:eastAsiaTheme="minorEastAsia"/>
    </w:rPr>
  </w:style>
  <w:style w:type="paragraph" w:styleId="26">
    <w:name w:val="Title"/>
    <w:basedOn w:val="2"/>
    <w:next w:val="11"/>
    <w:link w:val="124"/>
    <w:qFormat/>
    <w:uiPriority w:val="0"/>
    <w:pPr>
      <w:keepNext w:val="0"/>
      <w:numPr>
        <w:numId w:val="0"/>
      </w:numPr>
      <w:tabs>
        <w:tab w:val="left" w:pos="420"/>
        <w:tab w:val="clear" w:pos="1440"/>
      </w:tabs>
      <w:spacing w:before="340" w:beforeLines="50" w:after="330" w:afterLines="50"/>
    </w:pPr>
    <w:rPr>
      <w:rFonts w:ascii="黑体" w:eastAsia="黑体"/>
      <w:bCs w:val="0"/>
      <w:color w:val="000000"/>
    </w:rPr>
  </w:style>
  <w:style w:type="paragraph" w:styleId="27">
    <w:name w:val="annotation subject"/>
    <w:basedOn w:val="10"/>
    <w:next w:val="10"/>
    <w:link w:val="58"/>
    <w:qFormat/>
    <w:uiPriority w:val="0"/>
    <w:rPr>
      <w:b/>
      <w:bCs/>
    </w:rPr>
  </w:style>
  <w:style w:type="table" w:styleId="29">
    <w:name w:val="Table Grid"/>
    <w:basedOn w:val="2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0"/>
    <w:rPr>
      <w:b/>
    </w:rPr>
  </w:style>
  <w:style w:type="character" w:styleId="32">
    <w:name w:val="page number"/>
    <w:basedOn w:val="30"/>
    <w:qFormat/>
    <w:uiPriority w:val="0"/>
  </w:style>
  <w:style w:type="character" w:styleId="33">
    <w:name w:val="Emphasis"/>
    <w:basedOn w:val="30"/>
    <w:qFormat/>
    <w:uiPriority w:val="0"/>
    <w:rPr>
      <w:i/>
    </w:rPr>
  </w:style>
  <w:style w:type="character" w:styleId="34">
    <w:name w:val="Hyperlink"/>
    <w:basedOn w:val="30"/>
    <w:unhideWhenUsed/>
    <w:qFormat/>
    <w:uiPriority w:val="99"/>
    <w:rPr>
      <w:color w:val="0026E5" w:themeColor="hyperlink"/>
      <w:u w:val="single"/>
      <w14:textFill>
        <w14:solidFill>
          <w14:schemeClr w14:val="hlink"/>
        </w14:solidFill>
      </w14:textFill>
    </w:rPr>
  </w:style>
  <w:style w:type="character" w:styleId="35">
    <w:name w:val="annotation reference"/>
    <w:basedOn w:val="30"/>
    <w:qFormat/>
    <w:uiPriority w:val="0"/>
    <w:rPr>
      <w:sz w:val="21"/>
      <w:szCs w:val="21"/>
    </w:rPr>
  </w:style>
  <w:style w:type="character" w:styleId="36">
    <w:name w:val="footnote reference"/>
    <w:unhideWhenUsed/>
    <w:qFormat/>
    <w:uiPriority w:val="99"/>
    <w:rPr>
      <w:vertAlign w:val="superscript"/>
    </w:rPr>
  </w:style>
  <w:style w:type="paragraph" w:customStyle="1" w:styleId="37">
    <w:name w:val="【正文】"/>
    <w:link w:val="59"/>
    <w:qFormat/>
    <w:uiPriority w:val="0"/>
    <w:pPr>
      <w:spacing w:line="288" w:lineRule="auto"/>
      <w:ind w:firstLine="560" w:firstLineChars="200"/>
      <w:contextualSpacing/>
      <w:jc w:val="both"/>
    </w:pPr>
    <w:rPr>
      <w:rFonts w:ascii="宋体" w:hAnsi="宋体" w:eastAsia="宋体" w:cs="宋体"/>
      <w:sz w:val="28"/>
      <w:szCs w:val="28"/>
      <w:lang w:val="en-US" w:eastAsia="zh-Hans" w:bidi="ar-SA"/>
    </w:rPr>
  </w:style>
  <w:style w:type="character" w:customStyle="1" w:styleId="38">
    <w:name w:val="标题 1 字符"/>
    <w:link w:val="2"/>
    <w:qFormat/>
    <w:uiPriority w:val="99"/>
    <w:rPr>
      <w:rFonts w:ascii="宋体" w:hAnsi="宋体" w:cs="宋体"/>
      <w:b/>
      <w:bCs/>
      <w:sz w:val="28"/>
      <w:szCs w:val="28"/>
    </w:rPr>
  </w:style>
  <w:style w:type="paragraph" w:customStyle="1" w:styleId="39">
    <w:name w:val="【标题-1级】"/>
    <w:basedOn w:val="40"/>
    <w:next w:val="37"/>
    <w:link w:val="81"/>
    <w:qFormat/>
    <w:uiPriority w:val="0"/>
    <w:pPr>
      <w:ind w:left="0" w:firstLine="562" w:firstLineChars="200"/>
      <w:jc w:val="both"/>
      <w:outlineLvl w:val="0"/>
    </w:pPr>
    <w:rPr>
      <w:rFonts w:ascii="Arial" w:hAnsi="Arial" w:cs="Arial" w:eastAsiaTheme="minorEastAsia"/>
      <w:b/>
      <w:bCs/>
      <w:color w:val="000000" w:themeColor="text1"/>
      <w:sz w:val="28"/>
      <w:szCs w:val="28"/>
      <w14:textFill>
        <w14:solidFill>
          <w14:schemeClr w14:val="tx1"/>
        </w14:solidFill>
      </w14:textFill>
    </w:rPr>
  </w:style>
  <w:style w:type="paragraph" w:styleId="40">
    <w:name w:val="List Paragraph"/>
    <w:basedOn w:val="1"/>
    <w:link w:val="80"/>
    <w:qFormat/>
    <w:uiPriority w:val="34"/>
    <w:pPr>
      <w:ind w:left="720"/>
      <w:contextualSpacing/>
    </w:pPr>
  </w:style>
  <w:style w:type="paragraph" w:customStyle="1" w:styleId="41">
    <w:name w:val="【标题-2级】"/>
    <w:basedOn w:val="1"/>
    <w:next w:val="37"/>
    <w:link w:val="44"/>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customStyle="1" w:styleId="42">
    <w:name w:val="【正文-表内】"/>
    <w:basedOn w:val="37"/>
    <w:qFormat/>
    <w:uiPriority w:val="0"/>
    <w:pPr>
      <w:spacing w:line="240" w:lineRule="auto"/>
      <w:ind w:firstLine="0" w:firstLineChars="0"/>
      <w:textAlignment w:val="center"/>
    </w:pPr>
    <w:rPr>
      <w:sz w:val="24"/>
    </w:rPr>
  </w:style>
  <w:style w:type="table" w:customStyle="1" w:styleId="43">
    <w:name w:val="Table Normal1"/>
    <w:semiHidden/>
    <w:unhideWhenUsed/>
    <w:qFormat/>
    <w:uiPriority w:val="2"/>
    <w:tblPr>
      <w:tblCellMar>
        <w:top w:w="0" w:type="dxa"/>
        <w:left w:w="0" w:type="dxa"/>
        <w:bottom w:w="0" w:type="dxa"/>
        <w:right w:w="0" w:type="dxa"/>
      </w:tblCellMar>
    </w:tblPr>
  </w:style>
  <w:style w:type="character" w:customStyle="1" w:styleId="44">
    <w:name w:val="【标题-2级】 Char"/>
    <w:link w:val="41"/>
    <w:qFormat/>
    <w:uiPriority w:val="0"/>
    <w:rPr>
      <w:rFonts w:ascii="Arial" w:hAnsi="Arial" w:cs="Arial"/>
      <w:b/>
      <w:bCs/>
      <w:color w:val="000000"/>
      <w:sz w:val="28"/>
      <w:szCs w:val="28"/>
    </w:rPr>
  </w:style>
  <w:style w:type="paragraph" w:customStyle="1" w:styleId="45">
    <w:name w:val="【标题-3级】"/>
    <w:basedOn w:val="1"/>
    <w:link w:val="89"/>
    <w:qFormat/>
    <w:uiPriority w:val="0"/>
    <w:pPr>
      <w:spacing w:line="288" w:lineRule="auto"/>
      <w:ind w:firstLine="562" w:firstLineChars="200"/>
      <w:contextualSpacing/>
      <w:jc w:val="both"/>
      <w:outlineLvl w:val="2"/>
    </w:pPr>
    <w:rPr>
      <w:rFonts w:ascii="Arial" w:hAnsi="Arial" w:cs="Arial"/>
      <w:b/>
      <w:bCs/>
      <w:color w:val="000000"/>
      <w:sz w:val="28"/>
      <w:szCs w:val="28"/>
    </w:rPr>
  </w:style>
  <w:style w:type="paragraph" w:customStyle="1" w:styleId="46">
    <w:name w:val="【标题-4级】"/>
    <w:basedOn w:val="47"/>
    <w:next w:val="37"/>
    <w:qFormat/>
    <w:uiPriority w:val="0"/>
    <w:pPr>
      <w:numPr>
        <w:ilvl w:val="0"/>
        <w:numId w:val="2"/>
      </w:numPr>
      <w:spacing w:before="312" w:beforeLines="100" w:line="240" w:lineRule="auto"/>
      <w:ind w:left="720" w:leftChars="300" w:firstLine="0" w:firstLineChars="0"/>
    </w:pPr>
  </w:style>
  <w:style w:type="paragraph" w:customStyle="1" w:styleId="47">
    <w:name w:val="【正文-小编号】"/>
    <w:basedOn w:val="37"/>
    <w:qFormat/>
    <w:uiPriority w:val="0"/>
    <w:pPr>
      <w:ind w:firstLine="0"/>
    </w:pPr>
  </w:style>
  <w:style w:type="character" w:customStyle="1" w:styleId="48">
    <w:name w:val="font11"/>
    <w:basedOn w:val="30"/>
    <w:qFormat/>
    <w:uiPriority w:val="0"/>
    <w:rPr>
      <w:rFonts w:hint="eastAsia" w:ascii="宋体" w:hAnsi="宋体" w:eastAsia="宋体" w:cs="宋体"/>
      <w:color w:val="000000"/>
      <w:sz w:val="21"/>
      <w:szCs w:val="21"/>
      <w:u w:val="none"/>
    </w:rPr>
  </w:style>
  <w:style w:type="character" w:customStyle="1" w:styleId="49">
    <w:name w:val="font21"/>
    <w:basedOn w:val="30"/>
    <w:qFormat/>
    <w:uiPriority w:val="0"/>
    <w:rPr>
      <w:rFonts w:hint="eastAsia" w:ascii="宋体" w:hAnsi="宋体" w:eastAsia="宋体" w:cs="宋体"/>
      <w:b/>
      <w:bCs/>
      <w:color w:val="000000"/>
      <w:sz w:val="21"/>
      <w:szCs w:val="21"/>
      <w:u w:val="none"/>
    </w:rPr>
  </w:style>
  <w:style w:type="paragraph" w:customStyle="1" w:styleId="50">
    <w:name w:val="【图例-图表说明】"/>
    <w:basedOn w:val="42"/>
    <w:qFormat/>
    <w:uiPriority w:val="0"/>
    <w:pPr>
      <w:jc w:val="right"/>
    </w:pPr>
    <w:rPr>
      <w:rFonts w:ascii="仿宋" w:hAnsi="仿宋" w:eastAsia="仿宋"/>
      <w:szCs w:val="24"/>
    </w:rPr>
  </w:style>
  <w:style w:type="paragraph" w:styleId="51">
    <w:name w:val="No Spacing"/>
    <w:link w:val="52"/>
    <w:qFormat/>
    <w:uiPriority w:val="1"/>
    <w:rPr>
      <w:rFonts w:asciiTheme="minorHAnsi" w:hAnsiTheme="minorHAnsi" w:eastAsiaTheme="minorEastAsia" w:cstheme="minorBidi"/>
      <w:sz w:val="22"/>
      <w:szCs w:val="22"/>
      <w:lang w:val="en-US" w:eastAsia="zh-CN" w:bidi="ar-SA"/>
    </w:rPr>
  </w:style>
  <w:style w:type="character" w:customStyle="1" w:styleId="52">
    <w:name w:val="无间隔 字符"/>
    <w:basedOn w:val="30"/>
    <w:link w:val="51"/>
    <w:qFormat/>
    <w:uiPriority w:val="1"/>
    <w:rPr>
      <w:rFonts w:asciiTheme="minorHAnsi" w:hAnsiTheme="minorHAnsi" w:eastAsiaTheme="minorEastAsia" w:cstheme="minorBidi"/>
      <w:sz w:val="22"/>
      <w:szCs w:val="22"/>
    </w:rPr>
  </w:style>
  <w:style w:type="character" w:customStyle="1" w:styleId="53">
    <w:name w:val="日期 字符"/>
    <w:basedOn w:val="30"/>
    <w:link w:val="16"/>
    <w:qFormat/>
    <w:uiPriority w:val="0"/>
    <w:rPr>
      <w:rFonts w:ascii="宋体" w:hAnsi="宋体" w:cs="宋体"/>
      <w:sz w:val="24"/>
      <w:szCs w:val="24"/>
    </w:rPr>
  </w:style>
  <w:style w:type="character" w:customStyle="1" w:styleId="54">
    <w:name w:val="未处理的提及1"/>
    <w:basedOn w:val="30"/>
    <w:semiHidden/>
    <w:unhideWhenUsed/>
    <w:qFormat/>
    <w:uiPriority w:val="99"/>
    <w:rPr>
      <w:color w:val="605E5C"/>
      <w:shd w:val="clear" w:color="auto" w:fill="E1DFDD"/>
    </w:rPr>
  </w:style>
  <w:style w:type="character" w:customStyle="1" w:styleId="55">
    <w:name w:val="页脚 字符"/>
    <w:basedOn w:val="30"/>
    <w:link w:val="17"/>
    <w:qFormat/>
    <w:uiPriority w:val="99"/>
    <w:rPr>
      <w:rFonts w:ascii="宋体" w:hAnsi="宋体" w:cs="宋体"/>
      <w:sz w:val="18"/>
      <w:szCs w:val="18"/>
    </w:rPr>
  </w:style>
  <w:style w:type="character" w:customStyle="1" w:styleId="56">
    <w:name w:val="未处理的提及2"/>
    <w:basedOn w:val="30"/>
    <w:semiHidden/>
    <w:unhideWhenUsed/>
    <w:qFormat/>
    <w:uiPriority w:val="99"/>
    <w:rPr>
      <w:color w:val="605E5C"/>
      <w:shd w:val="clear" w:color="auto" w:fill="E1DFDD"/>
    </w:rPr>
  </w:style>
  <w:style w:type="character" w:customStyle="1" w:styleId="57">
    <w:name w:val="批注文字 字符"/>
    <w:basedOn w:val="30"/>
    <w:link w:val="10"/>
    <w:qFormat/>
    <w:uiPriority w:val="0"/>
    <w:rPr>
      <w:rFonts w:ascii="宋体" w:hAnsi="宋体" w:eastAsia="宋体" w:cs="宋体"/>
      <w:sz w:val="24"/>
      <w:szCs w:val="24"/>
    </w:rPr>
  </w:style>
  <w:style w:type="character" w:customStyle="1" w:styleId="58">
    <w:name w:val="批注主题 字符"/>
    <w:basedOn w:val="57"/>
    <w:link w:val="27"/>
    <w:qFormat/>
    <w:uiPriority w:val="0"/>
    <w:rPr>
      <w:rFonts w:ascii="宋体" w:hAnsi="宋体" w:eastAsia="宋体" w:cs="宋体"/>
      <w:b/>
      <w:bCs/>
      <w:sz w:val="24"/>
      <w:szCs w:val="24"/>
    </w:rPr>
  </w:style>
  <w:style w:type="character" w:customStyle="1" w:styleId="59">
    <w:name w:val="【正文】 Char"/>
    <w:link w:val="37"/>
    <w:qFormat/>
    <w:uiPriority w:val="0"/>
    <w:rPr>
      <w:rFonts w:ascii="宋体" w:hAnsi="宋体" w:eastAsia="宋体" w:cs="宋体"/>
      <w:sz w:val="28"/>
      <w:szCs w:val="28"/>
      <w:lang w:eastAsia="zh-Hans"/>
    </w:rPr>
  </w:style>
  <w:style w:type="character" w:customStyle="1" w:styleId="60">
    <w:name w:val="页眉 字符"/>
    <w:basedOn w:val="30"/>
    <w:link w:val="18"/>
    <w:qFormat/>
    <w:uiPriority w:val="99"/>
    <w:rPr>
      <w:rFonts w:ascii="宋体" w:hAnsi="宋体" w:eastAsia="宋体" w:cs="宋体"/>
      <w:sz w:val="18"/>
      <w:szCs w:val="24"/>
    </w:rPr>
  </w:style>
  <w:style w:type="paragraph" w:customStyle="1" w:styleId="61">
    <w:name w:val="表格内文字"/>
    <w:basedOn w:val="1"/>
    <w:qFormat/>
    <w:uiPriority w:val="0"/>
    <w:pPr>
      <w:adjustRightInd w:val="0"/>
      <w:textAlignment w:val="center"/>
    </w:pPr>
    <w:rPr>
      <w:rFonts w:hint="eastAsia" w:cs="Times New Roman"/>
      <w:b/>
      <w:bCs/>
      <w:color w:val="000000"/>
      <w:sz w:val="22"/>
      <w:szCs w:val="21"/>
    </w:rPr>
  </w:style>
  <w:style w:type="character" w:customStyle="1" w:styleId="62">
    <w:name w:val="font31"/>
    <w:basedOn w:val="30"/>
    <w:qFormat/>
    <w:uiPriority w:val="0"/>
    <w:rPr>
      <w:rFonts w:hint="default" w:ascii="Times New Roman" w:hAnsi="Times New Roman" w:cs="Times New Roman"/>
      <w:color w:val="000000"/>
      <w:sz w:val="20"/>
      <w:szCs w:val="20"/>
      <w:u w:val="none"/>
    </w:rPr>
  </w:style>
  <w:style w:type="character" w:customStyle="1" w:styleId="63">
    <w:name w:val="未处理的提及3"/>
    <w:basedOn w:val="30"/>
    <w:semiHidden/>
    <w:unhideWhenUsed/>
    <w:qFormat/>
    <w:uiPriority w:val="99"/>
    <w:rPr>
      <w:color w:val="605E5C"/>
      <w:shd w:val="clear" w:color="auto" w:fill="E1DFDD"/>
    </w:rPr>
  </w:style>
  <w:style w:type="character" w:customStyle="1" w:styleId="64">
    <w:name w:val="标题 2 字符"/>
    <w:basedOn w:val="30"/>
    <w:link w:val="3"/>
    <w:qFormat/>
    <w:uiPriority w:val="0"/>
    <w:rPr>
      <w:rFonts w:asciiTheme="majorHAnsi" w:hAnsiTheme="majorHAnsi" w:eastAsiaTheme="majorEastAsia" w:cstheme="majorBidi"/>
      <w:b/>
      <w:bCs/>
      <w:kern w:val="2"/>
      <w:sz w:val="32"/>
      <w:szCs w:val="32"/>
    </w:rPr>
  </w:style>
  <w:style w:type="paragraph" w:customStyle="1" w:styleId="65">
    <w:name w:val="修订1"/>
    <w:hidden/>
    <w:unhideWhenUsed/>
    <w:qFormat/>
    <w:uiPriority w:val="99"/>
    <w:rPr>
      <w:rFonts w:ascii="宋体" w:hAnsi="宋体" w:eastAsia="宋体" w:cs="宋体"/>
      <w:sz w:val="24"/>
      <w:szCs w:val="24"/>
      <w:lang w:val="en-US" w:eastAsia="zh-CN" w:bidi="ar-SA"/>
    </w:rPr>
  </w:style>
  <w:style w:type="paragraph" w:customStyle="1" w:styleId="66">
    <w:name w:val="访谈正文"/>
    <w:basedOn w:val="42"/>
    <w:qFormat/>
    <w:uiPriority w:val="0"/>
    <w:pPr>
      <w:adjustRightInd w:val="0"/>
      <w:ind w:firstLine="883" w:firstLineChars="200"/>
      <w:jc w:val="left"/>
    </w:pPr>
    <w:rPr>
      <w:rFonts w:hint="eastAsia" w:cs="Times New Roman"/>
      <w:bCs/>
      <w:color w:val="000000"/>
      <w:szCs w:val="21"/>
    </w:rPr>
  </w:style>
  <w:style w:type="character" w:customStyle="1" w:styleId="67">
    <w:name w:val="未处理的提及4"/>
    <w:basedOn w:val="30"/>
    <w:semiHidden/>
    <w:unhideWhenUsed/>
    <w:qFormat/>
    <w:uiPriority w:val="99"/>
    <w:rPr>
      <w:color w:val="605E5C"/>
      <w:shd w:val="clear" w:color="auto" w:fill="E1DFDD"/>
    </w:rPr>
  </w:style>
  <w:style w:type="table" w:customStyle="1" w:styleId="68">
    <w:name w:val="网格型1"/>
    <w:basedOn w:val="28"/>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9">
    <w:name w:val="样式1 字符"/>
    <w:basedOn w:val="30"/>
    <w:link w:val="5"/>
    <w:qFormat/>
    <w:uiPriority w:val="0"/>
    <w:rPr>
      <w:rFonts w:ascii="Arial" w:hAnsi="Arial" w:cs="Arial"/>
      <w:b/>
      <w:bCs/>
      <w:color w:val="000000"/>
      <w:sz w:val="28"/>
      <w:szCs w:val="28"/>
    </w:rPr>
  </w:style>
  <w:style w:type="character" w:customStyle="1" w:styleId="70">
    <w:name w:val="未处理的提及5"/>
    <w:basedOn w:val="30"/>
    <w:semiHidden/>
    <w:unhideWhenUsed/>
    <w:qFormat/>
    <w:uiPriority w:val="99"/>
    <w:rPr>
      <w:color w:val="605E5C"/>
      <w:shd w:val="clear" w:color="auto" w:fill="E1DFDD"/>
    </w:rPr>
  </w:style>
  <w:style w:type="character" w:customStyle="1" w:styleId="71">
    <w:name w:val="智能超链接1"/>
    <w:basedOn w:val="30"/>
    <w:semiHidden/>
    <w:unhideWhenUsed/>
    <w:qFormat/>
    <w:uiPriority w:val="99"/>
    <w:rPr>
      <w:u w:val="dotted"/>
    </w:rPr>
  </w:style>
  <w:style w:type="character" w:customStyle="1" w:styleId="72">
    <w:name w:val="智能链接1"/>
    <w:basedOn w:val="30"/>
    <w:semiHidden/>
    <w:unhideWhenUsed/>
    <w:qFormat/>
    <w:uiPriority w:val="99"/>
    <w:rPr>
      <w:color w:val="0000FF"/>
      <w:u w:val="single"/>
      <w:shd w:val="clear" w:color="auto" w:fill="F3F2F1"/>
    </w:rPr>
  </w:style>
  <w:style w:type="paragraph" w:customStyle="1" w:styleId="73">
    <w:name w:val="修订2"/>
    <w:hidden/>
    <w:unhideWhenUsed/>
    <w:uiPriority w:val="99"/>
    <w:rPr>
      <w:rFonts w:ascii="宋体" w:hAnsi="宋体" w:eastAsia="宋体" w:cs="宋体"/>
      <w:sz w:val="24"/>
      <w:szCs w:val="24"/>
      <w:lang w:val="en-US" w:eastAsia="zh-CN" w:bidi="ar-SA"/>
    </w:rPr>
  </w:style>
  <w:style w:type="character" w:customStyle="1" w:styleId="74">
    <w:name w:val="标题 4 字符"/>
    <w:basedOn w:val="30"/>
    <w:link w:val="6"/>
    <w:semiHidden/>
    <w:qFormat/>
    <w:uiPriority w:val="0"/>
    <w:rPr>
      <w:rFonts w:asciiTheme="majorHAnsi" w:hAnsiTheme="majorHAnsi" w:eastAsiaTheme="majorEastAsia" w:cstheme="majorBidi"/>
      <w:b/>
      <w:bCs/>
      <w:sz w:val="28"/>
      <w:szCs w:val="28"/>
    </w:rPr>
  </w:style>
  <w:style w:type="character" w:customStyle="1" w:styleId="75">
    <w:name w:val="font01"/>
    <w:basedOn w:val="30"/>
    <w:qFormat/>
    <w:uiPriority w:val="0"/>
    <w:rPr>
      <w:rFonts w:hint="eastAsia" w:ascii="宋体" w:hAnsi="宋体" w:eastAsia="宋体" w:cs="宋体"/>
      <w:color w:val="000000"/>
      <w:sz w:val="22"/>
      <w:szCs w:val="22"/>
      <w:u w:val="none"/>
    </w:rPr>
  </w:style>
  <w:style w:type="table" w:customStyle="1" w:styleId="76">
    <w:name w:val="Table Normal"/>
    <w:semiHidden/>
    <w:unhideWhenUsed/>
    <w:qFormat/>
    <w:uiPriority w:val="0"/>
    <w:tblPr>
      <w:tblCellMar>
        <w:top w:w="0" w:type="dxa"/>
        <w:left w:w="0" w:type="dxa"/>
        <w:bottom w:w="0" w:type="dxa"/>
        <w:right w:w="0" w:type="dxa"/>
      </w:tblCellMar>
    </w:tblPr>
  </w:style>
  <w:style w:type="paragraph" w:customStyle="1" w:styleId="77">
    <w:name w:val="Table Text"/>
    <w:basedOn w:val="1"/>
    <w:semiHidden/>
    <w:qFormat/>
    <w:uiPriority w:val="0"/>
    <w:pPr>
      <w:widowControl w:val="0"/>
      <w:jc w:val="both"/>
    </w:pPr>
    <w:rPr>
      <w:kern w:val="2"/>
      <w:sz w:val="21"/>
      <w:szCs w:val="21"/>
      <w:lang w:eastAsia="en-US"/>
    </w:rPr>
  </w:style>
  <w:style w:type="character" w:customStyle="1" w:styleId="78">
    <w:name w:val="纯文本 字符"/>
    <w:basedOn w:val="30"/>
    <w:link w:val="14"/>
    <w:qFormat/>
    <w:uiPriority w:val="99"/>
    <w:rPr>
      <w:rFonts w:ascii="宋体" w:hAnsi="Courier New" w:cs="宋体" w:eastAsiaTheme="minorEastAsia"/>
      <w:kern w:val="2"/>
      <w:sz w:val="21"/>
      <w:szCs w:val="24"/>
    </w:rPr>
  </w:style>
  <w:style w:type="paragraph" w:customStyle="1" w:styleId="79">
    <w:name w:val="星实-一标"/>
    <w:basedOn w:val="39"/>
    <w:next w:val="1"/>
    <w:link w:val="82"/>
    <w:qFormat/>
    <w:uiPriority w:val="0"/>
    <w:pPr>
      <w:widowControl w:val="0"/>
      <w:numPr>
        <w:ilvl w:val="0"/>
        <w:numId w:val="3"/>
      </w:numPr>
      <w:spacing w:line="360" w:lineRule="auto"/>
      <w:ind w:firstLine="0" w:firstLineChars="0"/>
      <w:jc w:val="left"/>
    </w:pPr>
    <w:rPr>
      <w:rFonts w:ascii="黑体" w:hAnsi="黑体" w:eastAsia="黑体"/>
    </w:rPr>
  </w:style>
  <w:style w:type="character" w:customStyle="1" w:styleId="80">
    <w:name w:val="列表段落 字符"/>
    <w:basedOn w:val="30"/>
    <w:link w:val="40"/>
    <w:qFormat/>
    <w:uiPriority w:val="34"/>
    <w:rPr>
      <w:rFonts w:ascii="宋体" w:hAnsi="宋体" w:cs="宋体"/>
      <w:sz w:val="24"/>
      <w:szCs w:val="24"/>
    </w:rPr>
  </w:style>
  <w:style w:type="character" w:customStyle="1" w:styleId="81">
    <w:name w:val="【标题-1级】 字符"/>
    <w:basedOn w:val="80"/>
    <w:link w:val="39"/>
    <w:qFormat/>
    <w:uiPriority w:val="0"/>
    <w:rPr>
      <w:rFonts w:ascii="Arial" w:hAnsi="Arial" w:cs="Arial" w:eastAsiaTheme="minorEastAsia"/>
      <w:b/>
      <w:bCs/>
      <w:color w:val="000000" w:themeColor="text1"/>
      <w:sz w:val="28"/>
      <w:szCs w:val="28"/>
      <w14:textFill>
        <w14:solidFill>
          <w14:schemeClr w14:val="tx1"/>
        </w14:solidFill>
      </w14:textFill>
    </w:rPr>
  </w:style>
  <w:style w:type="character" w:customStyle="1" w:styleId="82">
    <w:name w:val="星实-一标 字符"/>
    <w:basedOn w:val="81"/>
    <w:link w:val="79"/>
    <w:uiPriority w:val="0"/>
    <w:rPr>
      <w:rFonts w:ascii="黑体" w:hAnsi="黑体" w:eastAsia="黑体" w:cs="Arial"/>
      <w:color w:val="000000" w:themeColor="text1"/>
      <w:sz w:val="28"/>
      <w:szCs w:val="28"/>
      <w14:textFill>
        <w14:solidFill>
          <w14:schemeClr w14:val="tx1"/>
        </w14:solidFill>
      </w14:textFill>
    </w:rPr>
  </w:style>
  <w:style w:type="paragraph" w:customStyle="1" w:styleId="83">
    <w:name w:val="星实-题目"/>
    <w:basedOn w:val="1"/>
    <w:next w:val="1"/>
    <w:link w:val="84"/>
    <w:qFormat/>
    <w:uiPriority w:val="0"/>
    <w:pPr>
      <w:widowControl w:val="0"/>
      <w:spacing w:line="360" w:lineRule="auto"/>
      <w:jc w:val="center"/>
    </w:pPr>
    <w:rPr>
      <w:rFonts w:ascii="Arial" w:hAnsi="Arial" w:cs="Arial"/>
      <w:b/>
      <w:bCs/>
      <w:sz w:val="44"/>
      <w:szCs w:val="44"/>
    </w:rPr>
  </w:style>
  <w:style w:type="character" w:customStyle="1" w:styleId="84">
    <w:name w:val="星实-题目 字符"/>
    <w:basedOn w:val="30"/>
    <w:link w:val="83"/>
    <w:qFormat/>
    <w:uiPriority w:val="0"/>
    <w:rPr>
      <w:rFonts w:ascii="Arial" w:hAnsi="Arial" w:cs="Arial"/>
      <w:b/>
      <w:bCs/>
      <w:sz w:val="44"/>
      <w:szCs w:val="44"/>
    </w:rPr>
  </w:style>
  <w:style w:type="paragraph" w:customStyle="1" w:styleId="85">
    <w:name w:val="星实-版号"/>
    <w:basedOn w:val="1"/>
    <w:autoRedefine/>
    <w:qFormat/>
    <w:uiPriority w:val="0"/>
    <w:pPr>
      <w:widowControl w:val="0"/>
      <w:spacing w:line="360" w:lineRule="auto"/>
      <w:ind w:firstLine="420" w:firstLineChars="200"/>
      <w:jc w:val="right"/>
    </w:pPr>
    <w:rPr>
      <w:rFonts w:ascii="仿宋" w:hAnsi="仿宋" w:eastAsia="仿宋" w:cs="Arial"/>
      <w:sz w:val="21"/>
      <w:szCs w:val="21"/>
    </w:rPr>
  </w:style>
  <w:style w:type="paragraph" w:customStyle="1" w:styleId="86">
    <w:name w:val="星实-二标"/>
    <w:basedOn w:val="41"/>
    <w:link w:val="87"/>
    <w:qFormat/>
    <w:uiPriority w:val="0"/>
    <w:pPr>
      <w:numPr>
        <w:ilvl w:val="0"/>
        <w:numId w:val="4"/>
      </w:numPr>
      <w:spacing w:line="360" w:lineRule="auto"/>
      <w:jc w:val="left"/>
    </w:pPr>
    <w:rPr>
      <w:rFonts w:ascii="楷体" w:hAnsi="楷体" w:eastAsia="楷体"/>
    </w:rPr>
  </w:style>
  <w:style w:type="character" w:customStyle="1" w:styleId="87">
    <w:name w:val="星实-二标 字符"/>
    <w:basedOn w:val="44"/>
    <w:link w:val="86"/>
    <w:qFormat/>
    <w:uiPriority w:val="0"/>
    <w:rPr>
      <w:rFonts w:ascii="楷体" w:hAnsi="楷体" w:eastAsia="楷体" w:cs="Arial"/>
      <w:color w:val="000000"/>
      <w:sz w:val="28"/>
      <w:szCs w:val="28"/>
    </w:rPr>
  </w:style>
  <w:style w:type="paragraph" w:customStyle="1" w:styleId="88">
    <w:name w:val="星实-三标"/>
    <w:basedOn w:val="45"/>
    <w:link w:val="90"/>
    <w:qFormat/>
    <w:uiPriority w:val="0"/>
    <w:pPr>
      <w:numPr>
        <w:ilvl w:val="0"/>
        <w:numId w:val="5"/>
      </w:numPr>
      <w:spacing w:line="360" w:lineRule="auto"/>
      <w:ind w:firstLine="0" w:firstLineChars="0"/>
      <w:jc w:val="left"/>
    </w:pPr>
    <w:rPr>
      <w:rFonts w:ascii="仿宋" w:hAnsi="仿宋" w:eastAsia="仿宋"/>
    </w:rPr>
  </w:style>
  <w:style w:type="character" w:customStyle="1" w:styleId="89">
    <w:name w:val="【标题-3级】 字符"/>
    <w:basedOn w:val="30"/>
    <w:link w:val="45"/>
    <w:qFormat/>
    <w:uiPriority w:val="0"/>
    <w:rPr>
      <w:rFonts w:ascii="Arial" w:hAnsi="Arial" w:cs="Arial"/>
      <w:b/>
      <w:bCs/>
      <w:color w:val="000000"/>
      <w:sz w:val="28"/>
      <w:szCs w:val="28"/>
    </w:rPr>
  </w:style>
  <w:style w:type="character" w:customStyle="1" w:styleId="90">
    <w:name w:val="星实-三标 字符"/>
    <w:basedOn w:val="89"/>
    <w:link w:val="88"/>
    <w:qFormat/>
    <w:uiPriority w:val="0"/>
    <w:rPr>
      <w:rFonts w:ascii="仿宋" w:hAnsi="仿宋" w:eastAsia="仿宋" w:cs="Arial"/>
      <w:color w:val="000000"/>
      <w:sz w:val="28"/>
      <w:szCs w:val="28"/>
    </w:rPr>
  </w:style>
  <w:style w:type="paragraph" w:customStyle="1" w:styleId="91">
    <w:name w:val="星实-正文"/>
    <w:basedOn w:val="1"/>
    <w:link w:val="92"/>
    <w:qFormat/>
    <w:uiPriority w:val="0"/>
    <w:pPr>
      <w:widowControl w:val="0"/>
      <w:spacing w:line="360" w:lineRule="auto"/>
      <w:ind w:firstLine="560" w:firstLineChars="200"/>
      <w:jc w:val="both"/>
    </w:pPr>
    <w:rPr>
      <w:rFonts w:ascii="仿宋" w:hAnsi="仿宋" w:eastAsia="仿宋" w:cs="Arial"/>
      <w:sz w:val="28"/>
      <w:szCs w:val="28"/>
    </w:rPr>
  </w:style>
  <w:style w:type="character" w:customStyle="1" w:styleId="92">
    <w:name w:val="星实-正文 字符"/>
    <w:basedOn w:val="30"/>
    <w:link w:val="91"/>
    <w:qFormat/>
    <w:uiPriority w:val="0"/>
    <w:rPr>
      <w:rFonts w:ascii="仿宋" w:hAnsi="仿宋" w:eastAsia="仿宋" w:cs="Arial"/>
      <w:sz w:val="28"/>
      <w:szCs w:val="28"/>
    </w:rPr>
  </w:style>
  <w:style w:type="paragraph" w:customStyle="1" w:styleId="93">
    <w:name w:val="星实表标题"/>
    <w:basedOn w:val="9"/>
    <w:link w:val="95"/>
    <w:qFormat/>
    <w:uiPriority w:val="0"/>
    <w:pPr>
      <w:widowControl w:val="0"/>
      <w:jc w:val="center"/>
    </w:pPr>
    <w:rPr>
      <w:rFonts w:ascii="仿宋" w:hAnsi="仿宋" w:eastAsia="仿宋" w:cs="Arial"/>
      <w:b/>
      <w:bCs/>
      <w:sz w:val="28"/>
      <w:szCs w:val="28"/>
    </w:rPr>
  </w:style>
  <w:style w:type="character" w:customStyle="1" w:styleId="94">
    <w:name w:val="题注 字符"/>
    <w:basedOn w:val="30"/>
    <w:link w:val="9"/>
    <w:qFormat/>
    <w:uiPriority w:val="0"/>
    <w:rPr>
      <w:rFonts w:ascii="Arial" w:hAnsi="Arial" w:eastAsia="黑体" w:cs="宋体"/>
      <w:szCs w:val="24"/>
    </w:rPr>
  </w:style>
  <w:style w:type="character" w:customStyle="1" w:styleId="95">
    <w:name w:val="星实表标题 字符"/>
    <w:basedOn w:val="94"/>
    <w:link w:val="93"/>
    <w:qFormat/>
    <w:uiPriority w:val="0"/>
    <w:rPr>
      <w:rFonts w:ascii="仿宋" w:hAnsi="仿宋" w:eastAsia="仿宋" w:cs="Arial"/>
      <w:b/>
      <w:bCs/>
      <w:sz w:val="28"/>
      <w:szCs w:val="28"/>
    </w:rPr>
  </w:style>
  <w:style w:type="paragraph" w:customStyle="1" w:styleId="96">
    <w:name w:val="星实表表头"/>
    <w:basedOn w:val="1"/>
    <w:link w:val="97"/>
    <w:qFormat/>
    <w:uiPriority w:val="0"/>
    <w:pPr>
      <w:keepNext/>
      <w:framePr w:hSpace="180" w:wrap="around" w:vAnchor="text" w:hAnchor="margin" w:xAlign="center" w:y="218"/>
      <w:widowControl w:val="0"/>
      <w:jc w:val="both"/>
    </w:pPr>
    <w:rPr>
      <w:rFonts w:ascii="仿宋" w:hAnsi="仿宋" w:eastAsia="仿宋" w:cs="Arial"/>
      <w:b/>
      <w:bCs/>
      <w:color w:val="000000"/>
      <w:sz w:val="21"/>
      <w:szCs w:val="21"/>
    </w:rPr>
  </w:style>
  <w:style w:type="character" w:customStyle="1" w:styleId="97">
    <w:name w:val="星实表表头 字符"/>
    <w:basedOn w:val="30"/>
    <w:link w:val="96"/>
    <w:qFormat/>
    <w:uiPriority w:val="0"/>
    <w:rPr>
      <w:rFonts w:ascii="仿宋" w:hAnsi="仿宋" w:eastAsia="仿宋" w:cs="Arial"/>
      <w:b/>
      <w:bCs/>
      <w:color w:val="000000"/>
      <w:sz w:val="21"/>
      <w:szCs w:val="21"/>
    </w:rPr>
  </w:style>
  <w:style w:type="table" w:customStyle="1" w:styleId="98">
    <w:name w:val="星实表格"/>
    <w:basedOn w:val="28"/>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楷体"/>
        <w:b/>
        <w:sz w:val="21"/>
      </w:rPr>
      <w:tcPr>
        <w:shd w:val="clear" w:color="auto" w:fill="D9D9D9"/>
      </w:tcPr>
    </w:tblStylePr>
  </w:style>
  <w:style w:type="paragraph" w:customStyle="1" w:styleId="99">
    <w:name w:val="星实表正文"/>
    <w:basedOn w:val="1"/>
    <w:link w:val="100"/>
    <w:qFormat/>
    <w:uiPriority w:val="0"/>
    <w:pPr>
      <w:framePr w:hSpace="180" w:wrap="around" w:vAnchor="text" w:hAnchor="margin" w:xAlign="center" w:y="218"/>
      <w:widowControl w:val="0"/>
      <w:jc w:val="both"/>
    </w:pPr>
    <w:rPr>
      <w:rFonts w:ascii="仿宋" w:hAnsi="仿宋" w:eastAsia="仿宋" w:cs="Arial"/>
      <w:color w:val="000000"/>
      <w:sz w:val="21"/>
      <w:szCs w:val="21"/>
    </w:rPr>
  </w:style>
  <w:style w:type="character" w:customStyle="1" w:styleId="100">
    <w:name w:val="星实表正文 字符"/>
    <w:basedOn w:val="30"/>
    <w:link w:val="99"/>
    <w:qFormat/>
    <w:uiPriority w:val="0"/>
    <w:rPr>
      <w:rFonts w:ascii="仿宋" w:hAnsi="仿宋" w:eastAsia="仿宋" w:cs="Arial"/>
      <w:color w:val="000000"/>
      <w:sz w:val="21"/>
      <w:szCs w:val="21"/>
    </w:rPr>
  </w:style>
  <w:style w:type="paragraph" w:customStyle="1" w:styleId="101">
    <w:name w:val="星实表批注"/>
    <w:basedOn w:val="1"/>
    <w:link w:val="102"/>
    <w:qFormat/>
    <w:uiPriority w:val="0"/>
    <w:pPr>
      <w:widowControl w:val="0"/>
      <w:jc w:val="both"/>
    </w:pPr>
    <w:rPr>
      <w:rFonts w:ascii="仿宋" w:hAnsi="仿宋" w:eastAsia="仿宋" w:cs="Arial"/>
      <w:sz w:val="21"/>
      <w:szCs w:val="21"/>
    </w:rPr>
  </w:style>
  <w:style w:type="character" w:customStyle="1" w:styleId="102">
    <w:name w:val="星实表批注 字符"/>
    <w:basedOn w:val="30"/>
    <w:link w:val="101"/>
    <w:qFormat/>
    <w:uiPriority w:val="0"/>
    <w:rPr>
      <w:rFonts w:ascii="仿宋" w:hAnsi="仿宋" w:eastAsia="仿宋" w:cs="Arial"/>
      <w:sz w:val="21"/>
      <w:szCs w:val="21"/>
    </w:rPr>
  </w:style>
  <w:style w:type="paragraph" w:customStyle="1" w:styleId="103">
    <w:name w:val="星实表单位"/>
    <w:basedOn w:val="101"/>
    <w:link w:val="104"/>
    <w:qFormat/>
    <w:uiPriority w:val="0"/>
    <w:pPr>
      <w:jc w:val="right"/>
    </w:pPr>
  </w:style>
  <w:style w:type="character" w:customStyle="1" w:styleId="104">
    <w:name w:val="星实表单位 字符"/>
    <w:basedOn w:val="102"/>
    <w:link w:val="103"/>
    <w:qFormat/>
    <w:uiPriority w:val="0"/>
    <w:rPr>
      <w:rFonts w:ascii="仿宋" w:hAnsi="仿宋" w:eastAsia="仿宋" w:cs="Arial"/>
      <w:sz w:val="21"/>
      <w:szCs w:val="21"/>
    </w:rPr>
  </w:style>
  <w:style w:type="character" w:customStyle="1" w:styleId="105">
    <w:name w:val="标题 3 字符"/>
    <w:basedOn w:val="30"/>
    <w:link w:val="4"/>
    <w:uiPriority w:val="0"/>
    <w:rPr>
      <w:rFonts w:ascii="Arial" w:hAnsi="Arial" w:cs="Arial"/>
      <w:b/>
      <w:bCs/>
      <w:color w:val="000000"/>
      <w:sz w:val="28"/>
      <w:szCs w:val="28"/>
    </w:rPr>
  </w:style>
  <w:style w:type="character" w:customStyle="1" w:styleId="106">
    <w:name w:val="正文文本 字符"/>
    <w:basedOn w:val="30"/>
    <w:link w:val="11"/>
    <w:uiPriority w:val="1"/>
    <w:rPr>
      <w:rFonts w:ascii="宋体" w:hAnsi="宋体" w:cs="宋体"/>
      <w:sz w:val="24"/>
      <w:szCs w:val="24"/>
    </w:rPr>
  </w:style>
  <w:style w:type="character" w:customStyle="1" w:styleId="107">
    <w:name w:val="脚注文本 字符"/>
    <w:basedOn w:val="30"/>
    <w:link w:val="21"/>
    <w:qFormat/>
    <w:uiPriority w:val="99"/>
    <w:rPr>
      <w:rFonts w:ascii="宋体" w:hAnsi="宋体" w:cs="宋体"/>
      <w:sz w:val="18"/>
      <w:szCs w:val="18"/>
    </w:rPr>
  </w:style>
  <w:style w:type="paragraph" w:customStyle="1" w:styleId="108">
    <w:name w:val="msonormal"/>
    <w:basedOn w:val="1"/>
    <w:qFormat/>
    <w:uiPriority w:val="0"/>
    <w:pPr>
      <w:spacing w:before="100" w:beforeAutospacing="1" w:after="100" w:afterAutospacing="1"/>
    </w:pPr>
  </w:style>
  <w:style w:type="paragraph" w:customStyle="1" w:styleId="109">
    <w:name w:val="列表段落1"/>
    <w:basedOn w:val="1"/>
    <w:qFormat/>
    <w:uiPriority w:val="99"/>
    <w:pPr>
      <w:spacing w:line="440" w:lineRule="exact"/>
      <w:ind w:firstLine="420" w:firstLineChars="200"/>
      <w:jc w:val="both"/>
    </w:pPr>
    <w:rPr>
      <w:rFonts w:ascii="Verdana" w:hAnsi="Verdana"/>
      <w:color w:val="000000"/>
      <w:kern w:val="28"/>
      <w:sz w:val="21"/>
      <w:szCs w:val="21"/>
    </w:rPr>
  </w:style>
  <w:style w:type="character" w:customStyle="1" w:styleId="110">
    <w:name w:val="10"/>
    <w:basedOn w:val="30"/>
    <w:qFormat/>
    <w:uiPriority w:val="0"/>
    <w:rPr>
      <w:rFonts w:hint="default" w:ascii="Calibri" w:hAnsi="Calibri" w:cs="Calibri"/>
    </w:rPr>
  </w:style>
  <w:style w:type="character" w:customStyle="1" w:styleId="111">
    <w:name w:val="15"/>
    <w:basedOn w:val="30"/>
    <w:uiPriority w:val="0"/>
    <w:rPr>
      <w:rFonts w:hint="eastAsia" w:ascii="宋体" w:hAnsi="宋体" w:eastAsia="宋体"/>
      <w:color w:val="000000"/>
      <w:sz w:val="22"/>
      <w:szCs w:val="22"/>
    </w:rPr>
  </w:style>
  <w:style w:type="character" w:customStyle="1" w:styleId="112">
    <w:name w:val="font41"/>
    <w:basedOn w:val="30"/>
    <w:uiPriority w:val="0"/>
    <w:rPr>
      <w:rFonts w:hint="eastAsia" w:ascii="宋体" w:hAnsi="宋体" w:eastAsia="宋体"/>
      <w:color w:val="000000"/>
      <w:sz w:val="24"/>
      <w:szCs w:val="24"/>
      <w:u w:val="none"/>
    </w:rPr>
  </w:style>
  <w:style w:type="character" w:customStyle="1" w:styleId="113">
    <w:name w:val="font51"/>
    <w:basedOn w:val="30"/>
    <w:qFormat/>
    <w:uiPriority w:val="0"/>
    <w:rPr>
      <w:rFonts w:hint="eastAsia" w:ascii="宋体" w:hAnsi="宋体" w:eastAsia="宋体"/>
      <w:b/>
      <w:bCs/>
      <w:color w:val="000000"/>
      <w:sz w:val="24"/>
      <w:szCs w:val="24"/>
      <w:u w:val="none"/>
    </w:rPr>
  </w:style>
  <w:style w:type="character" w:customStyle="1" w:styleId="114">
    <w:name w:val="font61"/>
    <w:basedOn w:val="30"/>
    <w:uiPriority w:val="0"/>
    <w:rPr>
      <w:rFonts w:hint="eastAsia" w:ascii="宋体" w:hAnsi="宋体" w:eastAsia="宋体"/>
      <w:color w:val="000000"/>
      <w:sz w:val="24"/>
      <w:szCs w:val="24"/>
      <w:u w:val="none"/>
    </w:rPr>
  </w:style>
  <w:style w:type="paragraph" w:customStyle="1" w:styleId="115">
    <w:name w:val="修订21"/>
    <w:hidden/>
    <w:unhideWhenUsed/>
    <w:qFormat/>
    <w:uiPriority w:val="99"/>
    <w:rPr>
      <w:rFonts w:ascii="宋体" w:hAnsi="宋体" w:eastAsia="宋体" w:cs="宋体"/>
      <w:sz w:val="24"/>
      <w:szCs w:val="24"/>
      <w:lang w:val="en-US" w:eastAsia="zh-CN" w:bidi="ar-SA"/>
    </w:rPr>
  </w:style>
  <w:style w:type="character" w:customStyle="1" w:styleId="116">
    <w:name w:val="font71"/>
    <w:basedOn w:val="30"/>
    <w:qFormat/>
    <w:uiPriority w:val="0"/>
    <w:rPr>
      <w:rFonts w:hint="eastAsia" w:ascii="宋体" w:hAnsi="宋体" w:eastAsia="宋体"/>
      <w:color w:val="000000"/>
      <w:sz w:val="22"/>
      <w:szCs w:val="22"/>
      <w:u w:val="none"/>
    </w:rPr>
  </w:style>
  <w:style w:type="character" w:customStyle="1" w:styleId="117">
    <w:name w:val="font91"/>
    <w:basedOn w:val="30"/>
    <w:qFormat/>
    <w:uiPriority w:val="0"/>
    <w:rPr>
      <w:rFonts w:hint="eastAsia" w:ascii="宋体" w:hAnsi="宋体" w:eastAsia="宋体"/>
      <w:b/>
      <w:bCs/>
      <w:color w:val="000000"/>
      <w:sz w:val="22"/>
      <w:szCs w:val="22"/>
      <w:u w:val="none"/>
    </w:rPr>
  </w:style>
  <w:style w:type="character" w:customStyle="1" w:styleId="118">
    <w:name w:val="未处理的提及6"/>
    <w:basedOn w:val="30"/>
    <w:semiHidden/>
    <w:unhideWhenUsed/>
    <w:uiPriority w:val="99"/>
    <w:rPr>
      <w:color w:val="605E5C"/>
      <w:shd w:val="clear" w:color="auto" w:fill="E1DFDD"/>
    </w:rPr>
  </w:style>
  <w:style w:type="paragraph" w:customStyle="1" w:styleId="119">
    <w:name w:val="2"/>
    <w:uiPriority w:val="0"/>
    <w:pPr>
      <w:spacing w:before="120" w:after="120" w:line="288" w:lineRule="auto"/>
    </w:pPr>
    <w:rPr>
      <w:rFonts w:ascii="Arial" w:hAnsi="Arial" w:eastAsia="DengXian" w:cs="Arial"/>
      <w:sz w:val="22"/>
      <w:szCs w:val="22"/>
      <w:lang w:val="en-US" w:eastAsia="zh-CN" w:bidi="ar-SA"/>
    </w:rPr>
  </w:style>
  <w:style w:type="character" w:customStyle="1" w:styleId="120">
    <w:name w:val="lb"/>
    <w:basedOn w:val="30"/>
    <w:uiPriority w:val="0"/>
  </w:style>
  <w:style w:type="table" w:customStyle="1" w:styleId="121">
    <w:name w:val="星实表格1"/>
    <w:basedOn w:val="28"/>
    <w:qFormat/>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仿宋"/>
        <w:b/>
        <w:sz w:val="21"/>
      </w:rPr>
      <w:tcPr>
        <w:shd w:val="clear" w:color="auto" w:fill="D9D9D9"/>
      </w:tcPr>
    </w:tblStylePr>
  </w:style>
  <w:style w:type="paragraph" w:customStyle="1" w:styleId="122">
    <w:name w:val="星实-四标"/>
    <w:basedOn w:val="1"/>
    <w:link w:val="127"/>
    <w:uiPriority w:val="0"/>
    <w:pPr>
      <w:numPr>
        <w:ilvl w:val="0"/>
        <w:numId w:val="6"/>
      </w:numPr>
      <w:spacing w:line="360" w:lineRule="auto"/>
      <w:ind w:left="400"/>
      <w:contextualSpacing/>
      <w:outlineLvl w:val="2"/>
    </w:pPr>
    <w:rPr>
      <w:rFonts w:hint="eastAsia" w:ascii="仿宋" w:hAnsi="仿宋" w:eastAsia="仿宋" w:cs="Arial"/>
      <w:b/>
      <w:bCs/>
      <w:color w:val="000000"/>
      <w:sz w:val="28"/>
      <w:szCs w:val="28"/>
    </w:rPr>
  </w:style>
  <w:style w:type="character" w:customStyle="1" w:styleId="123">
    <w:name w:val="标题 字符"/>
    <w:basedOn w:val="30"/>
    <w:uiPriority w:val="0"/>
    <w:rPr>
      <w:rFonts w:asciiTheme="majorHAnsi" w:hAnsiTheme="majorHAnsi" w:eastAsiaTheme="majorEastAsia" w:cstheme="majorBidi"/>
      <w:b/>
      <w:bCs/>
      <w:sz w:val="32"/>
      <w:szCs w:val="32"/>
    </w:rPr>
  </w:style>
  <w:style w:type="character" w:customStyle="1" w:styleId="124">
    <w:name w:val="标题 字符1"/>
    <w:link w:val="26"/>
    <w:qFormat/>
    <w:uiPriority w:val="0"/>
    <w:rPr>
      <w:rFonts w:ascii="黑体" w:hAnsi="宋体" w:eastAsia="黑体" w:cs="宋体"/>
      <w:b/>
      <w:color w:val="000000"/>
      <w:sz w:val="28"/>
      <w:szCs w:val="28"/>
    </w:rPr>
  </w:style>
  <w:style w:type="paragraph" w:customStyle="1" w:styleId="125">
    <w:name w:val="_Style 13"/>
    <w:uiPriority w:val="0"/>
    <w:pPr>
      <w:spacing w:before="120" w:after="120" w:line="288" w:lineRule="auto"/>
      <w:ind w:left="0"/>
      <w:jc w:val="left"/>
    </w:pPr>
    <w:rPr>
      <w:rFonts w:ascii="Arial" w:hAnsi="Arial" w:eastAsia="等线" w:cs="Arial"/>
      <w:sz w:val="22"/>
      <w:szCs w:val="22"/>
    </w:rPr>
  </w:style>
  <w:style w:type="paragraph" w:customStyle="1" w:styleId="126">
    <w:name w:val="_Style 14"/>
    <w:uiPriority w:val="0"/>
    <w:pPr>
      <w:spacing w:before="120" w:after="120" w:line="288" w:lineRule="auto"/>
      <w:ind w:left="0"/>
      <w:jc w:val="left"/>
    </w:pPr>
    <w:rPr>
      <w:rFonts w:ascii="Arial" w:hAnsi="Arial" w:eastAsia="等线" w:cs="Arial"/>
      <w:color w:val="8F959E"/>
      <w:sz w:val="22"/>
      <w:szCs w:val="22"/>
    </w:rPr>
  </w:style>
  <w:style w:type="character" w:customStyle="1" w:styleId="127">
    <w:name w:val="星实-四标 Char"/>
    <w:link w:val="122"/>
    <w:uiPriority w:val="0"/>
    <w:rPr>
      <w:rFonts w:hint="eastAsia" w:ascii="仿宋" w:hAnsi="仿宋" w:eastAsia="仿宋" w:cs="Arial"/>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1A5C33-751D-4BFA-939E-1F229668A475}">
  <ds:schemaRefs/>
</ds:datastoreItem>
</file>

<file path=docProps/app.xml><?xml version="1.0" encoding="utf-8"?>
<Properties xmlns="http://schemas.openxmlformats.org/officeDocument/2006/extended-properties" xmlns:vt="http://schemas.openxmlformats.org/officeDocument/2006/docPropsVTypes">
  <Template>Normal.dotm</Template>
  <Pages>68</Pages>
  <Words>5681</Words>
  <Characters>32387</Characters>
  <Lines>269</Lines>
  <Paragraphs>75</Paragraphs>
  <TotalTime>82</TotalTime>
  <ScaleCrop>false</ScaleCrop>
  <LinksUpToDate>false</LinksUpToDate>
  <CharactersWithSpaces>37993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2026-02-09T20:24:00Z</dcterms:created>
  <dc:creator>Administrator</dc:creator>
  <cp:lastModifiedBy>吴襄</cp:lastModifiedBy>
  <cp:lastPrinted>2024-07-20T10:30:00Z</cp:lastPrinted>
  <dcterms:modified xsi:type="dcterms:W3CDTF">2026-06-22T15:10:17Z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29BC9C9B5FD446EEBBBC53E140E0187A_13</vt:lpwstr>
  </property>
  <property fmtid="{D5CDD505-2E9C-101B-9397-08002B2CF9AE}" pid="4" name="KSOTemplateDocerSaveRecord">
    <vt:lpwstr>eyJoZGlkIjoiMjI5MzJhNGM1YjlhNDI5ZTIyOGI1YThlNjMwNWIyNzkiLCJ1c2VySWQiOiI0Mzc4NTcxODIifQ==</vt:lpwstr>
  </property>
</Properties>
</file>