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STHeiti" w:cs="STHeiti" w:eastAsia="STHeiti" w:hAnsi="STHeiti"/>
          <w:color w:val="000000"/>
          <w:sz w:val="28"/>
          <w:szCs w:val="28"/>
        </w:rPr>
        <w:t xml:space="preserve">关于智灵动力项目投资合规性的说明</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公司情况介绍</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公司简介</w:t>
      </w:r>
    </w:p>
    <w:p>
      <w:pPr>
        <w:keepLines w:val="false"/>
        <w:spacing w:after="0" w:before="0" w:line="360"/>
        <w:ind w:firstLine="480"/>
        <w:jc w:val="both"/>
      </w:pPr>
      <w:r>
        <w:rPr>
          <w:rFonts w:ascii="Songti SC" w:cs="Songti SC" w:eastAsia="Songti SC" w:hAnsi="Songti SC"/>
          <w:color w:val="000000"/>
          <w:sz w:val="24"/>
          <w:szCs w:val="24"/>
        </w:rPr>
        <w:t>智灵动力现阶段由合肥全资子公司元娲承接相关业务，北京主体与合肥主体分工运营，以减少业务重合及由此产生的合规风险。</w:t>
      </w:r>
    </w:p>
    <w:p>
      <w:pPr>
        <w:keepLines w:val="false"/>
        <w:spacing w:after="0" w:before="0" w:line="360"/>
        <w:ind w:firstLine="480"/>
        <w:jc w:val="both"/>
      </w:pPr>
      <w:r>
        <w:rPr>
          <w:rFonts w:ascii="Songti SC" w:cs="Songti SC" w:eastAsia="Songti SC" w:hAnsi="Songti SC"/>
          <w:color w:val="000000"/>
          <w:sz w:val="24"/>
          <w:szCs w:val="24"/>
        </w:rPr>
        <w:t>公司目前开展算法优化、智能办公及AI内容生成等业务，其中TikTok转绘为人效较高的业务线，人均年产值约120万元至150万元。</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核心团队</w:t>
      </w:r>
    </w:p>
    <w:p>
      <w:pPr>
        <w:keepLines w:val="false"/>
        <w:spacing w:after="0" w:before="0" w:line="360"/>
        <w:ind w:firstLine="480"/>
        <w:jc w:val="both"/>
      </w:pPr>
      <w:r>
        <w:rPr>
          <w:rFonts w:ascii="Songti SC" w:cs="Songti SC" w:eastAsia="Songti SC" w:hAnsi="Songti SC"/>
          <w:color w:val="000000"/>
          <w:sz w:val="24"/>
          <w:szCs w:val="24"/>
        </w:rPr>
        <w:t>公司现有员工约138人，计划在本轮组织调整后缩减至约130人。研发团队40余人，其中合肥约30人，另有人员分布于杭州、北京等地；合肥核心技术团队约10人，并配有外包团队承担部分拼装交付工作。</w:t>
      </w:r>
    </w:p>
    <w:p>
      <w:pPr>
        <w:keepLines w:val="false"/>
        <w:spacing w:after="0" w:before="0" w:line="360"/>
        <w:ind w:firstLine="480"/>
        <w:jc w:val="both"/>
      </w:pPr>
      <w:r>
        <w:rPr>
          <w:rFonts w:ascii="Songti SC" w:cs="Songti SC" w:eastAsia="Songti SC" w:hAnsi="Songti SC"/>
          <w:color w:val="000000"/>
          <w:sz w:val="24"/>
          <w:szCs w:val="24"/>
        </w:rPr>
        <w:t>公司商务团队约20至30人，分布在多个地区，客户拓展主要依靠老客户转介绍和创始人资源对接，并通过陌拜、行业活动及内容平台补充获客。杭州团队约8至9人，以商务职能为主。</w:t>
      </w:r>
    </w:p>
    <w:p>
      <w:pPr>
        <w:keepLines w:val="false"/>
        <w:spacing w:after="0" w:before="0" w:line="360"/>
        <w:ind w:firstLine="480"/>
        <w:jc w:val="both"/>
      </w:pPr>
      <w:r>
        <w:rPr>
          <w:rFonts w:ascii="Songti SC" w:cs="Songti SC" w:eastAsia="Songti SC" w:hAnsi="Songti SC"/>
          <w:color w:val="000000"/>
          <w:sz w:val="24"/>
          <w:szCs w:val="24"/>
        </w:rPr>
        <w:t>公司短剧内容团队约42人，采用异地线上协作方式，部分人员负责自营短剧业务。相关牌照正在申请，自有短剧发布安排尚未最终确定。</w:t>
      </w:r>
    </w:p>
    <w:p>
      <w:pPr>
        <w:keepLines w:val="false"/>
        <w:spacing w:after="0" w:before="0" w:line="360"/>
        <w:ind w:firstLine="480"/>
        <w:jc w:val="both"/>
      </w:pPr>
      <w:r>
        <w:rPr>
          <w:rFonts w:ascii="Songti SC" w:cs="Songti SC" w:eastAsia="Songti SC" w:hAnsi="Songti SC"/>
          <w:color w:val="000000"/>
          <w:sz w:val="24"/>
          <w:szCs w:val="24"/>
        </w:rPr>
        <w:t>沈教授带领的清华学生团队负责前沿技术研究和论文产出，目前按零人力成本口径计入。公司创始人、各业务负责人及核心技术负责人的姓名、任职关系和职责分工尚待确认，后续应核对人员履历和任职文件。</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产品及技术</w:t>
      </w:r>
    </w:p>
    <w:p>
      <w:pPr>
        <w:keepLines w:val="false"/>
        <w:spacing w:after="0" w:before="0" w:line="360"/>
        <w:ind w:firstLine="480"/>
        <w:jc w:val="both"/>
      </w:pPr>
      <w:r>
        <w:rPr>
          <w:rFonts w:ascii="Songti SC" w:cs="Songti SC" w:eastAsia="Songti SC" w:hAnsi="Songti SC"/>
          <w:color w:val="000000"/>
          <w:sz w:val="24"/>
          <w:szCs w:val="24"/>
        </w:rPr>
        <w:t>公司以算法工厂平台和算法优化服务为主要交付形态，服务内容包括算法加速、参数优化和性能提升，交付物为算法代码或编译后的程序。该模式主要面向客户既有系统进行接口对接和能力植入，不以从零建设完整系统为主。</w:t>
      </w:r>
    </w:p>
    <w:p>
      <w:pPr>
        <w:keepLines w:val="false"/>
        <w:spacing w:after="0" w:before="0" w:line="360"/>
        <w:ind w:firstLine="480"/>
        <w:jc w:val="both"/>
      </w:pPr>
      <w:r>
        <w:rPr>
          <w:rFonts w:ascii="Songti SC" w:cs="Songti SC" w:eastAsia="Songti SC" w:hAnsi="Songti SC"/>
          <w:color w:val="000000"/>
          <w:sz w:val="24"/>
          <w:szCs w:val="24"/>
        </w:rPr>
        <w:t>公司技术服务覆盖算法优化、论文转算法、黑盒系统优化以及数据集加算法的全流程开发。后续计划建设整体智能办公系统、自进化、本体构建和信号发现等能力，相关功能的工程化版本、测试记录和可复用模块仍需逐项确认。</w:t>
      </w:r>
    </w:p>
    <w:p>
      <w:pPr>
        <w:keepLines w:val="false"/>
        <w:spacing w:after="0" w:before="0" w:line="360"/>
        <w:ind w:firstLine="480"/>
        <w:jc w:val="both"/>
      </w:pPr>
      <w:r>
        <w:rPr>
          <w:rFonts w:ascii="Songti SC" w:cs="Songti SC" w:eastAsia="Songti SC" w:hAnsi="Songti SC"/>
          <w:color w:val="000000"/>
          <w:sz w:val="24"/>
          <w:szCs w:val="24"/>
        </w:rPr>
        <w:t>公司将压缩算法作为技术差异化的重要组成部分，并称该算法已经第三方机构认证。认证机构、认证范围、测试条件和对照基准尚待核对，其对商业交付和投资估值的影响应以认证报告、测试数据及算法版本记录为准。</w:t>
      </w:r>
    </w:p>
    <w:p>
      <w:pPr>
        <w:keepLines w:val="false"/>
        <w:spacing w:after="0" w:before="0" w:line="360"/>
        <w:ind w:firstLine="480"/>
        <w:jc w:val="both"/>
      </w:pPr>
      <w:r>
        <w:rPr>
          <w:rFonts w:ascii="Songti SC" w:cs="Songti SC" w:eastAsia="Songti SC" w:hAnsi="Songti SC"/>
          <w:color w:val="000000"/>
          <w:sz w:val="24"/>
          <w:szCs w:val="24"/>
        </w:rPr>
        <w:t>公司正在推进华为超聚变智能体安全算法优化、济南病虫害监测等项目，前者沟通规模约180万元，后者沟通规模约1000万元至2000万元并已召开首次项目会议。上述项目是否已经签约、验收或回款，仍应结合合同、订单、验收单和回款凭证确认。</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投资理由</w:t>
      </w:r>
    </w:p>
    <w:p>
      <w:pPr>
        <w:keepLines w:val="false"/>
        <w:spacing w:after="0" w:before="0" w:line="360"/>
        <w:ind w:firstLine="480"/>
        <w:jc w:val="both"/>
      </w:pPr>
      <w:r>
        <w:rPr>
          <w:rFonts w:ascii="Songti SC" w:cs="Songti SC" w:eastAsia="Songti SC" w:hAnsi="Songti SC"/>
          <w:color w:val="000000"/>
          <w:sz w:val="24"/>
          <w:szCs w:val="24"/>
        </w:rPr>
        <w:t>公司业务涉及算法优化、智能体和AI内容生成，与人工智能应用和行业数字化方向相符。沈教授拟与集鑫方设立合资公司，聚焦金融行业智能体业务，由集鑫方负责运营，智灵动力提供技术支持。该合作的股权比例、治理架构和业务归属尚未最终确定。</w:t>
      </w:r>
    </w:p>
    <w:p>
      <w:pPr>
        <w:keepLines w:val="false"/>
        <w:spacing w:after="0" w:before="0" w:line="360"/>
        <w:ind w:firstLine="480"/>
        <w:jc w:val="both"/>
      </w:pPr>
      <w:r>
        <w:rPr>
          <w:rFonts w:ascii="Songti SC" w:cs="Songti SC" w:eastAsia="Songti SC" w:hAnsi="Songti SC"/>
          <w:color w:val="000000"/>
          <w:sz w:val="24"/>
          <w:szCs w:val="24"/>
        </w:rPr>
        <w:t>公司研发团队40余人，其中合肥约30人为主要研发力量，另有人员分布于杭州和北京；商务团队约20至30人，负责各地客户拓展。沈教授带领的清华学生团队负责前沿研究和论文产出。现有人员配置能够覆盖研发、交付和商务拓展，但核心人员履历、任职关系及职责分工仍需确认。</w:t>
      </w:r>
    </w:p>
    <w:p>
      <w:pPr>
        <w:keepLines w:val="false"/>
        <w:spacing w:after="0" w:before="0" w:line="360"/>
        <w:ind w:firstLine="480"/>
        <w:jc w:val="both"/>
      </w:pPr>
      <w:r>
        <w:rPr>
          <w:rFonts w:ascii="Songti SC" w:cs="Songti SC" w:eastAsia="Songti SC" w:hAnsi="Songti SC"/>
          <w:color w:val="000000"/>
          <w:sz w:val="24"/>
          <w:szCs w:val="24"/>
        </w:rPr>
        <w:t>公司技术服务覆盖算法优化、论文转算法、黑盒系统优化及数据集加算法开发，并计划向智能办公、自进化和本体构建等方向延伸。公司拟通过技术测试、成果发布和政府产业合作提升市场认可度。核心技术指标、知识产权归属及与同类产品的比较情况仍需核对。</w:t>
      </w:r>
    </w:p>
    <w:p>
      <w:pPr>
        <w:keepLines w:val="false"/>
        <w:spacing w:after="0" w:before="0" w:line="360"/>
        <w:ind w:firstLine="480"/>
        <w:jc w:val="both"/>
      </w:pPr>
      <w:r>
        <w:rPr>
          <w:rFonts w:ascii="Songti SC" w:cs="Songti SC" w:eastAsia="Songti SC" w:hAnsi="Songti SC"/>
          <w:color w:val="000000"/>
          <w:sz w:val="24"/>
          <w:szCs w:val="24"/>
        </w:rPr>
        <w:t>公司已启动短剧内容交付，新合作自2026年5月开始，目前每20天交付约5000分钟内容，下一轮订单计划提高至10000分钟。华为超聚变和济南病虫害监测等项目亦在推进。上述业务能否形成稳定收入，应结合正式合同、交付验收、回款和复购情况判断。</w:t>
      </w:r>
    </w:p>
    <w:p>
      <w:pPr>
        <w:keepLines w:val="false"/>
        <w:spacing w:after="0" w:before="0" w:line="360"/>
        <w:ind w:firstLine="480"/>
        <w:jc w:val="both"/>
      </w:pPr>
      <w:r>
        <w:rPr>
          <w:rFonts w:ascii="Songti SC" w:cs="Songti SC" w:eastAsia="Songti SC" w:hAnsi="Songti SC"/>
          <w:color w:val="000000"/>
          <w:sz w:val="24"/>
          <w:szCs w:val="24"/>
        </w:rPr>
        <w:t>公司现阶段同时开展算法优化、AI内容生成和业务合作拓展，并计划在下一轮融资中引入杭州属地政府产业基金、老股东及财务投资机构，目标融资规模约1亿元。后续经营表现主要取决于订单转化、项目交付效率和收入成本结构。</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投资计划</w:t>
      </w:r>
    </w:p>
    <w:p>
      <w:pPr>
        <w:keepLines w:val="false"/>
        <w:spacing w:after="0" w:before="0" w:line="360"/>
        <w:ind w:firstLine="480"/>
        <w:jc w:val="both"/>
      </w:pPr>
      <w:r>
        <w:rPr>
          <w:rFonts w:ascii="Songti SC" w:cs="Songti SC" w:eastAsia="Songti SC" w:hAnsi="Songti SC"/>
          <w:color w:val="000000"/>
          <w:sz w:val="24"/>
          <w:szCs w:val="24"/>
        </w:rPr>
        <w:t>智灵动力本轮融资的估值报价区间为10亿元至15亿元，初步沟通口径约为12亿元，启赋资本正在开展尽调。公司拟在后续融资中引入杭州属地政府产业基金、老股东及财务投资机构，合计筹措约1亿元。公司提出的2026年底60亿元估值属于阶段性目标，不等同于本轮投前或投后估值，最终口径应以融资方案和投资条款清单为准。</w:t>
      </w:r>
    </w:p>
    <w:p>
      <w:pPr>
        <w:keepLines w:val="false"/>
        <w:spacing w:after="0" w:before="0" w:line="360"/>
        <w:ind w:firstLine="480"/>
        <w:jc w:val="both"/>
      </w:pPr>
      <w:r>
        <w:rPr>
          <w:rFonts w:ascii="Songti SC" w:cs="Songti SC" w:eastAsia="Songti SC" w:hAnsi="Songti SC"/>
          <w:color w:val="000000"/>
          <w:sz w:val="24"/>
          <w:szCs w:val="24"/>
        </w:rPr>
        <w:t>融资沟通中出现1000万元的金额口径，华泰科技等两家机构亦分别表达了1000万元的跟投意向。我方拟投资金额、出资主体、资金来源及交割安排尚未确定；投资方式还需区分新增注册资本、老股转让、可转债或其他安排，最终以立项文件和正式投资协议为准。</w:t>
      </w:r>
    </w:p>
    <w:p>
      <w:pPr>
        <w:keepLines w:val="false"/>
        <w:spacing w:after="0" w:before="0" w:line="360"/>
        <w:ind w:firstLine="480"/>
        <w:jc w:val="both"/>
      </w:pPr>
      <w:r>
        <w:rPr>
          <w:rFonts w:ascii="Songti SC" w:cs="Songti SC" w:eastAsia="Songti SC" w:hAnsi="Songti SC"/>
          <w:color w:val="000000"/>
          <w:sz w:val="24"/>
          <w:szCs w:val="24"/>
        </w:rPr>
        <w:t>本次投资需要结合公司资本结构和新融资协议确定增资或股权受让比例，并同步办理相应工商变更。基金直接持股、通过SPV持股或采用其他载体的安排尚未确定，投后权益应按交易架构图、投后股权表和完全摊薄口径计算。</w:t>
      </w:r>
    </w:p>
    <w:p>
      <w:pPr>
        <w:keepLines w:val="false"/>
        <w:spacing w:after="0" w:before="0" w:line="360"/>
        <w:ind w:firstLine="480"/>
        <w:jc w:val="both"/>
      </w:pPr>
      <w:r>
        <w:rPr>
          <w:rFonts w:ascii="Songti SC" w:cs="Songti SC" w:eastAsia="Songti SC" w:hAnsi="Songti SC"/>
          <w:color w:val="000000"/>
          <w:sz w:val="24"/>
          <w:szCs w:val="24"/>
        </w:rPr>
        <w:t>募集资金可能用于自进化大模型发布、业务重组及日常经营，但具体用途、预算比例和资金监管安排尚未明确。投资人保护、退出安排和交割条件应在正式投资协议及章程中约定，并由股东会或董事会履行必要程序。</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投资情形分析</w:t>
      </w:r>
    </w:p>
    <w:p>
      <w:pPr>
        <w:keepLines w:val="false"/>
        <w:spacing w:after="0" w:before="0" w:line="360"/>
        <w:ind w:firstLine="480"/>
        <w:jc w:val="both"/>
      </w:pPr>
      <w:r>
        <w:rPr>
          <w:rFonts w:ascii="Songti SC" w:cs="Songti SC" w:eastAsia="Songti SC" w:hAnsi="Songti SC"/>
          <w:color w:val="000000"/>
          <w:sz w:val="24"/>
          <w:szCs w:val="24"/>
        </w:rPr>
        <w:t>本次投资采用增资、股权受让还是其他方式尚未确定。交易方案明确后，应按基金合伙协议逐项核对禁止性和限制性条款，确认本次交易是否符合基金约定的投资方式。</w:t>
      </w:r>
    </w:p>
    <w:p>
      <w:pPr>
        <w:keepLines w:val="false"/>
        <w:spacing w:after="0" w:before="0" w:line="360"/>
        <w:ind w:firstLine="480"/>
        <w:jc w:val="both"/>
      </w:pPr>
      <w:r>
        <w:rPr>
          <w:rFonts w:ascii="Songti SC" w:cs="Songti SC" w:eastAsia="Songti SC" w:hAnsi="Songti SC"/>
          <w:color w:val="000000"/>
          <w:sz w:val="24"/>
          <w:szCs w:val="24"/>
        </w:rPr>
        <w:t>公司拟与集鑫方设立金融行业智能体合资公司，具体注册地、人员和业务落地安排尚未确定。本项目是否计入返投以及投资后能否完成返投目标，应结合基金返投条款、认定口径和最新台账测算。</w:t>
      </w:r>
    </w:p>
    <w:p>
      <w:pPr>
        <w:keepLines w:val="false"/>
        <w:spacing w:after="0" w:before="0" w:line="360"/>
        <w:ind w:firstLine="480"/>
        <w:jc w:val="both"/>
      </w:pPr>
      <w:r>
        <w:rPr>
          <w:rFonts w:ascii="Songti SC" w:cs="Songti SC" w:eastAsia="Songti SC" w:hAnsi="Songti SC"/>
          <w:color w:val="000000"/>
          <w:sz w:val="24"/>
          <w:szCs w:val="24"/>
        </w:rPr>
        <w:t>公司客户拓展主要依靠老客户转介绍、创始人资源和商务团队开发。标的公司、主要股东、核心人员及交易参与方与基金、管理人和出资人的关联关系仍需核对，是否构成关联交易应以关联关系核查表和利益冲突声明为准。</w:t>
      </w:r>
    </w:p>
    <w:p>
      <w:pPr>
        <w:keepLines w:val="false"/>
        <w:spacing w:after="0" w:before="0" w:line="360"/>
        <w:ind w:firstLine="480"/>
        <w:jc w:val="both"/>
      </w:pPr>
      <w:r>
        <w:rPr>
          <w:rFonts w:ascii="Songti SC" w:cs="Songti SC" w:eastAsia="Songti SC" w:hAnsi="Songti SC"/>
          <w:color w:val="000000"/>
          <w:sz w:val="24"/>
          <w:szCs w:val="24"/>
        </w:rPr>
        <w:t>公司主营业务涉及算法优化、智能体和AI内容生成，并拟拓展金融行业智能体业务。上述业务是否符合基金约定的投资范围、地域和阶段要求，应结合公司主营业务、收入构成及基金投资范围逐项确认。</w:t>
      </w:r>
    </w:p>
    <w:p>
      <w:pPr>
        <w:keepLines w:val="false"/>
        <w:spacing w:after="0" w:before="0" w:line="360"/>
        <w:ind w:firstLine="480"/>
        <w:jc w:val="both"/>
      </w:pPr>
      <w:r>
        <w:rPr>
          <w:rFonts w:ascii="Songti SC" w:cs="Songti SC" w:eastAsia="Songti SC" w:hAnsi="Songti SC"/>
          <w:color w:val="000000"/>
          <w:sz w:val="24"/>
          <w:szCs w:val="24"/>
        </w:rPr>
        <w:t>本次投资采用基金直接持股还是通过专项载体实施尚未确定。交易架构明确后，应按基金配置条款核对资产类型、持股路径和配置比例。</w:t>
      </w:r>
    </w:p>
    <w:p>
      <w:pPr>
        <w:keepLines w:val="false"/>
        <w:spacing w:after="0" w:before="0" w:line="360"/>
        <w:ind w:firstLine="480"/>
        <w:jc w:val="both"/>
      </w:pPr>
      <w:r>
        <w:rPr>
          <w:rFonts w:ascii="Songti SC" w:cs="Songti SC" w:eastAsia="Songti SC" w:hAnsi="Songti SC"/>
          <w:color w:val="000000"/>
          <w:sz w:val="24"/>
          <w:szCs w:val="24"/>
        </w:rPr>
        <w:t>本轮融资估值报价区间为10亿元至15亿元，但我方投资金额及对同一项目的累计风险敞口尚未确定。集中度应按基金协议约定的分母，以本次投资金额和累计投资金额测算并与限额比较。</w:t>
      </w:r>
    </w:p>
    <w:p>
      <w:pPr>
        <w:keepLines w:val="false"/>
        <w:spacing w:after="0" w:before="0" w:line="360"/>
        <w:ind w:firstLine="480"/>
        <w:jc w:val="both"/>
      </w:pPr>
      <w:r>
        <w:rPr>
          <w:rFonts w:ascii="Songti SC" w:cs="Songti SC" w:eastAsia="Songti SC" w:hAnsi="Songti SC"/>
          <w:color w:val="000000"/>
          <w:sz w:val="24"/>
          <w:szCs w:val="24"/>
        </w:rPr>
        <w:t>公司业务涉及算法、数据和人工智能应用，交割前还应核对主体登记、知识产权、数据合规、劳动用工、许可备案、诉讼处罚及内部投决程序，并将必要的整改和审批要求落实到交易文件。</w:t>
      </w:r>
    </w:p>
    <w:p>
      <w:pPr>
        <w:keepLines w:val="false"/>
        <w:spacing w:after="0" w:before="240" w:line="360"/>
        <w:ind w:firstLine="480"/>
        <w:jc w:val="both"/>
      </w:pPr>
      <w:r>
        <w:rPr>
          <w:rFonts w:ascii="Songti SC" w:cs="Songti SC" w:eastAsia="Songti SC" w:hAnsi="Songti SC"/>
          <w:color w:val="000000"/>
          <w:sz w:val="24"/>
          <w:szCs w:val="24"/>
        </w:rPr>
        <w:t>综上，本项目业务方向与人工智能应用相关，但投资方式、返投认定、关联关系、配置比例和集中度仍需结合基金条款及正式交易文件核对。在完成法务审查、必要审批并落实交易条件后，可进入下一阶段投资决策程序。</w:t>
      </w:r>
    </w:p>
    <w:p>
      <w:pPr>
        <w:keepNext/>
        <w:spacing w:after="0" w:before="240" w:line="360"/>
        <w:jc w:val="right"/>
      </w:pPr>
      <w:r>
        <w:rPr>
          <w:rFonts w:ascii="Songti SC" w:cs="Songti SC" w:eastAsia="Songti SC" w:hAnsi="Songti SC"/>
          <w:color w:val="000000"/>
          <w:sz w:val="24"/>
          <w:szCs w:val="24"/>
        </w:rPr>
        <w:t xml:space="preserve">浙江赛智伯乐股权投资管理有限公司</w:t>
      </w:r>
    </w:p>
    <w:p>
      <w:pPr>
        <w:spacing w:after="0" w:before="240" w:line="360"/>
        <w:jc w:val="right"/>
      </w:pPr>
      <w:r>
        <w:rPr>
          <w:rFonts w:ascii="Songti SC" w:cs="Songti SC" w:eastAsia="Songti SC" w:hAnsi="Songti SC"/>
          <w:color w:val="000000"/>
          <w:sz w:val="24"/>
          <w:szCs w:val="24"/>
        </w:rPr>
        <w:t xml:space="preserve">2026年   7   月   31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2026-07-31T13:49:29.665Z</dcterms:created>
  <dcterms:modified xsi:type="dcterms:W3CDTF">2026-07-31T13:49:29.665Z</dcterms:modified>
</cp:coreProperties>
</file>

<file path=docProps/custom.xml><?xml version="1.0" encoding="utf-8"?>
<Properties xmlns="http://schemas.openxmlformats.org/officeDocument/2006/custom-properties" xmlns:vt="http://schemas.openxmlformats.org/officeDocument/2006/docPropsVTypes"/>
</file>