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ageBreakBefore w:val="0"/>
        <w:widowControl/>
        <w:spacing w:after="0" w:before="0" w:line="360" w:lineRule="auto"/>
        <w:ind w:left="0" w:right="0"/>
        <w:jc w:val="center"/>
      </w:pPr>
      <w:r>
        <w:rPr>
          <w:rFonts w:ascii="STHeiti" w:cs="STHeiti" w:eastAsia="STHeiti" w:hAnsi="STHeiti"/>
          <w:b w:val="0"/>
          <w:color w:val="000000"/>
          <w:sz w:val="28"/>
          <w:szCs w:val="28"/>
        </w:rPr>
        <w:t>关于智灵动力项目投资合规性的说明</w:t>
      </w:r>
    </w:p>
    <w:p>
      <w:pPr>
        <w:pStyle w:val="13"/>
        <w:keepNext/>
        <w:keepLines/>
        <w:pageBreakBefore w:val="0"/>
        <w:widowControl/>
        <w:numPr>
          <w:ilvl w:val="0"/>
          <w:numId w:val="1"/>
        </w:numPr>
        <w:spacing w:after="0" w:before="240" w:line="360" w:lineRule="auto"/>
        <w:ind w:left="0" w:right="0"/>
        <w:jc w:val="left"/>
      </w:pPr>
      <w:r>
        <w:rPr>
          <w:rFonts w:ascii="Songti SC" w:cs="Songti SC" w:eastAsia="Songti SC" w:hAnsi="Songti SC"/>
          <w:b/>
          <w:bCs/>
          <w:color w:val="000000"/>
          <w:sz w:val="24"/>
          <w:szCs w:val="24"/>
        </w:rPr>
        <w:t>公司情况介绍</w:t>
      </w:r>
    </w:p>
    <w:p>
      <w:pPr>
        <w:pStyle w:val="13"/>
        <w:keepNext/>
        <w:keepLines/>
        <w:pageBreakBefore w:val="0"/>
        <w:widowControl/>
        <w:numPr>
          <w:ilvl w:val="0"/>
          <w:numId w:val="2"/>
        </w:numPr>
        <w:spacing w:after="0" w:before="0" w:line="360" w:lineRule="auto"/>
        <w:ind w:left="0" w:right="0"/>
        <w:jc w:val="left"/>
      </w:pPr>
      <w:r>
        <w:rPr>
          <w:rFonts w:ascii="Songti SC" w:cs="Songti SC" w:eastAsia="Songti SC" w:hAnsi="Songti SC"/>
          <w:b w:val="0"/>
          <w:bCs w:val="false"/>
          <w:color w:val="000000"/>
          <w:sz w:val="24"/>
          <w:szCs w:val="24"/>
        </w:rPr>
        <w:t>公司简介</w:t>
      </w:r>
    </w:p>
    <w:p>
      <w:pPr>
        <w:keepNext w:val="0"/>
        <w:keepLines/>
        <w:pageBreakBefore w:val="0"/>
        <w:widowControl/>
        <w:spacing w:after="0" w:before="0" w:line="360" w:lineRule="auto"/>
        <w:ind w:left="0" w:right="0" w:firstLine="482"/>
        <w:jc w:val="both"/>
      </w:pPr>
      <w:r>
        <w:rPr>
          <w:rFonts w:ascii="Songti SC" w:cs="Songti SC" w:eastAsia="Songti SC" w:hAnsi="Songti SC"/>
          <w:color w:val="000000"/>
          <w:sz w:val="24"/>
          <w:szCs w:val="24"/>
        </w:rPr>
        <w:t>业务主体：由合肥全资子公司元娲运营，与北京主体拆分，规避业务重合与合规风险</w:t>
      </w:r>
    </w:p>
    <w:p>
      <w:pPr>
        <w:keepNext w:val="0"/>
        <w:keepLines/>
        <w:pageBreakBefore w:val="0"/>
        <w:widowControl/>
        <w:spacing w:after="0" w:before="0" w:line="360" w:lineRule="auto"/>
        <w:ind w:left="0" w:right="0" w:firstLine="482"/>
        <w:jc w:val="both"/>
      </w:pPr>
      <w:r>
        <w:rPr>
          <w:rFonts w:ascii="Songti SC" w:cs="Songti SC" w:eastAsia="Songti SC" w:hAnsi="Songti SC"/>
          <w:b w:val="0"/>
          <w:color w:val="000000"/>
          <w:sz w:val="24"/>
          <w:szCs w:val="24"/>
        </w:rPr>
        <w:t>TikTok转绘业务人均年产值约120—150万元，为当前人效最高的业务线。</w:t>
      </w:r>
    </w:p>
    <w:p>
      <w:pPr>
        <w:pStyle w:val="13"/>
        <w:keepNext/>
        <w:keepLines/>
        <w:pageBreakBefore w:val="0"/>
        <w:widowControl/>
        <w:numPr>
          <w:ilvl w:val="0"/>
          <w:numId w:val="2"/>
        </w:numPr>
        <w:spacing w:after="0" w:before="0" w:line="360" w:lineRule="auto"/>
        <w:ind w:left="0" w:right="0"/>
        <w:jc w:val="left"/>
      </w:pPr>
      <w:r>
        <w:rPr>
          <w:rFonts w:ascii="Songti SC" w:cs="Songti SC" w:eastAsia="Songti SC" w:hAnsi="Songti SC"/>
          <w:b w:val="0"/>
          <w:bCs w:val="false"/>
          <w:color w:val="000000"/>
          <w:sz w:val="24"/>
          <w:szCs w:val="24"/>
        </w:rPr>
        <w:t>核心团队</w:t>
      </w:r>
    </w:p>
    <w:p>
      <w:pPr>
        <w:keepNext w:val="0"/>
        <w:keepLines/>
        <w:pageBreakBefore w:val="0"/>
        <w:widowControl/>
        <w:spacing w:after="0" w:before="0" w:line="360" w:lineRule="auto"/>
        <w:ind w:left="0" w:right="0" w:firstLine="482"/>
        <w:jc w:val="both"/>
      </w:pPr>
      <w:r>
        <w:rPr>
          <w:rFonts w:ascii="Songti SC" w:cs="Songti SC" w:eastAsia="Songti SC" w:hAnsi="Songti SC"/>
          <w:color w:val="000000"/>
          <w:sz w:val="24"/>
          <w:szCs w:val="24"/>
        </w:rPr>
        <w:t>学术团队：沈教授带领的清华学生团队，零人力成本，负责前沿技术研究与论文产出</w:t>
      </w:r>
    </w:p>
    <w:p>
      <w:pPr>
        <w:keepNext w:val="0"/>
        <w:keepLines/>
        <w:pageBreakBefore w:val="0"/>
        <w:widowControl/>
        <w:spacing w:after="0" w:before="0" w:line="360" w:lineRule="auto"/>
        <w:ind w:left="0" w:right="0" w:firstLine="482"/>
        <w:jc w:val="both"/>
      </w:pPr>
      <w:r>
        <w:rPr>
          <w:rFonts w:ascii="Songti SC" w:cs="Songti SC" w:eastAsia="Songti SC" w:hAnsi="Songti SC"/>
          <w:b w:val="0"/>
          <w:color w:val="000000"/>
          <w:sz w:val="24"/>
          <w:szCs w:val="24"/>
        </w:rPr>
        <w:t>商务团队：20—30人，分散各地，获客以老客户转介绍、创始人资源对接为主。</w:t>
      </w:r>
    </w:p>
    <w:p>
      <w:pPr>
        <w:keepNext w:val="0"/>
        <w:keepLines/>
        <w:pageBreakBefore w:val="0"/>
        <w:widowControl/>
        <w:spacing w:after="0" w:before="0" w:line="360" w:lineRule="auto"/>
        <w:ind w:left="0" w:right="0" w:firstLine="482"/>
        <w:jc w:val="both"/>
      </w:pPr>
      <w:r>
        <w:rPr>
          <w:rFonts w:ascii="Songti SC" w:cs="Songti SC" w:eastAsia="Songti SC" w:hAnsi="Songti SC"/>
          <w:color w:val="000000"/>
          <w:sz w:val="24"/>
          <w:szCs w:val="24"/>
        </w:rPr>
        <w:t>获客模式：核心获客渠道为老客户转介绍与创始人资源，商务团队辅以陌拜、行业活动、内容平台拓展</w:t>
      </w:r>
    </w:p>
    <w:p>
      <w:pPr>
        <w:pStyle w:val="13"/>
        <w:keepNext/>
        <w:keepLines/>
        <w:pageBreakBefore w:val="0"/>
        <w:widowControl/>
        <w:numPr>
          <w:ilvl w:val="0"/>
          <w:numId w:val="2"/>
        </w:numPr>
        <w:spacing w:after="0" w:before="0" w:line="360" w:lineRule="auto"/>
        <w:ind w:left="0" w:right="0"/>
        <w:jc w:val="left"/>
      </w:pPr>
      <w:r>
        <w:rPr>
          <w:rFonts w:ascii="Songti SC" w:cs="Songti SC" w:eastAsia="Songti SC" w:hAnsi="Songti SC"/>
          <w:b w:val="0"/>
          <w:bCs w:val="false"/>
          <w:color w:val="000000"/>
          <w:sz w:val="24"/>
          <w:szCs w:val="24"/>
        </w:rPr>
        <w:t>产品及技术</w:t>
      </w:r>
    </w:p>
    <w:p>
      <w:pPr>
        <w:keepNext w:val="0"/>
        <w:keepLines/>
        <w:pageBreakBefore w:val="0"/>
        <w:widowControl/>
        <w:spacing w:after="0" w:before="0" w:line="360" w:lineRule="auto"/>
        <w:ind w:left="0" w:right="0" w:firstLine="482"/>
        <w:jc w:val="both"/>
      </w:pPr>
      <w:r>
        <w:rPr>
          <w:rFonts w:ascii="Songti SC" w:cs="Songti SC" w:eastAsia="Songti SC" w:hAnsi="Songti SC"/>
          <w:color w:val="000000"/>
          <w:sz w:val="24"/>
          <w:szCs w:val="24"/>
        </w:rPr>
        <w:t>业务模式：为客户提供算法加速、参数优化、性能提升服务，最终交付算法代码或编译好的程序，不做完整系统交付</w:t>
      </w:r>
    </w:p>
    <w:p>
      <w:pPr>
        <w:keepNext w:val="0"/>
        <w:keepLines/>
        <w:pageBreakBefore w:val="0"/>
        <w:widowControl/>
        <w:spacing w:after="0" w:before="0" w:line="360" w:lineRule="auto"/>
        <w:ind w:left="0" w:right="0" w:firstLine="482"/>
        <w:jc w:val="both"/>
      </w:pPr>
      <w:r>
        <w:rPr>
          <w:rFonts w:ascii="Songti SC" w:cs="Songti SC" w:eastAsia="Songti SC" w:hAnsi="Songti SC"/>
          <w:b w:val="0"/>
          <w:color w:val="000000"/>
          <w:sz w:val="24"/>
          <w:szCs w:val="24"/>
        </w:rPr>
        <w:t>四类服务场景：已有算法优化、论文转算法、黑盒系统优化、数据集及算法全流程开发。</w:t>
      </w:r>
    </w:p>
    <w:p>
      <w:pPr>
        <w:keepNext w:val="0"/>
        <w:keepLines/>
        <w:pageBreakBefore w:val="0"/>
        <w:widowControl/>
        <w:spacing w:after="0" w:before="0" w:line="360" w:lineRule="auto"/>
        <w:ind w:left="0" w:right="0" w:firstLine="482"/>
        <w:jc w:val="both"/>
      </w:pPr>
      <w:r>
        <w:rPr>
          <w:rFonts w:ascii="Songti SC" w:cs="Songti SC" w:eastAsia="Songti SC" w:hAnsi="Songti SC"/>
          <w:b w:val="0"/>
          <w:color w:val="000000"/>
          <w:sz w:val="24"/>
          <w:szCs w:val="24"/>
        </w:rPr>
        <w:t>系统适配原则：优先基于客户现有系统进行接口对接与能力植入，不做0到1的全新系统开发，降低客户替换成本与实施风险。</w:t>
      </w:r>
    </w:p>
    <w:p>
      <w:pPr>
        <w:keepNext w:val="0"/>
        <w:keepLines/>
        <w:pageBreakBefore w:val="0"/>
        <w:widowControl/>
        <w:spacing w:after="0" w:before="0" w:line="360" w:lineRule="auto"/>
        <w:ind w:left="0" w:right="0" w:firstLine="482"/>
        <w:jc w:val="both"/>
      </w:pPr>
      <w:r>
        <w:rPr>
          <w:rFonts w:ascii="Songti SC" w:cs="Songti SC" w:eastAsia="Songti SC" w:hAnsi="Songti SC"/>
          <w:color w:val="000000"/>
          <w:sz w:val="24"/>
          <w:szCs w:val="24"/>
        </w:rPr>
        <w:t>产品底座：算法工厂平台，支持用户</w:t>
      </w:r>
    </w:p>
    <w:p>
      <w:pPr>
        <w:pStyle w:val="13"/>
        <w:keepNext/>
        <w:keepLines/>
        <w:pageBreakBefore w:val="0"/>
        <w:widowControl/>
        <w:numPr>
          <w:ilvl w:val="0"/>
          <w:numId w:val="1"/>
        </w:numPr>
        <w:spacing w:after="0" w:before="240" w:line="360" w:lineRule="auto"/>
        <w:ind w:left="0" w:right="0"/>
        <w:jc w:val="left"/>
      </w:pPr>
      <w:r>
        <w:rPr>
          <w:rFonts w:ascii="Songti SC" w:cs="Songti SC" w:eastAsia="Songti SC" w:hAnsi="Songti SC"/>
          <w:b/>
          <w:bCs/>
          <w:color w:val="000000"/>
          <w:sz w:val="24"/>
          <w:szCs w:val="24"/>
        </w:rPr>
        <w:t>投资理由</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color w:val="000000"/>
          <w:sz w:val="24"/>
          <w:szCs w:val="24"/>
        </w:rPr>
        <w:t>政策和行业趋势具备初步判断依据。</w:t>
      </w:r>
      <w:r>
        <w:rPr>
          <w:rFonts w:ascii="Songti SC" w:cs="Songti SC" w:eastAsia="Songti SC" w:hAnsi="Songti SC"/>
          <w:b w:val="0"/>
          <w:color w:val="000000"/>
          <w:sz w:val="24"/>
          <w:szCs w:val="24"/>
        </w:rPr>
        <w:t>现有材料显示，沈教授初步提出合资公司聚焦金融行业智能体业务，以集鑫方为主导运营，智灵动力提供技术支撑；获客模式：核心获客渠道为老客户转介绍与创始人资源，商务团队辅以陌拜、行业活动、内容平台拓展；仍需结合专项尽调核验其真实性、持续性和投资相关性。</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color w:val="000000"/>
          <w:sz w:val="24"/>
          <w:szCs w:val="24"/>
        </w:rPr>
        <w:t>核心团队能力具备初步判断依据。</w:t>
      </w:r>
      <w:r>
        <w:rPr>
          <w:rFonts w:ascii="Songti SC" w:cs="Songti SC" w:eastAsia="Songti SC" w:hAnsi="Songti SC"/>
          <w:b w:val="0"/>
          <w:color w:val="000000"/>
          <w:sz w:val="24"/>
          <w:szCs w:val="24"/>
        </w:rPr>
        <w:t>现有材料显示，总规模：目前公司138人，本轮优化8个短剧团队人员后计划收缩至130人左右。研发团队：共40余人，合肥30人为主力，其余分布在杭州、北京等地。商务团队：20—30人，分散各地，获客以老客户转介绍、创始人资源对接为主。学术团队：沈教授带领的清华学生团队，零人力成本，负责前沿技术研究与论文产出；仍需结合专项尽调核验其真实性、持续性和投资相关性。</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color w:val="000000"/>
          <w:sz w:val="24"/>
          <w:szCs w:val="24"/>
        </w:rPr>
        <w:t>产品或技术差异化具备初步判断依据。</w:t>
      </w:r>
      <w:r>
        <w:rPr>
          <w:rFonts w:ascii="Songti SC" w:cs="Songti SC" w:eastAsia="Songti SC" w:hAnsi="Songti SC"/>
          <w:b w:val="0"/>
          <w:color w:val="000000"/>
          <w:sz w:val="24"/>
          <w:szCs w:val="24"/>
        </w:rPr>
        <w:t>现有材料显示，通过技术打榜、成果发布、政府背书逐步抬升估值。沈教授初步提出合资公司聚焦金融行业智能体业务，以集鑫方为主导运营，智灵动力提供技术支撑；待敲定核心事项：双方股权比例与治理架构、金融类 FDE 业务的归属与结算方式、研发投入与资金回流机制、因果大模型等核心技术的装入范围。获客模式：核心获客渠道为老客户转介绍与创始人资源，商务团队辅以陌拜、行业活动、内容平台拓展；仍需结合专项尽调核验其真实性、持续性和投资相关性。</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color w:val="000000"/>
          <w:sz w:val="24"/>
          <w:szCs w:val="24"/>
        </w:rPr>
        <w:t>客户验证或产业生态具备初步判断依据。</w:t>
      </w:r>
      <w:r>
        <w:rPr>
          <w:rFonts w:ascii="Songti SC" w:cs="Songti SC" w:eastAsia="Songti SC" w:hAnsi="Songti SC"/>
          <w:b w:val="0"/>
          <w:color w:val="000000"/>
          <w:sz w:val="24"/>
          <w:szCs w:val="24"/>
        </w:rPr>
        <w:t>现有材料显示，订单节奏：2026年5月正式启动新合作，当前每20天周期交付5000分钟内容，下一轮订单将提升至10000分钟。团队配置：合肥核心技术团队约10人，配套外包团队负责拼装交付，还有部分做流程性工作的人员若干；仍需结合专项尽调核验其真实性、持续性和投资相关性。</w:t>
      </w:r>
    </w:p>
    <w:p>
      <w:pPr>
        <w:pStyle w:val="13"/>
        <w:keepNext w:val="0"/>
        <w:keepLines/>
        <w:pageBreakBefore w:val="0"/>
        <w:widowControl/>
        <w:numPr>
          <w:ilvl w:val="0"/>
          <w:numId w:val="3"/>
        </w:numPr>
        <w:spacing w:after="0" w:before="240" w:line="360" w:lineRule="auto"/>
        <w:ind w:left="0" w:right="0"/>
        <w:jc w:val="both"/>
      </w:pPr>
      <w:r>
        <w:rPr>
          <w:rFonts w:ascii="Songti SC" w:cs="Songti SC" w:eastAsia="Songti SC" w:hAnsi="Songti SC"/>
          <w:b/>
          <w:bCs/>
          <w:color w:val="000000"/>
          <w:sz w:val="24"/>
          <w:szCs w:val="24"/>
        </w:rPr>
        <w:t>商业模式和成长空间具备初步判断依据。</w:t>
      </w:r>
      <w:r>
        <w:rPr>
          <w:rFonts w:ascii="Songti SC" w:cs="Songti SC" w:eastAsia="Songti SC" w:hAnsi="Songti SC"/>
          <w:b w:val="0"/>
          <w:color w:val="000000"/>
          <w:sz w:val="24"/>
          <w:szCs w:val="24"/>
        </w:rPr>
        <w:t>现有材料显示，融资节奏思路：计划下一轮联动杭州属地政府产业基金、老股东及财务机构，凑齐约1亿元融资规模；仍需结合专项尽调核验其真实性、持续性和投资相关性。</w:t>
      </w:r>
    </w:p>
    <w:p>
      <w:pPr>
        <w:pStyle w:val="13"/>
        <w:keepNext/>
        <w:keepLines/>
        <w:pageBreakBefore w:val="0"/>
        <w:widowControl/>
        <w:numPr>
          <w:ilvl w:val="0"/>
          <w:numId w:val="1"/>
        </w:numPr>
        <w:spacing w:after="0" w:before="240" w:line="360" w:lineRule="auto"/>
        <w:ind w:left="0" w:right="0"/>
        <w:jc w:val="left"/>
      </w:pPr>
      <w:r>
        <w:rPr>
          <w:rFonts w:ascii="Songti SC" w:cs="Songti SC" w:eastAsia="Songti SC" w:hAnsi="Songti SC"/>
          <w:b/>
          <w:bCs/>
          <w:color w:val="000000"/>
          <w:sz w:val="24"/>
          <w:szCs w:val="24"/>
        </w:rPr>
        <w:t>投资计划</w:t>
      </w:r>
    </w:p>
    <w:p>
      <w:pPr>
        <w:keepNext w:val="0"/>
        <w:keepLines/>
        <w:pageBreakBefore w:val="0"/>
        <w:widowControl/>
        <w:spacing w:after="0" w:before="0" w:line="360" w:lineRule="auto"/>
        <w:ind w:left="0" w:right="0" w:firstLine="482"/>
        <w:jc w:val="both"/>
      </w:pPr>
      <w:r>
        <w:rPr>
          <w:rFonts w:ascii="Songti SC" w:cs="Songti SC" w:eastAsia="Songti SC" w:hAnsi="Songti SC"/>
          <w:b w:val="0"/>
          <w:color w:val="000000"/>
          <w:sz w:val="24"/>
          <w:szCs w:val="24"/>
        </w:rPr>
        <w:t>估值目标：2026年底目标估值为60亿元。</w:t>
      </w:r>
    </w:p>
    <w:p>
      <w:pPr>
        <w:keepNext w:val="0"/>
        <w:keepLines/>
        <w:pageBreakBefore w:val="0"/>
        <w:widowControl/>
        <w:spacing w:after="0" w:before="0" w:line="360" w:lineRule="auto"/>
        <w:ind w:left="0" w:right="0" w:firstLine="482"/>
        <w:jc w:val="both"/>
      </w:pPr>
      <w:r>
        <w:rPr>
          <w:rFonts w:ascii="Songti SC" w:cs="Songti SC" w:eastAsia="Songti SC" w:hAnsi="Songti SC"/>
          <w:b w:val="0"/>
          <w:color w:val="000000"/>
          <w:sz w:val="24"/>
          <w:szCs w:val="24"/>
        </w:rPr>
        <w:t>融资节奏：计划下一轮联动杭州属地政府产业基金、老股东及财务机构，形成约1亿元融资规模。</w:t>
      </w:r>
    </w:p>
    <w:p>
      <w:pPr>
        <w:keepNext w:val="0"/>
        <w:keepLines/>
        <w:pageBreakBefore w:val="0"/>
        <w:widowControl/>
        <w:spacing w:after="0" w:before="0" w:line="360" w:lineRule="auto"/>
        <w:ind w:left="0" w:right="0" w:firstLine="482"/>
        <w:jc w:val="both"/>
      </w:pPr>
      <w:r>
        <w:rPr>
          <w:rFonts w:ascii="Songti SC" w:cs="Songti SC" w:eastAsia="Songti SC" w:hAnsi="Songti SC"/>
          <w:b w:val="0"/>
          <w:color w:val="000000"/>
          <w:sz w:val="24"/>
          <w:szCs w:val="24"/>
        </w:rPr>
        <w:t>研发与发布安排：公司计划继续迭代自适应参数、自我蒸馏及离线、在线蒸馏能力，并在完成下一轮融资后择机对外发布；具体资金用途和发布条件以最终融资方案为准。</w:t>
      </w:r>
    </w:p>
    <w:p>
      <w:pPr>
        <w:pStyle w:val="13"/>
        <w:keepNext/>
        <w:keepLines/>
        <w:pageBreakBefore w:val="0"/>
        <w:widowControl/>
        <w:numPr>
          <w:ilvl w:val="0"/>
          <w:numId w:val="1"/>
        </w:numPr>
        <w:spacing w:after="0" w:before="240" w:line="360" w:lineRule="auto"/>
        <w:ind w:left="0" w:right="0"/>
        <w:jc w:val="left"/>
      </w:pPr>
      <w:r>
        <w:rPr>
          <w:rFonts w:ascii="Songti SC" w:cs="Songti SC" w:eastAsia="Songti SC" w:hAnsi="Songti SC"/>
          <w:b/>
          <w:bCs/>
          <w:color w:val="000000"/>
          <w:sz w:val="24"/>
          <w:szCs w:val="24"/>
        </w:rPr>
        <w:t>投资情形分析</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color w:val="000000"/>
          <w:sz w:val="24"/>
          <w:szCs w:val="24"/>
        </w:rPr>
        <w:t>投资方式及投资限制：</w:t>
      </w:r>
      <w:r>
        <w:rPr>
          <w:rFonts w:ascii="Songti SC" w:cs="Songti SC" w:eastAsia="Songti SC" w:hAnsi="Songti SC"/>
          <w:b w:val="0"/>
          <w:color w:val="000000"/>
          <w:sz w:val="24"/>
          <w:szCs w:val="24"/>
        </w:rPr>
        <w:t>现有项目材料提供了初步核查对象，融资节奏思路：计划下一轮联动杭州属地政府产业基金、老股东及财务机构，凑齐约1亿元融资规模。应先根据拟议增资、股权受让或载体安排识别投资路径，再逐项对照基金协议中的禁止性和限制性条款；最终以交易方案及基金条款核对结果为准；本项仍需取得基金合伙协议、投资限制条款及交易方案完成专项核验。</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color w:val="000000"/>
          <w:sz w:val="24"/>
          <w:szCs w:val="24"/>
        </w:rPr>
        <w:t>返投要求：</w:t>
      </w:r>
      <w:r>
        <w:rPr>
          <w:rFonts w:ascii="Songti SC" w:cs="Songti SC" w:eastAsia="Songti SC" w:hAnsi="Songti SC"/>
          <w:b w:val="0"/>
          <w:color w:val="000000"/>
          <w:sz w:val="24"/>
          <w:szCs w:val="24"/>
        </w:rPr>
        <w:t>现有项目材料提供了初步核查对象，沈教授初步提出合资公司聚焦金融行业智能体业务，以集鑫方为主导运营，智灵动力提供技术支撑。可先以项目主体、注册地、研发人员、业务或投资落地安排识别可能的返投承载项，再按适用返投口径计算；最终认定仍取决于基金条款、认定规则和台账；本项仍需取得基金返投条款、返投认定口径及最新返投台账完成专项核验。</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color w:val="000000"/>
          <w:sz w:val="24"/>
          <w:szCs w:val="24"/>
        </w:rPr>
        <w:t>关联交易：</w:t>
      </w:r>
      <w:r>
        <w:rPr>
          <w:rFonts w:ascii="Songti SC" w:cs="Songti SC" w:eastAsia="Songti SC" w:hAnsi="Songti SC"/>
          <w:b w:val="0"/>
          <w:color w:val="000000"/>
          <w:sz w:val="24"/>
          <w:szCs w:val="24"/>
        </w:rPr>
        <w:t>现有项目材料提供了初步核查对象，获客模式：核心获客渠道为老客户转介绍与创始人资源，商务团队辅以陌拜、行业活动、内容平台拓展。可先将项目主体、股东、实际控制人、核心团队和交易参与方纳入关联关系筛查，再与管理人、基金投资人及其关联方名单交叉比对；本项仍需取得关联关系核查表、利益冲突声明及相关主体清单完成专项核验。</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color w:val="000000"/>
          <w:sz w:val="24"/>
          <w:szCs w:val="24"/>
        </w:rPr>
        <w:t>投资方向：</w:t>
      </w:r>
      <w:r>
        <w:rPr>
          <w:rFonts w:ascii="Songti SC" w:cs="Songti SC" w:eastAsia="Songti SC" w:hAnsi="Songti SC"/>
          <w:b w:val="0"/>
          <w:color w:val="000000"/>
          <w:sz w:val="24"/>
          <w:szCs w:val="24"/>
        </w:rPr>
        <w:t>现有项目材料提供了初步核查对象，沈教授初步提出合资公司聚焦金融行业智能体业务，以集鑫方为主导运营，智灵动力提供技术支撑。可先依据项目主营业务、产品技术和所属产业形成方向匹配的初步判断，再与基金约定的投资范围、地域和阶段限制逐项比对；本项仍需取得基金约定投资范围及能够证明项目主营业务的材料完成专项核验。</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color w:val="000000"/>
          <w:sz w:val="24"/>
          <w:szCs w:val="24"/>
        </w:rPr>
        <w:t>投资配置：</w:t>
      </w:r>
      <w:r>
        <w:rPr>
          <w:rFonts w:ascii="Songti SC" w:cs="Songti SC" w:eastAsia="Songti SC" w:hAnsi="Songti SC"/>
          <w:b w:val="0"/>
          <w:color w:val="000000"/>
          <w:sz w:val="24"/>
          <w:szCs w:val="24"/>
        </w:rPr>
        <w:t>现有项目材料提供了初步核查对象，估值目标：2026年底目标估值60亿元。可先结合项目阶段、融资安排和拟议交易路径判断采用直接投资或专项载体的合理性，再核对基金配置比例及载体限制；本项仍需取得基金配置条款、专项载体或直投方案及最新配置台账完成专项核验。</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color w:val="000000"/>
          <w:sz w:val="24"/>
          <w:szCs w:val="24"/>
        </w:rPr>
        <w:t>投资集中度：</w:t>
      </w:r>
      <w:r>
        <w:rPr>
          <w:rFonts w:ascii="Songti SC" w:cs="Songti SC" w:eastAsia="Songti SC" w:hAnsi="Songti SC"/>
          <w:b w:val="0"/>
          <w:color w:val="000000"/>
          <w:sz w:val="24"/>
          <w:szCs w:val="24"/>
        </w:rPr>
        <w:t>现有项目材料提供了初步核查对象，估值目标：2026年底目标估值60亿元。可先将本次及对同一项目累计风险敞口作为分子，分别以基金认缴和实缴规模为分母测算，再与协议限额比较；本项仍需取得基金合伙协议、基金规模台账及本次和累计投资金额完成专项核验。</w:t>
      </w:r>
    </w:p>
    <w:p>
      <w:pPr>
        <w:pStyle w:val="13"/>
        <w:keepNext w:val="0"/>
        <w:keepLines/>
        <w:pageBreakBefore w:val="0"/>
        <w:widowControl/>
        <w:numPr>
          <w:ilvl w:val="0"/>
          <w:numId w:val="4"/>
        </w:numPr>
        <w:spacing w:after="0" w:before="240" w:line="360" w:lineRule="auto"/>
        <w:ind w:left="0" w:right="0"/>
        <w:jc w:val="both"/>
      </w:pPr>
      <w:r>
        <w:rPr>
          <w:rFonts w:ascii="Songti SC" w:cs="Songti SC" w:eastAsia="Songti SC" w:hAnsi="Songti SC"/>
          <w:b/>
          <w:bCs/>
          <w:color w:val="000000"/>
          <w:sz w:val="24"/>
          <w:szCs w:val="24"/>
        </w:rPr>
        <w:t>其他法律法规、监管规定及基金合规要求：</w:t>
      </w:r>
      <w:r>
        <w:rPr>
          <w:rFonts w:ascii="Songti SC" w:cs="Songti SC" w:eastAsia="Songti SC" w:hAnsi="Songti SC"/>
          <w:b w:val="0"/>
          <w:color w:val="000000"/>
          <w:sz w:val="24"/>
          <w:szCs w:val="24"/>
        </w:rPr>
        <w:t>应围绕项目主体及其实际控制人、核心团队核查经营资质、行政处罚、重大诉讼、失信执行、数据与知识产权合规等事项，并结合拟议交易结构核对国资、基金监管及内部决策要求；最终以工商、司法、监管等权威渠道的核验结果及正式法律意见为准。</w:t>
      </w:r>
    </w:p>
    <w:p>
      <w:pPr>
        <w:keepNext w:val="0"/>
        <w:keepLines/>
        <w:pageBreakBefore w:val="0"/>
        <w:widowControl/>
        <w:spacing w:after="0" w:before="240" w:line="360" w:lineRule="auto"/>
        <w:ind w:left="0" w:right="0" w:firstLine="482"/>
        <w:jc w:val="both"/>
      </w:pPr>
      <w:r>
        <w:rPr>
          <w:rFonts w:ascii="Songti SC" w:cs="Songti SC" w:eastAsia="Songti SC" w:hAnsi="Songti SC"/>
          <w:color w:val="000000"/>
          <w:sz w:val="24"/>
          <w:szCs w:val="24"/>
        </w:rPr>
        <w:t>综上，当前项目资料尚不足以完成全部合规判断；在补充基金约束、交易安排及专项核验材料，履行必要审批并经法务或风控人员复核前，不得形成无保留合规结论，最终以正式法律意见和交易文件为准。</w:t>
      </w:r>
    </w:p>
    <w:p>
      <w:pPr>
        <w:keepNext/>
        <w:keepLines/>
        <w:pageBreakBefore w:val="0"/>
        <w:widowControl/>
        <w:spacing w:after="0" w:before="240" w:line="360" w:lineRule="auto"/>
        <w:ind w:left="0" w:right="0"/>
        <w:jc w:val="right"/>
      </w:pPr>
      <w:r>
        <w:rPr>
          <w:rFonts w:ascii="Songti SC" w:cs="Songti SC" w:eastAsia="Songti SC" w:hAnsi="Songti SC"/>
          <w:b w:val="0"/>
          <w:color w:val="000000"/>
          <w:sz w:val="24"/>
          <w:szCs w:val="24"/>
        </w:rPr>
        <w:t>浙江赛智伯乐股权投资管理有限公司</w:t>
      </w:r>
    </w:p>
    <w:p>
      <w:pPr>
        <w:keepNext w:val="0"/>
        <w:keepLines/>
        <w:pageBreakBefore w:val="0"/>
        <w:widowControl/>
        <w:spacing w:after="0" w:before="0" w:line="360" w:lineRule="auto"/>
        <w:ind w:left="0" w:right="0"/>
        <w:jc w:val="right"/>
      </w:pPr>
      <w:r>
        <w:rPr>
          <w:rFonts w:ascii="Songti SC" w:cs="Songti SC" w:eastAsia="Songti SC" w:hAnsi="Songti SC"/>
          <w:b w:val="0"/>
          <w:color w:val="000000"/>
          <w:sz w:val="24"/>
          <w:szCs w:val="24"/>
        </w:rPr>
        <w:t xml:space="preserve">2026年   7   月   28   日</w:t>
      </w:r>
    </w:p>
    <w:sectPr>
      <w:pgSz w:w="11906" w:h="16838" w:orient="portrait"/>
      <w:pgMar w:top="1440" w:right="1800" w:bottom="1440" w:left="1800" w:header="850"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ongti SC"/>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STHeiti"/>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Heiti SC Medium">
    <w:panose1 w:val="02000000000000000000"/>
    <w:charset w:val="80"/>
    <w:family w:val="auto"/>
    <w:pitch w:val="default"/>
    <w:sig w:usb0="8000002F" w:usb1="0800004A" w:usb2="00000000" w:usb3="00000000" w:csb0="203E0000"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ongti SC">
    <w:altName w:val="宋体"/>
    <w:charset w:val="86"/>
    <w:family w:val="auto"/>
    <w:pitch w:val="default"/>
  </w:font>
  <w:font w:name="STHeiti">
    <w:altName w:val="黑体"/>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4E312E"/>
    <w:multiLevelType w:val="multilevel"/>
    <w:tmpl w:val="014E312E"/>
    <w:lvl w:ilvl="0" w:tentative="0">
      <w:start w:val="1"/>
      <w:numFmt w:val="chi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164B8D"/>
    <w:multiLevelType w:val="multilevel"/>
    <w:tmpl w:val="52164B8D"/>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2">
    <w:nsid w:val="7F7EE99A"/>
    <w:multiLevelType w:val="singleLevel"/>
    <w:tmpl w:val="7F7EE99A"/>
    <w:lvl w:ilvl="0" w:tentative="0">
      <w:start w:val="1"/>
      <w:numFmt w:val="decimal"/>
      <w:suff w:val="nothing"/>
      <w:lvlText w:val="%1、"/>
      <w:lvlJc w:val="left"/>
    </w:lvl>
  </w:abstractNum>
  <w:num w:numId="1">
    <w:abstractNumId w:val="0"/>
  </w:num>
  <w:num w:numId="2">
    <w:abstractNumId w:val="1"/>
  </w:num>
  <w:num w:numId="3">
    <w:abstractNumId w:val="2"/>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hint="eastAsia" w:asciiTheme="minorHAnsi" w:hAnsiTheme="minorHAnsi" w:eastAsiaTheme="minorEastAsia" w:cstheme="minorBidi"/>
      <w:kern w:val="2"/>
      <w:sz w:val="32"/>
      <w:szCs w:val="22"/>
      <w:lang w:val="en-US" w:eastAsia="zh-CN" w:bidi="ar-SA"/>
    </w:rPr>
  </w:style>
  <w:style w:type="paragraph" w:styleId="2">
    <w:name w:val="heading 1"/>
    <w:basedOn w:val="1"/>
    <w:next w:val="1"/>
    <w:qFormat/>
    <w:uiPriority w:val="9"/>
    <w:pPr>
      <w:keepNext/>
      <w:keepLines/>
      <w:spacing w:before="340" w:after="330" w:line="576" w:lineRule="auto"/>
      <w:outlineLvl w:val="0"/>
    </w:pPr>
    <w:rPr>
      <w:rFonts w:hint="default" w:eastAsia="Heiti SC Medium"/>
      <w:b/>
      <w:kern w:val="44"/>
      <w:sz w:val="30"/>
    </w:rPr>
  </w:style>
  <w:style w:type="paragraph" w:styleId="3">
    <w:name w:val="heading 2"/>
    <w:basedOn w:val="1"/>
    <w:next w:val="1"/>
    <w:unhideWhenUsed/>
    <w:qFormat/>
    <w:uiPriority w:val="9"/>
    <w:pPr>
      <w:keepNext/>
      <w:keepLines/>
      <w:spacing w:before="260" w:after="260" w:line="413" w:lineRule="auto"/>
      <w:outlineLvl w:val="1"/>
    </w:pPr>
    <w:rPr>
      <w:rFonts w:ascii="Arial" w:hAnsi="Arial" w:eastAsia="Heiti SC Medium"/>
      <w:b/>
      <w:sz w:val="28"/>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annotation text"/>
    <w:basedOn w:val="1"/>
    <w:semiHidden/>
    <w:unhideWhenUsed/>
    <w:qFormat/>
    <w:uiPriority w:val="99"/>
    <w:pPr>
      <w:jc w:val="left"/>
    </w:p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10">
    <w:name w:val="Emphasis"/>
    <w:basedOn w:val="9"/>
    <w:qFormat/>
    <w:uiPriority w:val="20"/>
    <w:rPr>
      <w:i/>
    </w:rPr>
  </w:style>
  <w:style w:type="character" w:customStyle="1" w:styleId="11">
    <w:name w:val="页眉 字符"/>
    <w:basedOn w:val="9"/>
    <w:link w:val="6"/>
    <w:qFormat/>
    <w:uiPriority w:val="99"/>
    <w:rPr>
      <w:sz w:val="18"/>
      <w:szCs w:val="18"/>
    </w:rPr>
  </w:style>
  <w:style w:type="character" w:customStyle="1" w:styleId="12">
    <w:name w:val="页脚 字符"/>
    <w:basedOn w:val="9"/>
    <w:link w:val="5"/>
    <w:qFormat/>
    <w:uiPriority w:val="99"/>
    <w:rPr>
      <w:sz w:val="18"/>
      <w:szCs w:val="18"/>
    </w:rPr>
  </w:style>
  <w:style w:type="paragraph" w:styleId="13">
    <w:name w:val="List Paragraph"/>
    <w:basedOn w:val="1"/>
    <w:qFormat/>
    <w:uiPriority w:val="34"/>
    <w:pPr>
      <w:ind w:firstLine="420" w:firstLineChars="200"/>
    </w:pPr>
  </w:style>
  <w:style w:type="paragraph" w:customStyle="1" w:styleId="14">
    <w:name w:val="Revision"/>
    <w:hidden/>
    <w:unhideWhenUsed/>
    <w:uiPriority w:val="99"/>
    <w:rPr>
      <w:rFonts w:hint="eastAsia" w:asciiTheme="minorHAnsi" w:hAnsiTheme="minorHAnsi" w:eastAsiaTheme="minorEastAsia" w:cstheme="minorBidi"/>
      <w:kern w:val="2"/>
      <w:sz w:val="32"/>
      <w:szCs w:val="22"/>
      <w:lang w:val="en-US" w:eastAsia="zh-CN"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theme" Target="theme/theme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关于智灵动力项目投资合规性的说明</dc:title>
  <dc:creator>浙江赛智伯乐股权投资管理有限公司投资中台</dc:creator>
  <dc:description>合规性说明 AI 初稿；使用 docs 公司参考模板的版式规范</dc:description>
  <cp:lastModifiedBy>Un-named</cp:lastModifiedBy>
  <cp:revision>1</cp:revision>
  <dcterms:created xsi:type="dcterms:W3CDTF">2026-07-28T09:14:01.221Z</dcterms:created>
  <dcterms:modified xsi:type="dcterms:W3CDTF">2026-07-28T09:14:01.221Z</dcterms:modified>
</cp:coreProperties>
</file>

<file path=docProps/custom.xml><?xml version="1.0" encoding="utf-8"?>
<Properties xmlns="http://schemas.openxmlformats.org/officeDocument/2006/custom-properties" xmlns:vt="http://schemas.openxmlformats.org/officeDocument/2006/docPropsVTypes"/>
</file>