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0" w:line="360"/>
        <w:jc w:val="center"/>
      </w:pPr>
      <w:r>
        <w:rPr>
          <w:rFonts w:ascii="STHeiti" w:cs="STHeiti" w:eastAsia="STHeiti" w:hAnsi="STHeiti"/>
          <w:color w:val="000000"/>
          <w:sz w:val="28"/>
          <w:szCs w:val="28"/>
        </w:rPr>
        <w:t xml:space="preserve">关于智灵动力项目投资合规性的说明</w:t>
      </w:r>
    </w:p>
    <w:p>
      <w:pPr>
        <w:pStyle w:val="13"/>
        <w:keepNext/>
        <w:keepLines/>
        <w:numPr>
          <w:ilvl w:val="0"/>
          <w:numId w:val="1"/>
        </w:numPr>
        <w:spacing w:after="0" w:before="240" w:line="360"/>
      </w:pPr>
      <w:r>
        <w:rPr>
          <w:rFonts w:ascii="Songti SC" w:cs="Songti SC" w:eastAsia="Songti SC" w:hAnsi="Songti SC"/>
          <w:b/>
          <w:bCs/>
          <w:color w:val="000000"/>
          <w:sz w:val="24"/>
          <w:szCs w:val="24"/>
        </w:rPr>
        <w:t xml:space="preserve">公司情况介绍</w:t>
      </w:r>
    </w:p>
    <w:p>
      <w:pPr>
        <w:pStyle w:val="13"/>
        <w:keepNext/>
        <w:keepLines/>
        <w:numPr>
          <w:ilvl w:val="0"/>
          <w:numId w:val="2"/>
        </w:numPr>
        <w:spacing w:after="0" w:before="0" w:line="360"/>
      </w:pPr>
      <w:r>
        <w:rPr>
          <w:rFonts w:ascii="Songti SC" w:cs="Songti SC" w:eastAsia="Songti SC" w:hAnsi="Songti SC"/>
          <w:b w:val="false"/>
          <w:bCs w:val="false"/>
          <w:color w:val="000000"/>
          <w:sz w:val="24"/>
          <w:szCs w:val="24"/>
        </w:rPr>
        <w:t xml:space="preserve">公司简介</w:t>
      </w:r>
    </w:p>
    <w:p>
      <w:pPr>
        <w:keepNext/>
        <w:keepLines/>
        <w:spacing w:after="0" w:before="0" w:line="360"/>
        <w:ind w:firstLine="480"/>
        <w:jc w:val="both"/>
      </w:pPr>
      <w:r>
        <w:rPr>
          <w:rFonts w:ascii="Songti SC" w:cs="Songti SC" w:eastAsia="Songti SC" w:hAnsi="Songti SC"/>
          <w:color w:val="000000"/>
          <w:sz w:val="24"/>
          <w:szCs w:val="24"/>
        </w:rPr>
        <w:t xml:space="preserve">公司短剧转绘业务由合肥全资子公司元娲运营，与北京主体拆分，以降低业务重合与合规风险。</w:t>
      </w:r>
    </w:p>
    <w:p>
      <w:pPr>
        <w:keepNext w:val="false"/>
        <w:keepLines/>
        <w:spacing w:after="0" w:before="0" w:line="360"/>
        <w:ind w:firstLine="480"/>
        <w:jc w:val="both"/>
      </w:pPr>
      <w:r>
        <w:rPr>
          <w:rFonts w:ascii="Songti SC" w:cs="Songti SC" w:eastAsia="Songti SC" w:hAnsi="Songti SC"/>
          <w:color w:val="000000"/>
          <w:sz w:val="24"/>
          <w:szCs w:val="24"/>
        </w:rPr>
        <w:t xml:space="preserve">现有材料记载，TikTok转绘业务人均年产值约120万—150万元，属于当前人效较高的业务线。</w:t>
      </w:r>
    </w:p>
    <w:p>
      <w:pPr>
        <w:pStyle w:val="13"/>
        <w:keepNext/>
        <w:keepLines/>
        <w:numPr>
          <w:ilvl w:val="0"/>
          <w:numId w:val="2"/>
        </w:numPr>
        <w:spacing w:after="0" w:before="0" w:line="360"/>
      </w:pPr>
      <w:r>
        <w:rPr>
          <w:rFonts w:ascii="Songti SC" w:cs="Songti SC" w:eastAsia="Songti SC" w:hAnsi="Songti SC"/>
          <w:b w:val="false"/>
          <w:bCs w:val="false"/>
          <w:color w:val="000000"/>
          <w:sz w:val="24"/>
          <w:szCs w:val="24"/>
        </w:rPr>
        <w:t xml:space="preserve">核心团队</w:t>
      </w:r>
    </w:p>
    <w:p>
      <w:pPr>
        <w:keepNext/>
        <w:keepLines/>
        <w:spacing w:after="0" w:before="0" w:line="360"/>
        <w:ind w:firstLine="480"/>
        <w:jc w:val="both"/>
      </w:pPr>
      <w:r>
        <w:rPr>
          <w:rFonts w:ascii="Songti SC" w:cs="Songti SC" w:eastAsia="Songti SC" w:hAnsi="Songti SC"/>
          <w:color w:val="000000"/>
          <w:sz w:val="24"/>
          <w:szCs w:val="24"/>
        </w:rPr>
        <w:t xml:space="preserve">沈教授带领清华学生团队负责前沿技术研究与论文产出；团队用工及成本口径仍需结合劳动、合作和财务资料核验。</w:t>
      </w:r>
    </w:p>
    <w:p>
      <w:pPr>
        <w:keepNext/>
        <w:keepLines/>
        <w:spacing w:after="0" w:before="0" w:line="360"/>
        <w:ind w:firstLine="480"/>
        <w:jc w:val="both"/>
      </w:pPr>
      <w:r>
        <w:rPr>
          <w:rFonts w:ascii="Songti SC" w:cs="Songti SC" w:eastAsia="Songti SC" w:hAnsi="Songti SC"/>
          <w:color w:val="000000"/>
          <w:sz w:val="24"/>
          <w:szCs w:val="24"/>
        </w:rPr>
        <w:t xml:space="preserve">合肥核心技术团队约10人，配套外包团队承担拼装交付，并有部分人员从事流程性工作。</w:t>
      </w:r>
    </w:p>
    <w:p>
      <w:pPr>
        <w:keepNext w:val="false"/>
        <w:keepLines/>
        <w:spacing w:after="0" w:before="0" w:line="360"/>
        <w:ind w:firstLine="480"/>
        <w:jc w:val="both"/>
      </w:pPr>
      <w:r>
        <w:rPr>
          <w:rFonts w:ascii="Songti SC" w:cs="Songti SC" w:eastAsia="Songti SC" w:hAnsi="Songti SC"/>
          <w:color w:val="000000"/>
          <w:sz w:val="24"/>
          <w:szCs w:val="24"/>
        </w:rPr>
        <w:t xml:space="preserve">公司研发团队共40余人，其中合肥约30人，其余分布在杭州、北京等地；商务团队约20—30人，获客以老客户转介绍和创始人资源对接为主。</w:t>
      </w:r>
    </w:p>
    <w:p>
      <w:pPr>
        <w:pStyle w:val="13"/>
        <w:keepNext/>
        <w:keepLines/>
        <w:numPr>
          <w:ilvl w:val="0"/>
          <w:numId w:val="2"/>
        </w:numPr>
        <w:spacing w:after="0" w:before="0" w:line="360"/>
      </w:pPr>
      <w:r>
        <w:rPr>
          <w:rFonts w:ascii="Songti SC" w:cs="Songti SC" w:eastAsia="Songti SC" w:hAnsi="Songti SC"/>
          <w:b w:val="false"/>
          <w:bCs w:val="false"/>
          <w:color w:val="000000"/>
          <w:sz w:val="24"/>
          <w:szCs w:val="24"/>
        </w:rPr>
        <w:t xml:space="preserve">产品及技术</w:t>
      </w:r>
    </w:p>
    <w:p>
      <w:pPr>
        <w:keepNext/>
        <w:keepLines/>
        <w:spacing w:after="0" w:before="0" w:line="360"/>
        <w:ind w:firstLine="480"/>
        <w:jc w:val="both"/>
      </w:pPr>
      <w:r>
        <w:rPr>
          <w:rFonts w:ascii="Songti SC" w:cs="Songti SC" w:eastAsia="Songti SC" w:hAnsi="Songti SC"/>
          <w:color w:val="000000"/>
          <w:sz w:val="24"/>
          <w:szCs w:val="24"/>
        </w:rPr>
        <w:t xml:space="preserve">公司为客户提供算法加速、参数优化和性能提升服务，交付形式主要为算法代码或编译程序，不提供完整系统交付。</w:t>
      </w:r>
    </w:p>
    <w:p>
      <w:pPr>
        <w:keepNext/>
        <w:keepLines/>
        <w:spacing w:after="0" w:before="0" w:line="360"/>
        <w:ind w:firstLine="480"/>
        <w:jc w:val="both"/>
      </w:pPr>
      <w:r>
        <w:rPr>
          <w:rFonts w:ascii="Songti SC" w:cs="Songti SC" w:eastAsia="Songti SC" w:hAnsi="Songti SC"/>
          <w:color w:val="000000"/>
          <w:sz w:val="24"/>
          <w:szCs w:val="24"/>
        </w:rPr>
        <w:t xml:space="preserve">服务场景包括已有算法优化、论文转算法、黑盒系统优化，以及数据集与算法的全流程开发。</w:t>
      </w:r>
    </w:p>
    <w:p>
      <w:pPr>
        <w:keepNext/>
        <w:keepLines/>
        <w:spacing w:after="0" w:before="0" w:line="360"/>
        <w:ind w:firstLine="480"/>
        <w:jc w:val="both"/>
      </w:pPr>
      <w:r>
        <w:rPr>
          <w:rFonts w:ascii="Songti SC" w:cs="Songti SC" w:eastAsia="Songti SC" w:hAnsi="Songti SC"/>
          <w:color w:val="000000"/>
          <w:sz w:val="24"/>
          <w:szCs w:val="24"/>
        </w:rPr>
        <w:t xml:space="preserve">技术体系包含自进化大模型能力，正在迭代自适应参数、自我蒸馏及离线、在线蒸馏等功能；相关性能和成熟度仍需专项技术验证。</w:t>
      </w:r>
    </w:p>
    <w:p>
      <w:pPr>
        <w:keepNext w:val="false"/>
        <w:keepLines/>
        <w:spacing w:after="0" w:before="0" w:line="360"/>
        <w:ind w:firstLine="480"/>
        <w:jc w:val="both"/>
      </w:pPr>
      <w:r>
        <w:rPr>
          <w:rFonts w:ascii="Songti SC" w:cs="Songti SC" w:eastAsia="Songti SC" w:hAnsi="Songti SC"/>
          <w:color w:val="000000"/>
          <w:sz w:val="24"/>
          <w:szCs w:val="24"/>
        </w:rPr>
        <w:t xml:space="preserve">产品优先基于客户现有系统进行接口对接和能力植入，以降低系统替换成本和实施风险。</w:t>
      </w:r>
    </w:p>
    <w:p>
      <w:pPr>
        <w:pStyle w:val="13"/>
        <w:keepNext/>
        <w:keepLines/>
        <w:numPr>
          <w:ilvl w:val="0"/>
          <w:numId w:val="1"/>
        </w:numPr>
        <w:spacing w:after="0" w:before="240" w:line="360"/>
      </w:pPr>
      <w:r>
        <w:rPr>
          <w:rFonts w:ascii="Songti SC" w:cs="Songti SC" w:eastAsia="Songti SC" w:hAnsi="Songti SC"/>
          <w:b/>
          <w:bCs/>
          <w:color w:val="000000"/>
          <w:sz w:val="24"/>
          <w:szCs w:val="24"/>
        </w:rPr>
        <w:t xml:space="preserve">投资理由</w:t>
      </w:r>
    </w:p>
    <w:p>
      <w:pPr>
        <w:pStyle w:val="13"/>
        <w:keepNext/>
        <w:keepLines/>
        <w:numPr>
          <w:ilvl w:val="0"/>
          <w:numId w:val="3"/>
        </w:numPr>
        <w:spacing w:after="0" w:before="240" w:line="360"/>
        <w:jc w:val="both"/>
      </w:pPr>
      <w:r>
        <w:rPr>
          <w:rFonts w:ascii="Songti SC" w:cs="Songti SC" w:eastAsia="Songti SC" w:hAnsi="Songti SC"/>
          <w:b/>
          <w:bCs/>
          <w:color w:val="000000"/>
          <w:sz w:val="24"/>
          <w:szCs w:val="24"/>
        </w:rPr>
        <w:t xml:space="preserve">行业应用方向明确。</w:t>
      </w:r>
      <w:r>
        <w:rPr>
          <w:rFonts w:ascii="Songti SC" w:cs="Songti SC" w:eastAsia="Songti SC" w:hAnsi="Songti SC"/>
          <w:color w:val="000000"/>
          <w:sz w:val="24"/>
          <w:szCs w:val="24"/>
        </w:rPr>
        <w:t xml:space="preserve">公司围绕企业级智能体、算法优化和内容生产等场景开展业务，具备进一步验证市场需求的基础。</w:t>
      </w:r>
    </w:p>
    <w:p>
      <w:pPr>
        <w:pStyle w:val="13"/>
        <w:keepNext/>
        <w:keepLines/>
        <w:numPr>
          <w:ilvl w:val="0"/>
          <w:numId w:val="3"/>
        </w:numPr>
        <w:spacing w:after="0" w:before="240" w:line="360"/>
        <w:jc w:val="both"/>
      </w:pPr>
      <w:r>
        <w:rPr>
          <w:rFonts w:ascii="Songti SC" w:cs="Songti SC" w:eastAsia="Songti SC" w:hAnsi="Songti SC"/>
          <w:b/>
          <w:bCs/>
          <w:color w:val="000000"/>
          <w:sz w:val="24"/>
          <w:szCs w:val="24"/>
        </w:rPr>
        <w:t xml:space="preserve">技术与交付团队已形成分工。</w:t>
      </w:r>
      <w:r>
        <w:rPr>
          <w:rFonts w:ascii="Songti SC" w:cs="Songti SC" w:eastAsia="Songti SC" w:hAnsi="Songti SC"/>
          <w:color w:val="000000"/>
          <w:sz w:val="24"/>
          <w:szCs w:val="24"/>
        </w:rPr>
        <w:t xml:space="preserve">研发、学术、商务和外包交付资源能够覆盖研究、获客和项目实施，但人员稳定性及成本口径仍需核验。</w:t>
      </w:r>
    </w:p>
    <w:p>
      <w:pPr>
        <w:pStyle w:val="13"/>
        <w:keepNext/>
        <w:keepLines/>
        <w:numPr>
          <w:ilvl w:val="0"/>
          <w:numId w:val="3"/>
        </w:numPr>
        <w:spacing w:after="0" w:before="240" w:line="360"/>
        <w:jc w:val="both"/>
      </w:pPr>
      <w:r>
        <w:rPr>
          <w:rFonts w:ascii="Songti SC" w:cs="Songti SC" w:eastAsia="Songti SC" w:hAnsi="Songti SC"/>
          <w:b/>
          <w:bCs/>
          <w:color w:val="000000"/>
          <w:sz w:val="24"/>
          <w:szCs w:val="24"/>
        </w:rPr>
        <w:t xml:space="preserve">产品技术具有一定差异化。</w:t>
      </w:r>
      <w:r>
        <w:rPr>
          <w:rFonts w:ascii="Songti SC" w:cs="Songti SC" w:eastAsia="Songti SC" w:hAnsi="Songti SC"/>
          <w:color w:val="000000"/>
          <w:sz w:val="24"/>
          <w:szCs w:val="24"/>
        </w:rPr>
        <w:t xml:space="preserve">公司布局自进化模型和算法优化服务，并采用与客户现有系统适配的实施方式。</w:t>
      </w:r>
    </w:p>
    <w:p>
      <w:pPr>
        <w:pStyle w:val="13"/>
        <w:keepNext/>
        <w:keepLines/>
        <w:numPr>
          <w:ilvl w:val="0"/>
          <w:numId w:val="3"/>
        </w:numPr>
        <w:spacing w:after="0" w:before="240" w:line="360"/>
        <w:jc w:val="both"/>
      </w:pPr>
      <w:r>
        <w:rPr>
          <w:rFonts w:ascii="Songti SC" w:cs="Songti SC" w:eastAsia="Songti SC" w:hAnsi="Songti SC"/>
          <w:b/>
          <w:bCs/>
          <w:color w:val="000000"/>
          <w:sz w:val="24"/>
          <w:szCs w:val="24"/>
        </w:rPr>
        <w:t xml:space="preserve">已有客户和订单线索。</w:t>
      </w:r>
      <w:r>
        <w:rPr>
          <w:rFonts w:ascii="Songti SC" w:cs="Songti SC" w:eastAsia="Songti SC" w:hAnsi="Songti SC"/>
          <w:color w:val="000000"/>
          <w:sz w:val="24"/>
          <w:szCs w:val="24"/>
        </w:rPr>
        <w:t xml:space="preserve">现有材料涉及华为超聚变、济南病虫害监测及短剧转绘等项目，合同、验收和回款情况仍需专项核验。</w:t>
      </w:r>
    </w:p>
    <w:p>
      <w:pPr>
        <w:pStyle w:val="13"/>
        <w:keepNext w:val="false"/>
        <w:keepLines/>
        <w:numPr>
          <w:ilvl w:val="0"/>
          <w:numId w:val="3"/>
        </w:numPr>
        <w:spacing w:after="0" w:before="240" w:line="360"/>
        <w:jc w:val="both"/>
      </w:pPr>
      <w:r>
        <w:rPr>
          <w:rFonts w:ascii="Songti SC" w:cs="Songti SC" w:eastAsia="Songti SC" w:hAnsi="Songti SC"/>
          <w:b/>
          <w:bCs/>
          <w:color w:val="000000"/>
          <w:sz w:val="24"/>
          <w:szCs w:val="24"/>
        </w:rPr>
        <w:t xml:space="preserve">融资与成长计划较为清晰。</w:t>
      </w:r>
      <w:r>
        <w:rPr>
          <w:rFonts w:ascii="Songti SC" w:cs="Songti SC" w:eastAsia="Songti SC" w:hAnsi="Songti SC"/>
          <w:color w:val="000000"/>
          <w:sz w:val="24"/>
          <w:szCs w:val="24"/>
        </w:rPr>
        <w:t xml:space="preserve">公司计划联动属地产业基金、老股东及财务机构推进下一轮融资，但估值、资金用途和交易条件尚待确认。</w:t>
      </w:r>
    </w:p>
    <w:p>
      <w:pPr>
        <w:pStyle w:val="13"/>
        <w:keepNext/>
        <w:keepLines/>
        <w:numPr>
          <w:ilvl w:val="0"/>
          <w:numId w:val="1"/>
        </w:numPr>
        <w:spacing w:after="0" w:before="240" w:line="360"/>
      </w:pPr>
      <w:r>
        <w:rPr>
          <w:rFonts w:ascii="Songti SC" w:cs="Songti SC" w:eastAsia="Songti SC" w:hAnsi="Songti SC"/>
          <w:b/>
          <w:bCs/>
          <w:color w:val="000000"/>
          <w:sz w:val="24"/>
          <w:szCs w:val="24"/>
        </w:rPr>
        <w:t xml:space="preserve">投资计划</w:t>
      </w:r>
    </w:p>
    <w:p>
      <w:pPr>
        <w:keepNext/>
        <w:keepLines/>
        <w:spacing w:after="0" w:before="0" w:line="360"/>
        <w:ind w:firstLine="480"/>
        <w:jc w:val="both"/>
      </w:pPr>
      <w:r>
        <w:rPr>
          <w:rFonts w:ascii="Songti SC" w:cs="Songti SC" w:eastAsia="Songti SC" w:hAnsi="Songti SC"/>
          <w:color w:val="000000"/>
          <w:sz w:val="24"/>
          <w:szCs w:val="24"/>
        </w:rPr>
        <w:t xml:space="preserve">公司计划处置传统舆情业务，并已接洽多家潜在受让方；交易对手、估值、支付方式及可回收现金规模仍需以正式交易文件核验。</w:t>
      </w:r>
    </w:p>
    <w:p>
      <w:pPr>
        <w:keepNext/>
        <w:keepLines/>
        <w:spacing w:after="0" w:before="0" w:line="360"/>
        <w:ind w:firstLine="480"/>
        <w:jc w:val="both"/>
      </w:pPr>
      <w:r>
        <w:rPr>
          <w:rFonts w:ascii="Songti SC" w:cs="Songti SC" w:eastAsia="Songti SC" w:hAnsi="Songti SC"/>
          <w:color w:val="000000"/>
          <w:sz w:val="24"/>
          <w:szCs w:val="24"/>
        </w:rPr>
        <w:t xml:space="preserve">现有材料记载，老股东拟提供1000万元借款用于保障阶段性现金流，借款条件及实际到款情况仍需核验。</w:t>
      </w:r>
    </w:p>
    <w:p>
      <w:pPr>
        <w:keepNext/>
        <w:keepLines/>
        <w:spacing w:after="0" w:before="0" w:line="360"/>
        <w:ind w:firstLine="480"/>
        <w:jc w:val="both"/>
      </w:pPr>
      <w:r>
        <w:rPr>
          <w:rFonts w:ascii="Songti SC" w:cs="Songti SC" w:eastAsia="Songti SC" w:hAnsi="Songti SC"/>
          <w:color w:val="000000"/>
          <w:sz w:val="24"/>
          <w:szCs w:val="24"/>
        </w:rPr>
        <w:t xml:space="preserve">公司提出2026年底估值目标为60亿元，该目标属于规划性信息，不应作为本次投资定价依据。</w:t>
      </w:r>
    </w:p>
    <w:p>
      <w:pPr>
        <w:keepNext w:val="false"/>
        <w:keepLines/>
        <w:spacing w:after="0" w:before="0" w:line="360"/>
        <w:ind w:firstLine="480"/>
        <w:jc w:val="both"/>
      </w:pPr>
      <w:r>
        <w:rPr>
          <w:rFonts w:ascii="Songti SC" w:cs="Songti SC" w:eastAsia="Songti SC" w:hAnsi="Songti SC"/>
          <w:color w:val="000000"/>
          <w:sz w:val="24"/>
          <w:szCs w:val="24"/>
        </w:rPr>
        <w:t xml:space="preserve">下一轮融资拟由杭州属地政府产业基金、老股东和财务机构共同参与，计划融资规模约1亿元；具体方案以经审批的交易文件为准。</w:t>
      </w:r>
    </w:p>
    <w:p>
      <w:pPr>
        <w:pStyle w:val="13"/>
        <w:keepNext/>
        <w:keepLines/>
        <w:numPr>
          <w:ilvl w:val="0"/>
          <w:numId w:val="1"/>
        </w:numPr>
        <w:spacing w:after="0" w:before="240" w:line="360"/>
      </w:pPr>
      <w:r>
        <w:rPr>
          <w:rFonts w:ascii="Songti SC" w:cs="Songti SC" w:eastAsia="Songti SC" w:hAnsi="Songti SC"/>
          <w:b/>
          <w:bCs/>
          <w:color w:val="000000"/>
          <w:sz w:val="24"/>
          <w:szCs w:val="24"/>
        </w:rPr>
        <w:t xml:space="preserve">投资情形分析</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投资方式及投资限制：</w:t>
      </w:r>
      <w:r>
        <w:rPr>
          <w:rFonts w:ascii="Songti SC" w:cs="Songti SC" w:eastAsia="Songti SC" w:hAnsi="Songti SC"/>
          <w:color w:val="000000"/>
          <w:sz w:val="24"/>
          <w:szCs w:val="24"/>
        </w:rPr>
        <w:t xml:space="preserve">当前项目暂无相关资料。需补充基金合伙协议、投资限制条款及交易方案后再行核验。</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返投要求：</w:t>
      </w:r>
      <w:r>
        <w:rPr>
          <w:rFonts w:ascii="Songti SC" w:cs="Songti SC" w:eastAsia="Songti SC" w:hAnsi="Songti SC"/>
          <w:color w:val="000000"/>
          <w:sz w:val="24"/>
          <w:szCs w:val="24"/>
        </w:rPr>
        <w:t xml:space="preserve">当前项目暂无相关资料。需补充基金返投条款、返投认定口径及最新返投台账后再行核验。</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关联交易：</w:t>
      </w:r>
      <w:r>
        <w:rPr>
          <w:rFonts w:ascii="Songti SC" w:cs="Songti SC" w:eastAsia="Songti SC" w:hAnsi="Songti SC"/>
          <w:color w:val="000000"/>
          <w:sz w:val="24"/>
          <w:szCs w:val="24"/>
        </w:rPr>
        <w:t xml:space="preserve">当前项目暂无相关资料。需补充关联关系核查表、利益冲突声明及相关主体清单后再行核验。</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投资方向：</w:t>
      </w:r>
      <w:r>
        <w:rPr>
          <w:rFonts w:ascii="Songti SC" w:cs="Songti SC" w:eastAsia="Songti SC" w:hAnsi="Songti SC"/>
          <w:color w:val="000000"/>
          <w:sz w:val="24"/>
          <w:szCs w:val="24"/>
        </w:rPr>
        <w:t xml:space="preserve">当前项目暂无相关资料。需补充基金约定投资范围及能够证明项目主营业务的材料后再行核验。</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投资配置：</w:t>
      </w:r>
      <w:r>
        <w:rPr>
          <w:rFonts w:ascii="Songti SC" w:cs="Songti SC" w:eastAsia="Songti SC" w:hAnsi="Songti SC"/>
          <w:color w:val="000000"/>
          <w:sz w:val="24"/>
          <w:szCs w:val="24"/>
        </w:rPr>
        <w:t xml:space="preserve">当前项目暂无相关资料。需补充基金配置条款、SPV或直投方案及最新配置台账后再行核验。</w:t>
      </w:r>
    </w:p>
    <w:p>
      <w:pPr>
        <w:pStyle w:val="13"/>
        <w:keepNext/>
        <w:keepLines/>
        <w:numPr>
          <w:ilvl w:val="0"/>
          <w:numId w:val="4"/>
        </w:numPr>
        <w:spacing w:after="0" w:before="240" w:line="360"/>
        <w:jc w:val="both"/>
      </w:pPr>
      <w:r>
        <w:rPr>
          <w:rFonts w:ascii="Songti SC" w:cs="Songti SC" w:eastAsia="Songti SC" w:hAnsi="Songti SC"/>
          <w:b/>
          <w:bCs/>
          <w:color w:val="000000"/>
          <w:sz w:val="24"/>
          <w:szCs w:val="24"/>
        </w:rPr>
        <w:t xml:space="preserve">投资集中度：</w:t>
      </w:r>
      <w:r>
        <w:rPr>
          <w:rFonts w:ascii="Songti SC" w:cs="Songti SC" w:eastAsia="Songti SC" w:hAnsi="Songti SC"/>
          <w:color w:val="000000"/>
          <w:sz w:val="24"/>
          <w:szCs w:val="24"/>
        </w:rPr>
        <w:t xml:space="preserve">当前项目暂无相关资料。需补充基金合伙协议、基金规模台账及本次和累计投资金额后再行核验。</w:t>
      </w:r>
    </w:p>
    <w:p>
      <w:pPr>
        <w:pStyle w:val="13"/>
        <w:keepNext w:val="false"/>
        <w:keepLines/>
        <w:numPr>
          <w:ilvl w:val="0"/>
          <w:numId w:val="4"/>
        </w:numPr>
        <w:spacing w:after="0" w:before="240" w:line="360"/>
        <w:jc w:val="both"/>
      </w:pPr>
      <w:r>
        <w:rPr>
          <w:rFonts w:ascii="Songti SC" w:cs="Songti SC" w:eastAsia="Songti SC" w:hAnsi="Songti SC"/>
          <w:b/>
          <w:bCs/>
          <w:color w:val="000000"/>
          <w:sz w:val="24"/>
          <w:szCs w:val="24"/>
        </w:rPr>
        <w:t xml:space="preserve">其他法律法规、监管规定及基金合规要求：</w:t>
      </w:r>
      <w:r>
        <w:rPr>
          <w:rFonts w:ascii="Songti SC" w:cs="Songti SC" w:eastAsia="Songti SC" w:hAnsi="Songti SC"/>
          <w:color w:val="000000"/>
          <w:sz w:val="24"/>
          <w:szCs w:val="24"/>
        </w:rPr>
        <w:t xml:space="preserve">需结合主体资质、许可备案、处罚诉讼、失信制裁、投决程序及交易文件开展专项核查；公开信息只能作为待核验线索，不能替代正式法律意见。</w:t>
      </w:r>
    </w:p>
    <w:p>
      <w:pPr>
        <w:keepLines/>
        <w:spacing w:after="0" w:before="240" w:line="360"/>
        <w:ind w:firstLine="480"/>
        <w:jc w:val="both"/>
      </w:pPr>
      <w:r>
        <w:rPr>
          <w:rFonts w:ascii="Songti SC" w:cs="Songti SC" w:eastAsia="Songti SC" w:hAnsi="Songti SC"/>
          <w:color w:val="000000"/>
          <w:sz w:val="24"/>
          <w:szCs w:val="24"/>
        </w:rPr>
        <w:t xml:space="preserve">综上，当前项目资料尚不足以完成全部合规判断；在补充基金约束、交易安排及专项核验材料，履行必要审批并经法务或风控人员复核前，不得形成无保留合规结论，最终以正式法律意见和交易文件为准。</w:t>
      </w:r>
    </w:p>
    <w:p>
      <w:pPr>
        <w:keepNext/>
        <w:spacing w:after="0" w:before="240" w:line="360"/>
        <w:jc w:val="right"/>
      </w:pPr>
      <w:r>
        <w:rPr>
          <w:rFonts w:ascii="Songti SC" w:cs="Songti SC" w:eastAsia="Songti SC" w:hAnsi="Songti SC"/>
          <w:color w:val="000000"/>
          <w:sz w:val="24"/>
          <w:szCs w:val="24"/>
        </w:rPr>
        <w:t xml:space="preserve">浙江赛智伯乐股权投资管理有限公司</w:t>
      </w:r>
    </w:p>
    <w:p>
      <w:pPr>
        <w:spacing w:after="0" w:before="240" w:line="360"/>
        <w:jc w:val="right"/>
      </w:pPr>
      <w:r>
        <w:rPr>
          <w:rFonts w:ascii="Songti SC" w:cs="Songti SC" w:eastAsia="Songti SC" w:hAnsi="Songti SC"/>
          <w:color w:val="000000"/>
          <w:sz w:val="24"/>
          <w:szCs w:val="24"/>
        </w:rPr>
        <w:t xml:space="preserve">2026年   7   月   28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2026-07-28T07:47:38.931Z</dcterms:created>
  <dcterms:modified xsi:type="dcterms:W3CDTF">2026-07-28T07:47:38.931Z</dcterms:modified>
</cp:coreProperties>
</file>

<file path=docProps/custom.xml><?xml version="1.0" encoding="utf-8"?>
<Properties xmlns="http://schemas.openxmlformats.org/officeDocument/2006/custom-properties" xmlns:vt="http://schemas.openxmlformats.org/officeDocument/2006/docPropsVTypes"/>
</file>