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ageBreakBefore w:val="0"/>
        <w:widowControl/>
        <w:spacing w:after="0" w:before="0" w:line="360" w:lineRule="auto"/>
        <w:ind w:left="0" w:right="0"/>
        <w:jc w:val="center"/>
      </w:pPr>
      <w:r>
        <w:rPr>
          <w:rFonts w:ascii="STHeiti" w:cs="STHeiti" w:eastAsia="STHeiti" w:hAnsi="STHeiti"/>
          <w:b w:val="0"/>
          <w:i w:val="0"/>
          <w:color w:val="000000"/>
          <w:sz w:val="28"/>
          <w:szCs w:val="28"/>
          <w:u w:val="none"/>
        </w:rPr>
        <w:t>关于智灵动力项目投资合规性的说明</w:t>
      </w:r>
    </w:p>
    <w:p>
      <w:pPr>
        <w:pStyle w:val="13"/>
        <w:keepNext/>
        <w:keepLines/>
        <w:pageBreakBefore w:val="0"/>
        <w:widowControl/>
        <w:numPr>
          <w:ilvl w:val="0"/>
          <w:numId w:val="1"/>
        </w:numPr>
        <w:spacing w:after="0" w:before="240" w:line="360" w:lineRule="auto"/>
        <w:ind w:left="0" w:right="0"/>
        <w:jc w:val="left"/>
      </w:pPr>
      <w:r>
        <w:rPr>
          <w:rFonts w:ascii="Songti SC" w:cs="Songti SC" w:eastAsia="Songti SC" w:hAnsi="Songti SC"/>
          <w:b/>
          <w:bCs/>
          <w:i w:val="0"/>
          <w:color w:val="000000"/>
          <w:sz w:val="24"/>
          <w:szCs w:val="24"/>
          <w:u w:val="none"/>
        </w:rPr>
        <w:t>公司情况介绍</w:t>
      </w:r>
    </w:p>
    <w:p>
      <w:pPr>
        <w:pStyle w:val="13"/>
        <w:keepNext/>
        <w:keepLines/>
        <w:pageBreakBefore w:val="0"/>
        <w:widowControl/>
        <w:numPr>
          <w:ilvl w:val="0"/>
          <w:numId w:val="2"/>
        </w:numPr>
        <w:spacing w:after="0" w:before="0" w:line="360" w:lineRule="auto"/>
        <w:ind w:left="0" w:right="0"/>
        <w:jc w:val="left"/>
      </w:pPr>
      <w:r>
        <w:rPr>
          <w:rFonts w:ascii="Songti SC" w:cs="Songti SC" w:eastAsia="Songti SC" w:hAnsi="Songti SC"/>
          <w:b w:val="0"/>
          <w:bCs w:val="false"/>
          <w:i w:val="0"/>
          <w:color w:val="000000"/>
          <w:sz w:val="24"/>
          <w:szCs w:val="24"/>
          <w:u w:val="none"/>
        </w:rPr>
        <w:t>公司简介</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交流纪要记载，智灵成立初期由清博体系分出约100名技术及商务人员，并在2025年围绕AI应用开展三十余个方向尝试；其后因短剧方向被认为具备较明确变现机会，另行招聘约40人形成短剧团队，截至纪要形成时团队规模约138人，相关业务由合肥全资子公司元娲运营，并与北京主体拆分以降低业务重合及合规风险。</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基于现有纪要，智灵动力的业务定位仍处于AI应用商业化验证与聚焦调整阶段：一方面推进短剧、TikTok转绘、营销视频、金融行业智能体和智能办公系统等方向，短剧及转绘业务已出现按分钟制作费、流量利润分成或合同报价等收入模式线索；另一方面，一键成书系统仍处于内测阶段，传统舆情板块计划整体出售，后续需结合工商资料、业务合同、收入台账及主体拆分文件确认主营边界和持续经营主体。</w:t>
      </w:r>
    </w:p>
    <w:p>
      <w:pPr>
        <w:pStyle w:val="13"/>
        <w:keepNext/>
        <w:keepLines/>
        <w:pageBreakBefore w:val="0"/>
        <w:widowControl/>
        <w:numPr>
          <w:ilvl w:val="0"/>
          <w:numId w:val="2"/>
        </w:numPr>
        <w:spacing w:after="0" w:before="0" w:line="360" w:lineRule="auto"/>
        <w:ind w:left="0" w:right="0"/>
        <w:jc w:val="left"/>
      </w:pPr>
      <w:r>
        <w:rPr>
          <w:rFonts w:ascii="Songti SC" w:cs="Songti SC" w:eastAsia="Songti SC" w:hAnsi="Songti SC"/>
          <w:b w:val="0"/>
          <w:bCs w:val="false"/>
          <w:i w:val="0"/>
          <w:color w:val="000000"/>
          <w:sz w:val="24"/>
          <w:szCs w:val="24"/>
          <w:u w:val="none"/>
        </w:rPr>
        <w:t>核心团队</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学术团队：沈教授带领的清华学生团队，零人力成本，负责前沿技术研究与论文产出</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商务团队：20至30人，分散各地，获客以老客户转介绍、创始人资源对接为主</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获客模式：核心获客渠道为老客户转介绍与创始人资源，商务团队辅以陌拜、行业活动、内容平台拓展</w:t>
      </w:r>
    </w:p>
    <w:p>
      <w:pPr>
        <w:pStyle w:val="13"/>
        <w:keepNext/>
        <w:keepLines/>
        <w:pageBreakBefore w:val="0"/>
        <w:widowControl/>
        <w:numPr>
          <w:ilvl w:val="0"/>
          <w:numId w:val="2"/>
        </w:numPr>
        <w:spacing w:after="0" w:before="0" w:line="360" w:lineRule="auto"/>
        <w:ind w:left="0" w:right="0"/>
        <w:jc w:val="left"/>
      </w:pPr>
      <w:r>
        <w:rPr>
          <w:rFonts w:ascii="Songti SC" w:cs="Songti SC" w:eastAsia="Songti SC" w:hAnsi="Songti SC"/>
          <w:b w:val="0"/>
          <w:bCs w:val="false"/>
          <w:i w:val="0"/>
          <w:color w:val="000000"/>
          <w:sz w:val="24"/>
          <w:szCs w:val="24"/>
          <w:u w:val="none"/>
        </w:rPr>
        <w:t>产品及技术</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智灵动力的产品及服务形态以“算法工厂平台”为底座，面向客户提供算法加速、参数优化、性能提升等服务，交付形态为算法代码或编译后的程序，纪要记载其不承担完整系统交付，并覆盖已有算法优化、论文转算法、黑盒系统优化、数据集加算法全流程开发等服务场景。</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其技术落地路径强调在客户既有系统上进行接口对接和能力植入，以降低替换成本和实施风险；纪要同时记载后续拟搭建整体智能办公系统框架，并逐步补充自进化、本体构建、信号发现等深度能力。</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差异化方面，交流纪要将其压缩算法描述为“全球首家经第三方机构认证的自进化优化成果”，该表述可作为技术壁垒线索，但形成投资文件中的明确判断前，需取得第三方认证报告、测试口径、对比基准和权利归属文件。</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商业化成熟度处于订单线索和场景验证并行阶段；纪要记载华为超聚变智能体安全算法优化订单规模约180万元，济南病虫害监测项目订单规模约1000万至2000万元且已召开首次碰头会，同时金融行业智能体业务的股权比例、治理架构、业务归属、结算方式及核心技术装入范围仍待敲定，因此后续应以正式合同、验收记录、回款凭证和技术边界清单确认其可复制交付能力。</w:t>
      </w:r>
    </w:p>
    <w:p>
      <w:pPr>
        <w:pStyle w:val="13"/>
        <w:keepNext/>
        <w:keepLines/>
        <w:pageBreakBefore w:val="0"/>
        <w:widowControl/>
        <w:numPr>
          <w:ilvl w:val="0"/>
          <w:numId w:val="1"/>
        </w:numPr>
        <w:spacing w:after="0" w:before="240" w:line="360" w:lineRule="auto"/>
        <w:ind w:left="0" w:right="0"/>
        <w:jc w:val="left"/>
      </w:pPr>
      <w:r>
        <w:rPr>
          <w:rFonts w:ascii="Songti SC" w:cs="Songti SC" w:eastAsia="Songti SC" w:hAnsi="Songti SC"/>
          <w:b/>
          <w:bCs/>
          <w:i w:val="0"/>
          <w:color w:val="000000"/>
          <w:sz w:val="24"/>
          <w:szCs w:val="24"/>
          <w:u w:val="none"/>
        </w:rPr>
        <w:t>投资理由</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i w:val="0"/>
          <w:color w:val="000000"/>
          <w:sz w:val="24"/>
          <w:szCs w:val="24"/>
          <w:u w:val="none"/>
        </w:rPr>
        <w:t>政策和行业趋势具备初步判断依据。</w:t>
      </w:r>
      <w:r>
        <w:rPr>
          <w:rFonts w:ascii="Songti SC" w:cs="Songti SC" w:eastAsia="Songti SC" w:hAnsi="Songti SC"/>
          <w:b w:val="0"/>
          <w:i w:val="0"/>
          <w:color w:val="000000"/>
          <w:sz w:val="24"/>
          <w:szCs w:val="24"/>
          <w:u w:val="none"/>
        </w:rPr>
        <w:t>现有材料显示，沈教授初步提出合资公司聚焦金融行业智能体业务，以集鑫方为主导运营，智灵动力提供技术支撑；获客模式：核心获客渠道为老客户转介绍与创始人资源，商务团队辅以陌拜、行业活动、内容平台拓展；仍需结合专项尽调核验其真实性、持续性和投资相关性。</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i w:val="0"/>
          <w:color w:val="000000"/>
          <w:sz w:val="24"/>
          <w:szCs w:val="24"/>
          <w:u w:val="none"/>
        </w:rPr>
        <w:t>核心团队能力具备初步判断依据。</w:t>
      </w:r>
      <w:r>
        <w:rPr>
          <w:rFonts w:ascii="Songti SC" w:cs="Songti SC" w:eastAsia="Songti SC" w:hAnsi="Songti SC"/>
          <w:b w:val="0"/>
          <w:i w:val="0"/>
          <w:color w:val="000000"/>
          <w:sz w:val="24"/>
          <w:szCs w:val="24"/>
          <w:u w:val="none"/>
        </w:rPr>
        <w:t>现有材料显示，总规模：目前公司138人，本轮优化8个短剧团队人员后计划收缩至130人左右。研发团队：共40余人，合肥30人为主力，其余分布在杭州、北京等地。商务团队：20至30人，分散各地，获客以老客户转介绍、创始人资源对接为主。学术团队：沈教授带领的清华学生团队，零人力成本，负责前沿技术研究与论文产出；仍需结合专项尽调核验其真实性、持续性和投资相关性。</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i w:val="0"/>
          <w:color w:val="000000"/>
          <w:sz w:val="24"/>
          <w:szCs w:val="24"/>
          <w:u w:val="none"/>
        </w:rPr>
        <w:t>产品或技术差异化具备初步判断依据。</w:t>
      </w:r>
      <w:r>
        <w:rPr>
          <w:rFonts w:ascii="Songti SC" w:cs="Songti SC" w:eastAsia="Songti SC" w:hAnsi="Songti SC"/>
          <w:b w:val="0"/>
          <w:i w:val="0"/>
          <w:color w:val="000000"/>
          <w:sz w:val="24"/>
          <w:szCs w:val="24"/>
          <w:u w:val="none"/>
        </w:rPr>
        <w:t>现有材料显示，通过技术打榜、成果发布、政府背书逐步抬升估值。沈教授初步提出合资公司聚焦金融行业智能体业务，以集鑫方为主导运营，智灵动力提供技术支撑；待敲定核心事项：双方股权比例与治理架构、金融类 FDE 业务的归属与结算方式、研发投入与资金回流机制、因果大模型等核心技术的装入范围。获客模式：核心获客渠道为老客户转介绍与创始人资源，商务团队辅以陌拜、行业活动、内容平台拓展；仍需结合专项尽调核验其真实性、持续性和投资相关性。</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i w:val="0"/>
          <w:color w:val="000000"/>
          <w:sz w:val="24"/>
          <w:szCs w:val="24"/>
          <w:u w:val="none"/>
        </w:rPr>
        <w:t>客户验证或产业生态具备初步判断依据。</w:t>
      </w:r>
      <w:r>
        <w:rPr>
          <w:rFonts w:ascii="Songti SC" w:cs="Songti SC" w:eastAsia="Songti SC" w:hAnsi="Songti SC"/>
          <w:b w:val="0"/>
          <w:i w:val="0"/>
          <w:color w:val="000000"/>
          <w:sz w:val="24"/>
          <w:szCs w:val="24"/>
          <w:u w:val="none"/>
        </w:rPr>
        <w:t>现有材料显示，订单节奏：2026年5月正式启动新合作，当前每20天周期交付5000分钟内容，下一轮订单将提升至10000分钟。团队配置：合肥核心技术团队约10人，配套外包团队负责拼装交付，还有部分做流程性工作的人员若干；仍需结合专项尽调核验其真实性、持续性和投资相关性。</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i w:val="0"/>
          <w:color w:val="000000"/>
          <w:sz w:val="24"/>
          <w:szCs w:val="24"/>
          <w:u w:val="none"/>
        </w:rPr>
        <w:t>商业模式和成长空间具备初步判断依据。</w:t>
      </w:r>
      <w:r>
        <w:rPr>
          <w:rFonts w:ascii="Songti SC" w:cs="Songti SC" w:eastAsia="Songti SC" w:hAnsi="Songti SC"/>
          <w:b w:val="0"/>
          <w:i w:val="0"/>
          <w:color w:val="000000"/>
          <w:sz w:val="24"/>
          <w:szCs w:val="24"/>
          <w:u w:val="none"/>
        </w:rPr>
        <w:t>现有材料显示，融资节奏思路：计划下一轮联动杭州属地政府产业基金、老股东及财务机构，凑齐约1亿元融资规模；仍需结合专项尽调核验其真实性、持续性和投资相关性。</w:t>
      </w:r>
    </w:p>
    <w:p>
      <w:pPr>
        <w:pStyle w:val="13"/>
        <w:keepNext/>
        <w:keepLines/>
        <w:pageBreakBefore w:val="0"/>
        <w:widowControl/>
        <w:numPr>
          <w:ilvl w:val="0"/>
          <w:numId w:val="1"/>
        </w:numPr>
        <w:spacing w:after="0" w:before="240" w:line="360" w:lineRule="auto"/>
        <w:ind w:left="0" w:right="0"/>
        <w:jc w:val="left"/>
      </w:pPr>
      <w:r>
        <w:rPr>
          <w:rFonts w:ascii="Songti SC" w:cs="Songti SC" w:eastAsia="Songti SC" w:hAnsi="Songti SC"/>
          <w:b/>
          <w:bCs/>
          <w:i w:val="0"/>
          <w:color w:val="000000"/>
          <w:sz w:val="24"/>
          <w:szCs w:val="24"/>
          <w:u w:val="none"/>
        </w:rPr>
        <w:t>投资计划</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估值目标：2026年底目标估值为60亿元。</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融资节奏：计划下一轮联动杭州属地政府产业基金、老股东及财务机构，形成约1亿元融资规模。</w:t>
      </w:r>
    </w:p>
    <w:p>
      <w:pPr>
        <w:keepNext w:val="0"/>
        <w:keepLines/>
        <w:pageBreakBefore w:val="0"/>
        <w:widowControl/>
        <w:spacing w:after="0" w:before="0" w:line="360" w:lineRule="auto"/>
        <w:ind w:left="0" w:right="0" w:firstLine="482"/>
        <w:jc w:val="both"/>
      </w:pPr>
      <w:r>
        <w:rPr>
          <w:rFonts w:ascii="Songti SC" w:cs="Songti SC" w:eastAsia="Songti SC" w:hAnsi="Songti SC"/>
          <w:b w:val="0"/>
          <w:i w:val="0"/>
          <w:color w:val="000000"/>
          <w:sz w:val="24"/>
          <w:szCs w:val="24"/>
          <w:u w:val="none"/>
        </w:rPr>
        <w:t>研发与发布安排：公司正在迭代自适应参数、自我蒸馏及离线、在线蒸馏等能力，计划在完成下一轮融资后择机对外发布；具体资金用途和发布条件以最终融资方案为准。</w:t>
      </w:r>
    </w:p>
    <w:p>
      <w:pPr>
        <w:pStyle w:val="13"/>
        <w:keepNext/>
        <w:keepLines/>
        <w:pageBreakBefore w:val="0"/>
        <w:widowControl/>
        <w:numPr>
          <w:ilvl w:val="0"/>
          <w:numId w:val="1"/>
        </w:numPr>
        <w:spacing w:after="0" w:before="240" w:line="360" w:lineRule="auto"/>
        <w:ind w:left="0" w:right="0"/>
        <w:jc w:val="left"/>
      </w:pPr>
      <w:r>
        <w:rPr>
          <w:rFonts w:ascii="Songti SC" w:cs="Songti SC" w:eastAsia="Songti SC" w:hAnsi="Songti SC"/>
          <w:b/>
          <w:bCs/>
          <w:i w:val="0"/>
          <w:color w:val="000000"/>
          <w:sz w:val="24"/>
          <w:szCs w:val="24"/>
          <w:u w:val="none"/>
        </w:rPr>
        <w:t>投资情形分析</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i w:val="0"/>
          <w:color w:val="000000"/>
          <w:sz w:val="24"/>
          <w:szCs w:val="24"/>
          <w:u w:val="none"/>
        </w:rPr>
        <w:t>投资方式及投资限制：</w:t>
      </w:r>
      <w:r>
        <w:rPr>
          <w:rFonts w:ascii="Songti SC" w:cs="Songti SC" w:eastAsia="Songti SC" w:hAnsi="Songti SC"/>
          <w:b w:val="0"/>
          <w:i w:val="0"/>
          <w:color w:val="000000"/>
          <w:sz w:val="24"/>
          <w:szCs w:val="24"/>
          <w:u w:val="none"/>
        </w:rPr>
        <w:t>本项应核查基金协议允许的投资方式、负面清单、禁止事项及本次交易法律性质；现有交流纪要仅记载项目下一轮融资拟联动杭州属地政府产业基金、老股东跟投及财务机构，计划凑齐约1亿元融资规模，尚未载明我方投资主体、投资金额、增资或受让路径、SPV安排及基金投资限制条款；需取得本轮融资方案、拟签署交易文件、基金合伙协议或投资限制清单后，完成交易方式与基金限制的逐项比对。</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i w:val="0"/>
          <w:color w:val="000000"/>
          <w:sz w:val="24"/>
          <w:szCs w:val="24"/>
          <w:u w:val="none"/>
        </w:rPr>
        <w:t>返投要求：</w:t>
      </w:r>
      <w:r>
        <w:rPr>
          <w:rFonts w:ascii="Songti SC" w:cs="Songti SC" w:eastAsia="Songti SC" w:hAnsi="Songti SC"/>
          <w:b w:val="0"/>
          <w:i w:val="0"/>
          <w:color w:val="000000"/>
          <w:sz w:val="24"/>
          <w:szCs w:val="24"/>
          <w:u w:val="none"/>
        </w:rPr>
        <w:t>本项应按基金适用返投口径核查实缴规模、返投目标、已返投金额、已投未认定金额、剩余可投空间及本项目可认定属性；现有材料显示项目存在合肥核心技术团队、合肥研发中心考察对接安排，并提及下一轮融资可能联动杭州属地政府产业基金，但未提供基金返投条款、返投认定规则、基金最新返投台账、项目注册地或纳税地、人员社保和收入归属等认定材料；需在明确返投分母、认定区域、认定金额口径及投资后归集方式后再判断本项目是否可计入返投及投资后空间。</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i w:val="0"/>
          <w:color w:val="000000"/>
          <w:sz w:val="24"/>
          <w:szCs w:val="24"/>
          <w:u w:val="none"/>
        </w:rPr>
        <w:t>关联交易：</w:t>
      </w:r>
      <w:r>
        <w:rPr>
          <w:rFonts w:ascii="Songti SC" w:cs="Songti SC" w:eastAsia="Songti SC" w:hAnsi="Songti SC"/>
          <w:b w:val="0"/>
          <w:i w:val="0"/>
          <w:color w:val="000000"/>
          <w:sz w:val="24"/>
          <w:szCs w:val="24"/>
          <w:u w:val="none"/>
        </w:rPr>
        <w:t>本项应核查标的公司、实际控制人、主要股东、核心团队、共同投资方、交易对手与基金、管理人及出资人的关联关系；现有纪要列示了交流参与人员，并提及沈教授初步提出合资公司聚焦金融行业智能体业务、由集鑫方主导运营、智灵动力提供技术支撑，同时下一轮融资可能包含老股东跟投，但未提供股权结构、实控人信息、董监高名单、老股东及共同投资方清单、关联关系核查表；需取得上述材料并由管理人、基金出资人及项目方分别确认后，方可判断是否构成关联交易及所需审批程序。</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i w:val="0"/>
          <w:color w:val="000000"/>
          <w:sz w:val="24"/>
          <w:szCs w:val="24"/>
          <w:u w:val="none"/>
        </w:rPr>
        <w:t>投资方向：</w:t>
      </w:r>
      <w:r>
        <w:rPr>
          <w:rFonts w:ascii="Songti SC" w:cs="Songti SC" w:eastAsia="Songti SC" w:hAnsi="Songti SC"/>
          <w:b w:val="0"/>
          <w:i w:val="0"/>
          <w:color w:val="000000"/>
          <w:sz w:val="24"/>
          <w:szCs w:val="24"/>
          <w:u w:val="none"/>
        </w:rPr>
        <w:t>本项应将项目实际主营业务、收入来源、资金用途和产业链位置与基金投资范围进行对应；现有材料显示项目涉及智能体办公、项目基础信息聚合、团队画像、技术研判、投后权益分析、民航和政务情报落地经验、短剧及营销视频生成等多个应用方向，并另有聚焦金融行业智能体业务的合资设想，业务边界与资金用途仍需收敛；需取得基金投资范围条款、本轮商业计划书、资金用途清单和现有收入构成，以判断本次投资对应方向是否落入基金约定范围。</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i w:val="0"/>
          <w:color w:val="000000"/>
          <w:sz w:val="24"/>
          <w:szCs w:val="24"/>
          <w:u w:val="none"/>
        </w:rPr>
        <w:t>投资配置：</w:t>
      </w:r>
      <w:r>
        <w:rPr>
          <w:rFonts w:ascii="Songti SC" w:cs="Songti SC" w:eastAsia="Songti SC" w:hAnsi="Songti SC"/>
          <w:b w:val="0"/>
          <w:i w:val="0"/>
          <w:color w:val="000000"/>
          <w:sz w:val="24"/>
          <w:szCs w:val="24"/>
          <w:u w:val="none"/>
        </w:rPr>
        <w:t>本项应核查基金对股权、可转债、SPV、直投或穿透投资实质的配置要求；现有材料记载项目拟以智能体和算法工厂平台等技术能力支撑业务落地，并提及合资公司设想及下一轮融资安排，但未载明本基金拟直接投资标的公司、投资合资公司、通过SPV投资或采用其他工具；需取得交易架构图、投资主体决议、SPV穿透材料及基金配置限制后，按投资实质确认其资产类型和配置占用。</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i w:val="0"/>
          <w:color w:val="000000"/>
          <w:sz w:val="24"/>
          <w:szCs w:val="24"/>
          <w:u w:val="none"/>
        </w:rPr>
        <w:t>投资集中度：</w:t>
      </w:r>
      <w:r>
        <w:rPr>
          <w:rFonts w:ascii="Songti SC" w:cs="Songti SC" w:eastAsia="Songti SC" w:hAnsi="Songti SC"/>
          <w:b w:val="0"/>
          <w:i w:val="0"/>
          <w:color w:val="000000"/>
          <w:sz w:val="24"/>
          <w:szCs w:val="24"/>
          <w:u w:val="none"/>
        </w:rPr>
        <w:t>本项应以基金协议约定分母核算本次及累计对单一项目、单一主体、同一控制下主体或同一赛道的风险暴露，并与集中度上限比较；现有纪要仅记载项目下一轮融资规模计划约1亿元，未提供基金认缴或实缴规模、已投项目台账、我方拟投金额、共同投资或SPV穿透暴露、同一控制下主体范围及集中度上限；需以“本次投资金额或穿透风险暴露÷基金协议约定分母”计算投资后比例，并与基金协议及内部风控上限比较后形成结论。</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i w:val="0"/>
          <w:color w:val="000000"/>
          <w:sz w:val="24"/>
          <w:szCs w:val="24"/>
          <w:u w:val="none"/>
        </w:rPr>
        <w:t>其他法律法规、监管规定及基金合规要求：</w:t>
      </w:r>
      <w:r>
        <w:rPr>
          <w:rFonts w:ascii="Songti SC" w:cs="Songti SC" w:eastAsia="Songti SC" w:hAnsi="Songti SC"/>
          <w:b w:val="0"/>
          <w:i w:val="0"/>
          <w:color w:val="000000"/>
          <w:sz w:val="24"/>
          <w:szCs w:val="24"/>
          <w:u w:val="none"/>
        </w:rPr>
        <w:t>现有项目材料提供了初步核查对象，沈教授初步提出合资公司聚焦金融行业智能体业务，以集鑫方为主导运营，智灵动力提供技术支撑。可先围绕主体登记、知识产权、数据与人工智能治理、用工、许可备案、诉讼处罚和投决程序建立专项清单，再按交易结构落实交割前提；本项仍需取得审批、备案、许可、制裁筛查、投决及交易文件完成专项核验。</w:t>
      </w:r>
    </w:p>
    <w:p>
      <w:pPr>
        <w:keepNext w:val="0"/>
        <w:keepLines/>
        <w:pageBreakBefore w:val="0"/>
        <w:widowControl/>
        <w:spacing w:after="0" w:before="240" w:line="360" w:lineRule="auto"/>
        <w:ind w:left="0" w:right="0" w:firstLine="482"/>
        <w:jc w:val="both"/>
      </w:pPr>
      <w:r>
        <w:rPr>
          <w:rFonts w:ascii="Songti SC" w:cs="Songti SC" w:eastAsia="Songti SC" w:hAnsi="Songti SC"/>
          <w:b w:val="0"/>
          <w:i w:val="0"/>
          <w:color w:val="000000"/>
          <w:sz w:val="24"/>
          <w:szCs w:val="24"/>
          <w:u w:val="none"/>
        </w:rPr>
        <w:t>综上，根据截至资料截止日的当前项目材料，在完成法务核验、必要审批并将相关限制落实至交易文件的前提下，原则上可进入下一阶段合规审查；最终以正式法律意见、投决结果和交易文件为准。</w:t>
      </w:r>
    </w:p>
    <w:p>
      <w:pPr>
        <w:keepNext/>
        <w:keepLines/>
        <w:pageBreakBefore w:val="0"/>
        <w:widowControl/>
        <w:spacing w:after="0" w:before="240" w:line="360" w:lineRule="auto"/>
        <w:ind w:left="0" w:right="0"/>
        <w:jc w:val="right"/>
      </w:pPr>
      <w:r>
        <w:rPr>
          <w:rFonts w:ascii="Songti SC" w:cs="Songti SC" w:eastAsia="Songti SC" w:hAnsi="Songti SC"/>
          <w:b w:val="0"/>
          <w:i w:val="0"/>
          <w:color w:val="000000"/>
          <w:sz w:val="24"/>
          <w:szCs w:val="24"/>
          <w:u w:val="none"/>
        </w:rPr>
        <w:t>浙江赛智伯乐股权投资管理有限公司</w:t>
      </w:r>
    </w:p>
    <w:p>
      <w:pPr>
        <w:keepNext w:val="0"/>
        <w:keepLines/>
        <w:pageBreakBefore w:val="0"/>
        <w:widowControl/>
        <w:spacing w:after="0" w:before="240" w:line="360" w:lineRule="auto"/>
        <w:ind w:left="0" w:right="0"/>
        <w:jc w:val="right"/>
      </w:pPr>
      <w:r>
        <w:rPr>
          <w:rFonts w:ascii="Songti SC" w:cs="Songti SC" w:eastAsia="Songti SC" w:hAnsi="Songti SC"/>
          <w:b w:val="0"/>
          <w:i w:val="0"/>
          <w:color w:val="000000"/>
          <w:sz w:val="24"/>
          <w:szCs w:val="24"/>
          <w:u w:val="none"/>
        </w:rPr>
        <w:t xml:space="preserve">2026年   7   月   28   日</w:t>
      </w:r>
    </w:p>
    <w:sectPr>
      <w:pgSz w:w="11906" w:h="16838" w:orient="portrait"/>
      <w:pgMar w:top="1440" w:right="1800" w:bottom="1440" w:left="1800"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ongti SC"/>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STHeiti"/>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altName w:val="宋体"/>
    <w:charset w:val="86"/>
    <w:family w:val="auto"/>
    <w:pitch w:val="default"/>
  </w:font>
  <w:font w:name="STHeiti">
    <w:altName w:val="黑体"/>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chi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关于智灵动力项目投资合规性的说明</dc:title>
  <dc:creator>浙江赛智伯乐股权投资管理有限公司投资中台</dc:creator>
  <dc:description>合规性说明 AI 初稿；使用 docs 公司参考模板的版式规范</dc:description>
  <cp:lastModifiedBy>Un-named</cp:lastModifiedBy>
  <cp:revision>1</cp:revision>
  <dcterms:created xsi:type="dcterms:W3CDTF">2026-07-28T11:55:46.282Z</dcterms:created>
  <dcterms:modified xsi:type="dcterms:W3CDTF">2026-07-28T11:55:46.282Z</dcterms:modified>
</cp:coreProperties>
</file>

<file path=docProps/custom.xml><?xml version="1.0" encoding="utf-8"?>
<Properties xmlns="http://schemas.openxmlformats.org/officeDocument/2006/custom-properties" xmlns:vt="http://schemas.openxmlformats.org/officeDocument/2006/docPropsVTypes"/>
</file>