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pageBreakBefore w:val="0"/>
        <w:widowControl/>
        <w:spacing w:after="0" w:before="0" w:line="360" w:lineRule="auto"/>
        <w:ind w:left="0" w:right="0"/>
        <w:jc w:val="center"/>
      </w:pPr>
      <w:r>
        <w:rPr>
          <w:rFonts w:ascii="STHeiti" w:cs="STHeiti" w:eastAsia="STHeiti" w:hAnsi="STHeiti"/>
          <w:b w:val="0"/>
          <w:i w:val="0"/>
          <w:color w:val="000000"/>
          <w:sz w:val="28"/>
          <w:szCs w:val="28"/>
          <w:u w:val="none"/>
        </w:rPr>
        <w:t>关于智灵动力项目投资合规性的说明</w:t>
      </w:r>
    </w:p>
    <w:p>
      <w:pPr>
        <w:pStyle w:val="13"/>
        <w:keepNext/>
        <w:keepLines/>
        <w:pageBreakBefore w:val="0"/>
        <w:widowControl/>
        <w:numPr>
          <w:ilvl w:val="0"/>
          <w:numId w:val="1"/>
        </w:numPr>
        <w:spacing w:after="0" w:before="240" w:line="360" w:lineRule="auto"/>
        <w:ind w:left="0" w:right="0"/>
        <w:jc w:val="left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公司情况介绍</w:t>
      </w:r>
    </w:p>
    <w:p>
      <w:pPr>
        <w:pStyle w:val="13"/>
        <w:keepNext/>
        <w:keepLines/>
        <w:pageBreakBefore w:val="0"/>
        <w:widowControl/>
        <w:numPr>
          <w:ilvl w:val="0"/>
          <w:numId w:val="2"/>
        </w:numPr>
        <w:spacing w:after="0" w:before="0" w:line="360" w:lineRule="auto"/>
        <w:ind w:left="0" w:right="0"/>
        <w:jc w:val="left"/>
      </w:pPr>
      <w:r>
        <w:rPr>
          <w:rFonts w:ascii="Songti SC" w:cs="Songti SC" w:eastAsia="Songti SC" w:hAnsi="Songti SC"/>
          <w:b w:val="0"/>
          <w:bCs w:val="false"/>
          <w:i w:val="0"/>
          <w:color w:val="000000"/>
          <w:sz w:val="24"/>
          <w:szCs w:val="24"/>
          <w:u w:val="none"/>
        </w:rPr>
        <w:t>公司简介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业务主体：由合肥全资子公司元娲运营，与北京主体拆分，规避业务重合与合规风险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TikTok转绘业务人均年产值约120至150万元，为当前人效最高的业务线。</w:t>
      </w:r>
    </w:p>
    <w:p>
      <w:pPr>
        <w:pStyle w:val="13"/>
        <w:keepNext/>
        <w:keepLines/>
        <w:pageBreakBefore w:val="0"/>
        <w:widowControl/>
        <w:numPr>
          <w:ilvl w:val="0"/>
          <w:numId w:val="2"/>
        </w:numPr>
        <w:spacing w:after="0" w:before="0" w:line="360" w:lineRule="auto"/>
        <w:ind w:left="0" w:right="0"/>
        <w:jc w:val="left"/>
      </w:pPr>
      <w:r>
        <w:rPr>
          <w:rFonts w:ascii="Songti SC" w:cs="Songti SC" w:eastAsia="Songti SC" w:hAnsi="Songti SC"/>
          <w:b w:val="0"/>
          <w:bCs w:val="false"/>
          <w:i w:val="0"/>
          <w:color w:val="000000"/>
          <w:sz w:val="24"/>
          <w:szCs w:val="24"/>
          <w:u w:val="none"/>
        </w:rPr>
        <w:t>核心团队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学术团队：沈教授带领的清华学生团队，零人力成本，负责前沿技术研究与论文产出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商务团队：20至30人，分散各地，获客以老客户转介绍、创始人资源对接为主。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获客模式：核心获客渠道为老客户转介绍与创始人资源，商务团队辅以陌拜、行业活动、内容平台拓展</w:t>
      </w:r>
    </w:p>
    <w:p>
      <w:pPr>
        <w:pStyle w:val="13"/>
        <w:keepNext/>
        <w:keepLines/>
        <w:pageBreakBefore w:val="0"/>
        <w:widowControl/>
        <w:numPr>
          <w:ilvl w:val="0"/>
          <w:numId w:val="2"/>
        </w:numPr>
        <w:spacing w:after="0" w:before="0" w:line="360" w:lineRule="auto"/>
        <w:ind w:left="0" w:right="0"/>
        <w:jc w:val="left"/>
      </w:pPr>
      <w:r>
        <w:rPr>
          <w:rFonts w:ascii="Songti SC" w:cs="Songti SC" w:eastAsia="Songti SC" w:hAnsi="Songti SC"/>
          <w:b w:val="0"/>
          <w:bCs w:val="false"/>
          <w:i w:val="0"/>
          <w:color w:val="000000"/>
          <w:sz w:val="24"/>
          <w:szCs w:val="24"/>
          <w:u w:val="none"/>
        </w:rPr>
        <w:t>产品及技术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交流纪要记载，相关团队的产品底座为“算法工厂平台”，服务形态包括已有算法优化、论文转算法、黑盒系统优化、数据集加算法全流程开发等场景，通常向客户交付算法代码或编译后的程序，不承担完整系统交付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交流纪要记载，技术能力建设拟分阶段推进，第二阶段包括搭建整体智能办公系统框架，并逐步补充自进化、本体构建、信号发现等深度能力；研发团队共40余人，其中合肥约30人为主力，另有杭州、北京等地人员参与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基于纪要所述实施原则，团队更偏向在客户既有系统上进行接口对接和能力植入，并通过当天完成场景选型、技术难度评估、落地瓶颈预判等方式提高前期响应效率；该模式的差异化价值取决于后续能否在真实客户系统中稳定复用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交流纪要记载，团队已有华为超聚变智能体安全算法优化事项，订单规模约180万元；济南病虫害监测项目预计订单规模1000万至2000万元且已召开第一次碰头会，同时纪要称目标为7月完成首个商业签单。上述信息显示其客户验证仍处于订单、碰头会和目标签单并存的早期阶段，需进一步取得合同、验收、回款、第三方认证及核心知识产权材料后确认成熟度。</w:t>
      </w:r>
    </w:p>
    <w:p>
      <w:pPr>
        <w:pStyle w:val="13"/>
        <w:keepNext/>
        <w:keepLines/>
        <w:pageBreakBefore w:val="0"/>
        <w:widowControl/>
        <w:numPr>
          <w:ilvl w:val="0"/>
          <w:numId w:val="1"/>
        </w:numPr>
        <w:spacing w:after="0" w:before="240" w:line="360" w:lineRule="auto"/>
        <w:ind w:left="0" w:right="0"/>
        <w:jc w:val="left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投资理由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政策和行业趋势具备初步判断依据。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材料显示，沈教授初步提出合资公司聚焦金融行业智能体业务，以集鑫方为主导运营，智灵动力提供技术支撑；获客模式：核心获客渠道为老客户转介绍与创始人资源，商务团队辅以陌拜、行业活动、内容平台拓展；仍需结合专项尽调核验其真实性、持续性和投资相关性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核心团队能力具备初步判断依据。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材料显示，总规模：目前公司138人，本轮优化8个短剧团队人员后计划收缩至130人左右。研发团队：共40余人，合肥30人为主力，其余分布在杭州、北京等地。商务团队：20至30人，分散各地，获客以老客户转介绍、创始人资源对接为主。学术团队：沈教授带领的清华学生团队，零人力成本，负责前沿技术研究与论文产出；仍需结合专项尽调核验其真实性、持续性和投资相关性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产品或技术差异化具备初步判断依据。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材料显示，通过技术打榜、成果发布、政府背书逐步抬升估值。沈教授初步提出合资公司聚焦金融行业智能体业务，以集鑫方为主导运营，智灵动力提供技术支撑；待敲定核心事项：双方股权比例与治理架构、金融类 FDE 业务的归属与结算方式、研发投入与资金回流机制、因果大模型等核心技术的装入范围。获客模式：核心获客渠道为老客户转介绍与创始人资源，商务团队辅以陌拜、行业活动、内容平台拓展；仍需结合专项尽调核验其真实性、持续性和投资相关性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客户验证或产业生态具备初步判断依据。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材料显示，订单节奏：2026年5月正式启动新合作，当前每20天周期交付5000分钟内容，下一轮订单将提升至10000分钟。团队配置：合肥核心技术团队约10人，配套外包团队负责拼装交付，还有部分做流程性工作的人员若干；仍需结合专项尽调核验其真实性、持续性和投资相关性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商业模式和成长空间具备初步判断依据。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现有材料显示，融资节奏思路：计划下一轮联动杭州属地政府产业基金、老股东及财务机构，凑齐约1亿元融资规模；仍需结合专项尽调核验其真实性、持续性和投资相关性。</w:t>
      </w:r>
    </w:p>
    <w:p>
      <w:pPr>
        <w:pStyle w:val="13"/>
        <w:keepNext/>
        <w:keepLines/>
        <w:pageBreakBefore w:val="0"/>
        <w:widowControl/>
        <w:numPr>
          <w:ilvl w:val="0"/>
          <w:numId w:val="1"/>
        </w:numPr>
        <w:spacing w:after="0" w:before="240" w:line="360" w:lineRule="auto"/>
        <w:ind w:left="0" w:right="0"/>
        <w:jc w:val="left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投资计划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估值目标：2026年底目标估值为60亿元。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融资节奏：计划下一轮联动杭州属地政府产业基金、老股东及财务机构，形成约1亿元融资规模。</w:t>
      </w:r>
    </w:p>
    <w:p>
      <w:pPr>
        <w:keepNext w:val="0"/>
        <w:keepLines/>
        <w:pageBreakBefore w:val="0"/>
        <w:widowControl/>
        <w:spacing w:after="0" w:before="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研发与发布安排：公司正在迭代自适应参数、自我蒸馏及离线、在线蒸馏等能力，计划在完成下一轮融资后择机对外发布；具体资金用途和发布条件以最终融资方案为准。</w:t>
      </w:r>
    </w:p>
    <w:p>
      <w:pPr>
        <w:pStyle w:val="13"/>
        <w:keepNext/>
        <w:keepLines/>
        <w:pageBreakBefore w:val="0"/>
        <w:widowControl/>
        <w:numPr>
          <w:ilvl w:val="0"/>
          <w:numId w:val="1"/>
        </w:numPr>
        <w:spacing w:after="0" w:before="240" w:line="360" w:lineRule="auto"/>
        <w:ind w:left="0" w:right="0"/>
        <w:jc w:val="left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投资情形分析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投资方式及投资限制：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项目材料提供了初步核查对象，融资节奏思路：计划下一轮联动杭州属地政府产业基金、老股东及财务机构，凑齐约1亿元融资规模。应先根据拟议增资、股权受让或载体安排识别投资路径，再逐项对照基金协议中的禁止性和限制性条款；最终以交易方案及基金条款核对结果为准；本项仍需取得基金合伙协议、投资限制条款及交易方案完成专项核验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返投要求：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项目材料显示下一轮融资思路包括联动杭州属地政府产业基金，并存在赴合肥研发中心考察对接安排；据此可将注册地、研发中心、人员社保、纳税、合同收入、政府基金认定口径及本次出资金额作为返投初筛维度，但是否计入本基金返投仍需取得基金返投条款、认定规则、实缴规模、已返投金额、已投金额、剩余可投额度及本项目落地承诺后计算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关联交易：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项目材料提及下一轮可能由老股东跟投，并初步设想由集鑫方主导运营合资公司、智灵动力提供技术支撑；该等安排构成关联关系与交易对手穿透核查线索，需取得标的工商股权、实际控制人、董事监事高管、团队兼职、老股东名单、合资公司方案及基金、管理人、出资人关联方清单，完成比对后判断是否触发关联交易程序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投资方向：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项目材料显示相关业务线索包括金融行业智能体、轻量办公智能体、多行业落地经验、短剧及广告短片生成、自进化大模型等，投资方向匹配性应以基金约定投资范围和负面清单逐项比对；在未取得基金投资范围条款及标的主营收入、产品交付和客户行业拆分前，不能据此形成方向匹配结论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投资配置：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项目材料提供了初步核查对象，估值目标：2026年底目标估值60亿元。可先结合项目阶段、融资安排和拟议交易路径判断采用直接投资或专项载体的合理性，再核对基金配置比例及载体限制；本项仍需取得基金配置条款、专项载体或直投方案及最新配置台账完成专项核验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投资集中度：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项目材料提供了初步核查对象，估值目标：2026年底目标估值60亿元。可先将本次及对同一项目累计风险敞口作为分子，分别以基金认缴和实缴规模为分母测算，再与协议限额比较；本项仍需取得基金合伙协议、基金规模台账及本次和累计投资金额完成专项核验。</w:t>
      </w:r>
    </w:p>
    <w:p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spacing w:after="0" w:before="240" w:line="360" w:lineRule="auto"/>
        <w:ind w:left="0" w:right="0"/>
        <w:jc w:val="both"/>
      </w:pPr>
      <w:r>
        <w:rPr>
          <w:rFonts w:ascii="Songti SC" w:cs="Songti SC" w:eastAsia="Songti SC" w:hAnsi="Songti SC"/>
          <w:b/>
          <w:bCs/>
          <w:i w:val="0"/>
          <w:color w:val="000000"/>
          <w:sz w:val="24"/>
          <w:szCs w:val="24"/>
          <w:u w:val="none"/>
        </w:rPr>
        <w:t>其他法律法规、监管规定及基金合规要求：</w:t>
      </w: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现有项目材料提供了初步核查对象，沈教授初步提出合资公司聚焦金融行业智能体业务，以集鑫方为主导运营，智灵动力提供技术支撑。可先围绕主体登记、知识产权、数据与人工智能治理、用工、许可备案、诉讼处罚和投决程序建立专项清单，再按交易结构落实交割前提；本项仍需取得审批、备案、许可、制裁筛查、投决及交易文件完成专项核验。</w:t>
      </w:r>
    </w:p>
    <w:p>
      <w:pPr>
        <w:keepNext w:val="0"/>
        <w:keepLines/>
        <w:pageBreakBefore w:val="0"/>
        <w:widowControl/>
        <w:spacing w:after="0" w:before="240" w:line="360" w:lineRule="auto"/>
        <w:ind w:left="0" w:right="0" w:firstLine="482"/>
        <w:jc w:val="both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综上，当前项目资料尚不足以完成全部合规判断；在补充基金约束、交易安排及专项核验材料，履行必要审批并经法务或风控人员复核前，不得形成无保留合规结论，最终以正式法律意见和交易文件为准。</w:t>
      </w:r>
    </w:p>
    <w:p>
      <w:pPr>
        <w:keepNext/>
        <w:keepLines/>
        <w:pageBreakBefore w:val="0"/>
        <w:widowControl/>
        <w:spacing w:after="0" w:before="240" w:line="360" w:lineRule="auto"/>
        <w:ind w:left="0" w:right="0"/>
        <w:jc w:val="right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>浙江赛智伯乐股权投资管理有限公司</w:t>
      </w:r>
    </w:p>
    <w:p>
      <w:pPr>
        <w:keepNext w:val="0"/>
        <w:keepLines/>
        <w:pageBreakBefore w:val="0"/>
        <w:widowControl/>
        <w:spacing w:after="0" w:before="240" w:line="360" w:lineRule="auto"/>
        <w:ind w:left="0" w:right="0"/>
        <w:jc w:val="right"/>
      </w:pPr>
      <w:r>
        <w:rPr>
          <w:rFonts w:ascii="Songti SC" w:cs="Songti SC" w:eastAsia="Songti SC" w:hAnsi="Songti SC"/>
          <w:b w:val="0"/>
          <w:i w:val="0"/>
          <w:color w:val="000000"/>
          <w:sz w:val="24"/>
          <w:szCs w:val="24"/>
          <w:u w:val="none"/>
        </w:rPr>
        <w:t xml:space="preserve">2026年   7   月   28   日</w:t>
      </w:r>
    </w:p>
    <w:sectPr>
      <w:pgSz w:w="11906" w:h="16838" w:orient="portrait"/>
      <w:pgMar w:top="1440" w:right="1800" w:bottom="1440" w:left="1800" w:header="850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STHeit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altName w:val="宋体"/>
    <w:charset w:val="86"/>
    <w:family w:val="auto"/>
    <w:pitch w:val="default"/>
  </w:font>
  <w:font w:name="STHeiti">
    <w:altName w:val="黑体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E312E"/>
    <w:multiLevelType w:val="multilevel"/>
    <w:tmpl w:val="014E312E"/>
    <w:lvl w:ilvl="0" w:tentative="0">
      <w:start w:val="1"/>
      <w:numFmt w:val="chi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164B8D"/>
    <w:multiLevelType w:val="multilevel"/>
    <w:tmpl w:val="52164B8D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F7EE99A"/>
    <w:multiLevelType w:val="singleLevel"/>
    <w:tmpl w:val="7F7EE9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hint="default" w:eastAsia="Heiti SC Medium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Heiti SC Medium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Emphasis"/>
    <w:basedOn w:val="9"/>
    <w:qFormat/>
    <w:uiPriority w:val="20"/>
    <w:rPr>
      <w:i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Revision"/>
    <w:hidden/>
    <w:unhideWhenUsed/>
    <w:uiPriority w:val="99"/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关于智灵动力项目投资合规性的说明</dc:title>
  <dc:creator>浙江赛智伯乐股权投资管理有限公司投资中台</dc:creator>
  <dc:description>合规性说明 AI 初稿；使用 docs 公司参考模板的版式规范</dc:description>
  <cp:lastModifiedBy>Un-named</cp:lastModifiedBy>
  <cp:revision>1</cp:revision>
  <dcterms:created xsi:type="dcterms:W3CDTF">2026-07-28T13:38:51.602Z</dcterms:created>
  <dcterms:modified xsi:type="dcterms:W3CDTF">2026-07-28T13:38:51.602Z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