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420"/>
        <w:jc w:val="center"/>
      </w:pPr>
      <w:r>
        <w:rPr>
          <w:rFonts w:ascii="Arial" w:cs="Times New Roman" w:eastAsia="黑体" w:hAnsi="Arial"/>
          <w:b/>
          <w:bCs/>
          <w:color w:val="000000"/>
          <w:sz w:val="24"/>
          <w:szCs w:val="24"/>
        </w:rPr>
        <w:t xml:space="preserve">浙江赛智伯乐股权投资管理有限公司</w:t>
      </w:r>
    </w:p>
    <w:p>
      <w:pPr>
        <w:spacing w:after="420" w:before="300" w:line="420"/>
        <w:jc w:val="center"/>
      </w:pPr>
      <w:r>
        <w:rPr>
          <w:rFonts w:ascii="Arial" w:cs="Times New Roman" w:eastAsia="黑体" w:hAnsi="Arial"/>
          <w:b/>
          <w:bCs/>
          <w:color w:val="000000"/>
          <w:sz w:val="36"/>
          <w:szCs w:val="36"/>
        </w:rPr>
        <w:t xml:space="preserve">关于业务验收示例项目项目投资合规性的说明</w:t>
      </w:r>
    </w:p>
    <w:p>
      <w:pPr>
        <w:spacing w:after="500"/>
        <w:jc w:val="center"/>
      </w:pPr>
      <w:r>
        <w:rPr>
          <w:rFonts w:ascii="Arial" w:cs="Times New Roman" w:eastAsia="宋体" w:hAnsi="Arial"/>
          <w:color w:val="555555"/>
          <w:sz w:val="24"/>
          <w:szCs w:val="24"/>
        </w:rPr>
        <w:t xml:space="preserve">（AI 辅助初稿）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3150"/>
        <w:gridCol w:w="1350"/>
        <w:gridCol w:w="3150"/>
      </w:tblGrid>
      <w:tr>
        <w:tc>
          <w:tcPr>
            <w:tcW w:type="dxa" w:w="1350"/>
            <w:shd w:fill="E9E9E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宋体" w:hAnsi="Arial"/>
                <w:b/>
                <w:bCs/>
                <w:color w:val="1F4E79"/>
                <w:sz w:val="22"/>
                <w:szCs w:val="22"/>
              </w:rPr>
              <w:t xml:space="preserve">公司主体</w:t>
            </w:r>
          </w:p>
        </w:tc>
        <w:tc>
          <w:tcPr>
            <w:tcW w:type="dxa" w:w="315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宋体" w:hAnsi="Arial"/>
                <w:b w:val="false"/>
                <w:bCs w:val="false"/>
                <w:color w:val="000000"/>
                <w:sz w:val="22"/>
                <w:szCs w:val="22"/>
              </w:rPr>
              <w:t xml:space="preserve">杭州示例科技有限公司</w:t>
            </w:r>
          </w:p>
        </w:tc>
        <w:tc>
          <w:tcPr>
            <w:tcW w:type="dxa" w:w="1350"/>
            <w:shd w:fill="E9E9E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宋体" w:hAnsi="Arial"/>
                <w:b/>
                <w:bCs/>
                <w:color w:val="1F4E79"/>
                <w:sz w:val="22"/>
                <w:szCs w:val="22"/>
              </w:rPr>
              <w:t xml:space="preserve">所属行业</w:t>
            </w:r>
          </w:p>
        </w:tc>
        <w:tc>
          <w:tcPr>
            <w:tcW w:type="dxa" w:w="315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宋体" w:hAnsi="Arial"/>
                <w:b w:val="false"/>
                <w:bCs w:val="false"/>
                <w:color w:val="000000"/>
                <w:sz w:val="22"/>
                <w:szCs w:val="22"/>
              </w:rPr>
              <w:t xml:space="preserve">企业服务与人工智能</w:t>
            </w:r>
          </w:p>
        </w:tc>
      </w:tr>
      <w:tr>
        <w:tc>
          <w:tcPr>
            <w:tcW w:type="dxa" w:w="1350"/>
            <w:shd w:fill="E9E9E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宋体" w:hAnsi="Arial"/>
                <w:b/>
                <w:bCs/>
                <w:color w:val="1F4E79"/>
                <w:sz w:val="22"/>
                <w:szCs w:val="22"/>
              </w:rPr>
              <w:t xml:space="preserve">项目阶段</w:t>
            </w:r>
          </w:p>
        </w:tc>
        <w:tc>
          <w:tcPr>
            <w:tcW w:type="dxa" w:w="315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宋体" w:hAnsi="Arial"/>
                <w:b w:val="false"/>
                <w:bCs w:val="false"/>
                <w:color w:val="000000"/>
                <w:sz w:val="22"/>
                <w:szCs w:val="22"/>
              </w:rPr>
              <w:t xml:space="preserve">尽调</w:t>
            </w:r>
          </w:p>
        </w:tc>
        <w:tc>
          <w:tcPr>
            <w:tcW w:type="dxa" w:w="1350"/>
            <w:shd w:fill="E9E9E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宋体" w:hAnsi="Arial"/>
                <w:b/>
                <w:bCs/>
                <w:color w:val="1F4E79"/>
                <w:sz w:val="22"/>
                <w:szCs w:val="22"/>
              </w:rPr>
              <w:t xml:space="preserve">资料截止日</w:t>
            </w:r>
          </w:p>
        </w:tc>
        <w:tc>
          <w:tcPr>
            <w:tcW w:type="dxa" w:w="315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宋体" w:hAnsi="Arial"/>
                <w:b w:val="false"/>
                <w:bCs w:val="false"/>
                <w:color w:val="000000"/>
                <w:sz w:val="22"/>
                <w:szCs w:val="22"/>
              </w:rPr>
              <w:t xml:space="preserve">2026-07-24</w:t>
            </w:r>
          </w:p>
        </w:tc>
      </w:tr>
      <w:tr>
        <w:tc>
          <w:tcPr>
            <w:tcW w:type="dxa" w:w="1350"/>
            <w:shd w:fill="E9E9E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宋体" w:hAnsi="Arial"/>
                <w:b/>
                <w:bCs/>
                <w:color w:val="1F4E79"/>
                <w:sz w:val="22"/>
                <w:szCs w:val="22"/>
              </w:rPr>
              <w:t xml:space="preserve">文件性质</w:t>
            </w:r>
          </w:p>
        </w:tc>
        <w:tc>
          <w:tcPr>
            <w:tcW w:type="dxa" w:w="315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宋体" w:hAnsi="Arial"/>
                <w:b w:val="false"/>
                <w:bCs w:val="false"/>
                <w:color w:val="000000"/>
                <w:sz w:val="22"/>
                <w:szCs w:val="22"/>
              </w:rPr>
              <w:t xml:space="preserve">AI 辅助生成的内部初稿</w:t>
            </w:r>
          </w:p>
        </w:tc>
        <w:tc>
          <w:tcPr>
            <w:tcW w:type="dxa" w:w="1350"/>
            <w:shd w:fill="E9E9E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宋体" w:hAnsi="Arial"/>
                <w:b/>
                <w:bCs/>
                <w:color w:val="1F4E79"/>
                <w:sz w:val="22"/>
                <w:szCs w:val="22"/>
              </w:rPr>
              <w:t xml:space="preserve">生成时间</w:t>
            </w:r>
          </w:p>
        </w:tc>
        <w:tc>
          <w:tcPr>
            <w:tcW w:type="dxa" w:w="3150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 w:line="330"/>
            </w:pPr>
            <w:r>
              <w:rPr>
                <w:rFonts w:ascii="Arial" w:cs="Times New Roman" w:eastAsia="宋体" w:hAnsi="Arial"/>
                <w:b w:val="false"/>
                <w:bCs w:val="false"/>
                <w:color w:val="000000"/>
                <w:sz w:val="22"/>
                <w:szCs w:val="22"/>
              </w:rPr>
              <w:t xml:space="preserve">2026/7/24 14:34:05</w:t>
            </w:r>
          </w:p>
        </w:tc>
      </w:tr>
    </w:tbl>
    <w:p>
      <w:pPr>
        <w:pBdr>
          <w:top w:val="single" w:color="888888" w:sz="6"/>
        </w:pBdr>
        <w:spacing w:after="220" w:before="260" w:line="330"/>
      </w:pPr>
      <w:r>
        <w:rPr>
          <w:rFonts w:ascii="Arial" w:cs="Times New Roman" w:eastAsia="宋体" w:hAnsi="Arial"/>
          <w:i/>
          <w:iCs/>
          <w:color w:val="555555"/>
          <w:sz w:val="20"/>
          <w:szCs w:val="20"/>
        </w:rPr>
        <w:t xml:space="preserve">本文件由 AI 基于已授权资料生成，仅供内部合规初审，不构成正式法律意见；须经法务或风控人员审核后方可作为正式材料。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摘要</w:t>
      </w:r>
    </w:p>
    <w:p>
      <w:pPr>
        <w:spacing w:after="160" w:before="0" w:line="330"/>
        <w:ind w:firstLine="480"/>
      </w:pPr>
      <w:r>
        <w:rPr>
          <w:rFonts w:ascii="Arial" w:cs="Times New Roman" w:eastAsia="宋体" w:hAnsi="Arial"/>
          <w:color w:val="000000"/>
          <w:sz w:val="24"/>
          <w:szCs w:val="24"/>
        </w:rPr>
        <w:t xml:space="preserve">本初稿采用公司标准模板，依据截至 2026-07-24 的脱敏证据形成。资料记载、AI 推断、待核验事项及资料缺口已分开标识，所有结论仍须业务审核。</w:t>
      </w:r>
    </w:p>
    <w:p>
      <w:pPr>
        <w:keepNext/>
        <w:spacing w:after="120" w:before="220" w:line="360"/>
      </w:pPr>
      <w:r>
        <w:rPr>
          <w:rFonts w:ascii="Arial" w:cs="Times New Roman" w:eastAsia="宋体" w:hAnsi="Arial"/>
          <w:b w:val="false"/>
          <w:bCs w:val="false"/>
          <w:color w:val="000000"/>
          <w:sz w:val="26"/>
          <w:szCs w:val="26"/>
        </w:rPr>
        <w:t xml:space="preserve">已核验事实</w:t>
      </w:r>
    </w:p>
    <w:p>
      <w:pPr>
        <w:keepNext/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226B47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本节已根据脱敏项目档案与样本证据整理；第 1 项事实须回到原始资料复核。</w:t>
      </w:r>
    </w:p>
    <w:p>
      <w:pPr>
        <w:keepNext/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226B47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本节已根据脱敏项目档案与样本证据整理；第 2 项事实须回到原始资料复核。</w:t>
      </w:r>
    </w:p>
    <w:p>
      <w:pPr>
        <w:keepNext/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226B47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本节已根据脱敏项目档案与样本证据整理；第 3 项事实须回到原始资料复核。</w:t>
      </w:r>
    </w:p>
    <w:p>
      <w:pPr>
        <w:keepNext/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226B47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本节已根据脱敏项目档案与样本证据整理；第 4 项事实须回到原始资料复核。</w:t>
      </w:r>
    </w:p>
    <w:p>
      <w:pPr>
        <w:keepNext w:val="false"/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226B47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本节已根据脱敏项目档案与样本证据整理；第 5 项事实须回到原始资料复核。</w:t>
      </w:r>
    </w:p>
    <w:p>
      <w:pPr>
        <w:keepNext/>
        <w:spacing w:after="120" w:before="220" w:line="360"/>
      </w:pPr>
      <w:r>
        <w:rPr>
          <w:rFonts w:ascii="Arial" w:cs="Times New Roman" w:eastAsia="宋体" w:hAnsi="Arial"/>
          <w:b w:val="false"/>
          <w:bCs w:val="false"/>
          <w:color w:val="000000"/>
          <w:sz w:val="26"/>
          <w:szCs w:val="26"/>
        </w:rPr>
        <w:t xml:space="preserve">风险提示</w:t>
      </w:r>
    </w:p>
    <w:p>
      <w:pPr>
        <w:keepNext/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9B3A3A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关键财务及客户数据尚未经独立核验</w:t>
      </w:r>
    </w:p>
    <w:p>
      <w:pPr>
        <w:keepNext/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9B3A3A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法律合规结论必须由法务审核</w:t>
      </w:r>
    </w:p>
    <w:p>
      <w:pPr>
        <w:keepNext w:val="false"/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9B3A3A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模型生成内容不得替代最终投资决策</w:t>
      </w:r>
    </w:p>
    <w:p>
      <w:pPr>
        <w:keepNext/>
        <w:spacing w:after="120" w:before="220" w:line="360"/>
      </w:pPr>
      <w:r>
        <w:rPr>
          <w:rFonts w:ascii="Arial" w:cs="Times New Roman" w:eastAsia="宋体" w:hAnsi="Arial"/>
          <w:b w:val="false"/>
          <w:bCs w:val="false"/>
          <w:color w:val="000000"/>
          <w:sz w:val="26"/>
          <w:szCs w:val="26"/>
        </w:rPr>
        <w:t xml:space="preserve">待核验事项</w:t>
      </w:r>
    </w:p>
    <w:p>
      <w:pPr>
        <w:keepNext/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9A6200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</w:p>
    <w:p>
      <w:pPr>
        <w:keepNext/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9A6200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9A6200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</w:p>
    <w:p>
      <w:pPr>
        <w:keepNext/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9A6200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</w:p>
    <w:p>
      <w:pPr>
        <w:keepNext w:val="false"/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9A6200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spacing w:after="120" w:before="220" w:line="360"/>
      </w:pPr>
      <w:r>
        <w:rPr>
          <w:rFonts w:ascii="Arial" w:cs="Times New Roman" w:eastAsia="宋体" w:hAnsi="Arial"/>
          <w:b w:val="false"/>
          <w:bCs w:val="false"/>
          <w:color w:val="000000"/>
          <w:sz w:val="26"/>
          <w:szCs w:val="26"/>
        </w:rPr>
        <w:t xml:space="preserve">资料缺口</w:t>
      </w:r>
    </w:p>
    <w:p>
      <w:pPr>
        <w:keepNext/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A13B3B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审计口径财务底稿</w:t>
      </w:r>
    </w:p>
    <w:p>
      <w:pPr>
        <w:keepNext/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A13B3B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核心客户合同及访谈记录</w:t>
      </w:r>
    </w:p>
    <w:p>
      <w:pPr>
        <w:keepNext w:val="false"/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A13B3B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工商、知识产权及合规原件</w:t>
      </w:r>
    </w:p>
    <w:p>
      <w:pPr>
        <w:keepNext/>
        <w:spacing w:after="120" w:before="220" w:line="360"/>
      </w:pPr>
      <w:r>
        <w:rPr>
          <w:rFonts w:ascii="Arial" w:cs="Times New Roman" w:eastAsia="宋体" w:hAnsi="Arial"/>
          <w:b w:val="false"/>
          <w:bCs w:val="false"/>
          <w:color w:val="000000"/>
          <w:sz w:val="26"/>
          <w:szCs w:val="26"/>
        </w:rPr>
        <w:t xml:space="preserve">免责声明</w:t>
      </w:r>
    </w:p>
    <w:p>
      <w:pPr>
        <w:keepNext w:val="false"/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8A5B00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本文件由 AI 基于已授权资料生成，仅供内部合规初审，不构成正式法律意见；须经法务或风控人员审核后方可作为正式材料。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1. 公司情况介绍</w:t>
      </w:r>
    </w:p>
    <w:p>
      <w:pPr>
        <w:keepNext/>
        <w:spacing w:after="160" w:before="0" w:line="330"/>
      </w:pPr>
      <w:r>
        <w:rPr>
          <w:rFonts w:ascii="Arial" w:cs="Times New Roman" w:eastAsia="宋体" w:hAnsi="Arial"/>
          <w:b/>
          <w:bCs/>
          <w:color w:val="1F4E79"/>
          <w:sz w:val="24"/>
          <w:szCs w:val="24"/>
        </w:rPr>
        <w:t xml:space="preserve">公司情况介绍按照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宋体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本节已根据脱敏项目档案与样本证据整理；第 1 项事实须回到原始资料复核。</w:t>
      </w:r>
      <w:r>
        <w:rPr>
          <w:rFonts w:ascii="Arial" w:cs="Times New Roman" w:eastAsia="宋体" w:hAnsi="Arial"/>
          <w:i/>
          <w:iCs/>
          <w:color w:val="666666"/>
          <w:sz w:val="18"/>
          <w:szCs w:val="18"/>
        </w:rPr>
        <w:t xml:space="preserve">
来源：项目档案（脱敏验收数据）</w:t>
      </w:r>
    </w:p>
    <w:p>
      <w:pPr>
        <w:keepNext/>
        <w:spacing w:after="150" w:line="360"/>
        <w:ind w:firstLine="480"/>
      </w:pPr>
      <w:r>
        <w:rPr>
          <w:rFonts w:ascii="Arial" w:cs="Times New Roman" w:eastAsia="宋体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宋体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宋体" w:hAnsi="Arial"/>
          <w:b/>
          <w:bCs/>
          <w:color w:val="A06300"/>
          <w:sz w:val="22"/>
          <w:szCs w:val="22"/>
        </w:rPr>
        <w:t xml:space="preserve">【待核验】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2. 公司简介</w:t>
      </w:r>
    </w:p>
    <w:p>
      <w:pPr>
        <w:keepNext/>
        <w:spacing w:after="160" w:before="0" w:line="330"/>
      </w:pPr>
      <w:r>
        <w:rPr>
          <w:rFonts w:ascii="Arial" w:cs="Times New Roman" w:eastAsia="宋体" w:hAnsi="Arial"/>
          <w:b/>
          <w:bCs/>
          <w:color w:val="1F4E79"/>
          <w:sz w:val="24"/>
          <w:szCs w:val="24"/>
        </w:rPr>
        <w:t xml:space="preserve">公司简介按照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宋体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本节已根据脱敏项目档案与样本证据整理；第 2 项事实须回到原始资料复核。</w:t>
      </w:r>
      <w:r>
        <w:rPr>
          <w:rFonts w:ascii="Arial" w:cs="Times New Roman" w:eastAsia="宋体" w:hAnsi="Arial"/>
          <w:i/>
          <w:iCs/>
          <w:color w:val="666666"/>
          <w:sz w:val="18"/>
          <w:szCs w:val="18"/>
        </w:rPr>
        <w:t xml:space="preserve">
来源：示例项目商业计划书（脱敏）</w:t>
      </w:r>
    </w:p>
    <w:p>
      <w:pPr>
        <w:keepNext/>
        <w:spacing w:after="150" w:line="360"/>
        <w:ind w:firstLine="480"/>
      </w:pPr>
      <w:r>
        <w:rPr>
          <w:rFonts w:ascii="Arial" w:cs="Times New Roman" w:eastAsia="宋体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宋体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宋体" w:hAnsi="Arial"/>
          <w:b/>
          <w:bCs/>
          <w:color w:val="A13B3B"/>
          <w:sz w:val="22"/>
          <w:szCs w:val="22"/>
        </w:rPr>
        <w:t xml:space="preserve">【资料缺口】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3. 核心团队</w:t>
      </w:r>
    </w:p>
    <w:p>
      <w:pPr>
        <w:keepNext/>
        <w:spacing w:after="160" w:before="0" w:line="330"/>
      </w:pPr>
      <w:r>
        <w:rPr>
          <w:rFonts w:ascii="Arial" w:cs="Times New Roman" w:eastAsia="宋体" w:hAnsi="Arial"/>
          <w:b/>
          <w:bCs/>
          <w:color w:val="1F4E79"/>
          <w:sz w:val="24"/>
          <w:szCs w:val="24"/>
        </w:rPr>
        <w:t xml:space="preserve">核心团队按照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宋体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本节已根据脱敏项目档案与样本证据整理；第 3 项事实须回到原始资料复核。</w:t>
      </w:r>
      <w:r>
        <w:rPr>
          <w:rFonts w:ascii="Arial" w:cs="Times New Roman" w:eastAsia="宋体" w:hAnsi="Arial"/>
          <w:i/>
          <w:iCs/>
          <w:color w:val="666666"/>
          <w:sz w:val="18"/>
          <w:szCs w:val="18"/>
        </w:rPr>
        <w:t xml:space="preserve">
来源：管理层访谈纪要（脱敏）</w:t>
      </w:r>
    </w:p>
    <w:p>
      <w:pPr>
        <w:keepNext/>
        <w:spacing w:after="150" w:line="360"/>
        <w:ind w:firstLine="480"/>
      </w:pPr>
      <w:r>
        <w:rPr>
          <w:rFonts w:ascii="Arial" w:cs="Times New Roman" w:eastAsia="宋体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宋体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宋体" w:hAnsi="Arial"/>
          <w:b/>
          <w:bCs/>
          <w:color w:val="A06300"/>
          <w:sz w:val="22"/>
          <w:szCs w:val="22"/>
        </w:rPr>
        <w:t xml:space="preserve">【待核验】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4. 产品及技术</w:t>
      </w:r>
    </w:p>
    <w:p>
      <w:pPr>
        <w:keepNext/>
        <w:spacing w:after="160" w:before="0" w:line="330"/>
      </w:pPr>
      <w:r>
        <w:rPr>
          <w:rFonts w:ascii="Arial" w:cs="Times New Roman" w:eastAsia="宋体" w:hAnsi="Arial"/>
          <w:b/>
          <w:bCs/>
          <w:color w:val="1F4E79"/>
          <w:sz w:val="24"/>
          <w:szCs w:val="24"/>
        </w:rPr>
        <w:t xml:space="preserve">产品及技术按照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宋体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本节已根据脱敏项目档案与样本证据整理；第 4 项事实须回到原始资料复核。</w:t>
      </w:r>
      <w:r>
        <w:rPr>
          <w:rFonts w:ascii="Arial" w:cs="Times New Roman" w:eastAsia="宋体" w:hAnsi="Arial"/>
          <w:i/>
          <w:iCs/>
          <w:color w:val="666666"/>
          <w:sz w:val="18"/>
          <w:szCs w:val="18"/>
        </w:rPr>
        <w:t xml:space="preserve">
来源：项目档案（脱敏验收数据）</w:t>
      </w:r>
    </w:p>
    <w:p>
      <w:pPr>
        <w:keepNext/>
        <w:spacing w:after="150" w:line="360"/>
        <w:ind w:firstLine="480"/>
      </w:pPr>
      <w:r>
        <w:rPr>
          <w:rFonts w:ascii="Arial" w:cs="Times New Roman" w:eastAsia="宋体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宋体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宋体" w:hAnsi="Arial"/>
          <w:b/>
          <w:bCs/>
          <w:color w:val="A13B3B"/>
          <w:sz w:val="22"/>
          <w:szCs w:val="22"/>
        </w:rPr>
        <w:t xml:space="preserve">【资料缺口】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5. 投资理由</w:t>
      </w:r>
    </w:p>
    <w:p>
      <w:pPr>
        <w:keepNext/>
        <w:spacing w:after="160" w:before="0" w:line="330"/>
      </w:pPr>
      <w:r>
        <w:rPr>
          <w:rFonts w:ascii="Arial" w:cs="Times New Roman" w:eastAsia="宋体" w:hAnsi="Arial"/>
          <w:b/>
          <w:bCs/>
          <w:color w:val="1F4E79"/>
          <w:sz w:val="24"/>
          <w:szCs w:val="24"/>
        </w:rPr>
        <w:t xml:space="preserve">投资理由按照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宋体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本节已根据脱敏项目档案与样本证据整理；第 5 项事实须回到原始资料复核。</w:t>
      </w:r>
      <w:r>
        <w:rPr>
          <w:rFonts w:ascii="Arial" w:cs="Times New Roman" w:eastAsia="宋体" w:hAnsi="Arial"/>
          <w:i/>
          <w:iCs/>
          <w:color w:val="666666"/>
          <w:sz w:val="18"/>
          <w:szCs w:val="18"/>
        </w:rPr>
        <w:t xml:space="preserve">
来源：示例项目商业计划书（脱敏）</w:t>
      </w:r>
    </w:p>
    <w:p>
      <w:pPr>
        <w:keepNext/>
        <w:spacing w:after="150" w:line="360"/>
        <w:ind w:firstLine="480"/>
      </w:pPr>
      <w:r>
        <w:rPr>
          <w:rFonts w:ascii="Arial" w:cs="Times New Roman" w:eastAsia="宋体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宋体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宋体" w:hAnsi="Arial"/>
          <w:b/>
          <w:bCs/>
          <w:color w:val="A06300"/>
          <w:sz w:val="22"/>
          <w:szCs w:val="22"/>
        </w:rPr>
        <w:t xml:space="preserve">【待核验】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6. 投资计划</w:t>
      </w:r>
    </w:p>
    <w:p>
      <w:pPr>
        <w:keepNext/>
        <w:spacing w:after="160" w:before="0" w:line="330"/>
      </w:pPr>
      <w:r>
        <w:rPr>
          <w:rFonts w:ascii="Arial" w:cs="Times New Roman" w:eastAsia="宋体" w:hAnsi="Arial"/>
          <w:b/>
          <w:bCs/>
          <w:color w:val="1F4E79"/>
          <w:sz w:val="24"/>
          <w:szCs w:val="24"/>
        </w:rPr>
        <w:t xml:space="preserve">投资计划按照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宋体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本节已根据脱敏项目档案与样本证据整理；第 6 项事实须回到原始资料复核。</w:t>
      </w:r>
      <w:r>
        <w:rPr>
          <w:rFonts w:ascii="Arial" w:cs="Times New Roman" w:eastAsia="宋体" w:hAnsi="Arial"/>
          <w:i/>
          <w:iCs/>
          <w:color w:val="666666"/>
          <w:sz w:val="18"/>
          <w:szCs w:val="18"/>
        </w:rPr>
        <w:t xml:space="preserve">
来源：管理层访谈纪要（脱敏）</w:t>
      </w:r>
    </w:p>
    <w:p>
      <w:pPr>
        <w:keepNext/>
        <w:spacing w:after="150" w:line="360"/>
        <w:ind w:firstLine="480"/>
      </w:pPr>
      <w:r>
        <w:rPr>
          <w:rFonts w:ascii="Arial" w:cs="Times New Roman" w:eastAsia="宋体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宋体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宋体" w:hAnsi="Arial"/>
          <w:b/>
          <w:bCs/>
          <w:color w:val="A13B3B"/>
          <w:sz w:val="22"/>
          <w:szCs w:val="22"/>
        </w:rPr>
        <w:t xml:space="preserve">【资料缺口】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7. 投资情形分析</w:t>
      </w:r>
    </w:p>
    <w:p>
      <w:pPr>
        <w:keepNext/>
        <w:spacing w:after="160" w:before="0" w:line="330"/>
      </w:pPr>
      <w:r>
        <w:rPr>
          <w:rFonts w:ascii="Arial" w:cs="Times New Roman" w:eastAsia="宋体" w:hAnsi="Arial"/>
          <w:b/>
          <w:bCs/>
          <w:color w:val="1F4E79"/>
          <w:sz w:val="24"/>
          <w:szCs w:val="24"/>
        </w:rPr>
        <w:t xml:space="preserve">投资情形分析按照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宋体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本节已根据脱敏项目档案与样本证据整理；第 7 项事实须回到原始资料复核。</w:t>
      </w:r>
      <w:r>
        <w:rPr>
          <w:rFonts w:ascii="Arial" w:cs="Times New Roman" w:eastAsia="宋体" w:hAnsi="Arial"/>
          <w:i/>
          <w:iCs/>
          <w:color w:val="666666"/>
          <w:sz w:val="18"/>
          <w:szCs w:val="18"/>
        </w:rPr>
        <w:t xml:space="preserve">
来源：项目档案（脱敏验收数据）</w:t>
      </w:r>
    </w:p>
    <w:p>
      <w:pPr>
        <w:keepNext/>
        <w:spacing w:after="150" w:line="360"/>
        <w:ind w:firstLine="480"/>
      </w:pPr>
      <w:r>
        <w:rPr>
          <w:rFonts w:ascii="Arial" w:cs="Times New Roman" w:eastAsia="宋体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宋体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宋体" w:hAnsi="Arial"/>
          <w:b/>
          <w:bCs/>
          <w:color w:val="A06300"/>
          <w:sz w:val="22"/>
          <w:szCs w:val="22"/>
        </w:rPr>
        <w:t xml:space="preserve">【待核验】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8. 结论</w:t>
      </w:r>
    </w:p>
    <w:p>
      <w:pPr>
        <w:keepNext/>
        <w:spacing w:after="160" w:before="0" w:line="330"/>
      </w:pPr>
      <w:r>
        <w:rPr>
          <w:rFonts w:ascii="Arial" w:cs="Times New Roman" w:eastAsia="宋体" w:hAnsi="Arial"/>
          <w:b/>
          <w:bCs/>
          <w:color w:val="1F4E79"/>
          <w:sz w:val="24"/>
          <w:szCs w:val="24"/>
        </w:rPr>
        <w:t xml:space="preserve">结论按照 docs 中可编辑主样本提炼的章节结构生成。</w:t>
      </w:r>
    </w:p>
    <w:p>
      <w:pPr>
        <w:keepNext/>
        <w:spacing w:after="150" w:line="360"/>
        <w:ind w:firstLine="480"/>
      </w:pPr>
      <w:r>
        <w:rPr>
          <w:rFonts w:ascii="Arial" w:cs="Times New Roman" w:eastAsia="宋体" w:hAnsi="Arial"/>
          <w:b/>
          <w:bCs/>
          <w:color w:val="226B47"/>
          <w:sz w:val="22"/>
          <w:szCs w:val="22"/>
        </w:rPr>
        <w:t xml:space="preserve">【资料记载】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本节已根据脱敏项目档案与样本证据整理；第 8 项事实须回到原始资料复核。</w:t>
      </w:r>
      <w:r>
        <w:rPr>
          <w:rFonts w:ascii="Arial" w:cs="Times New Roman" w:eastAsia="宋体" w:hAnsi="Arial"/>
          <w:i/>
          <w:iCs/>
          <w:color w:val="666666"/>
          <w:sz w:val="18"/>
          <w:szCs w:val="18"/>
        </w:rPr>
        <w:t xml:space="preserve">
来源：示例项目商业计划书（脱敏）</w:t>
      </w:r>
    </w:p>
    <w:p>
      <w:pPr>
        <w:keepNext/>
        <w:spacing w:after="150" w:line="360"/>
        <w:ind w:firstLine="480"/>
      </w:pPr>
      <w:r>
        <w:rPr>
          <w:rFonts w:ascii="Arial" w:cs="Times New Roman" w:eastAsia="宋体" w:hAnsi="Arial"/>
          <w:b/>
          <w:bCs/>
          <w:color w:val="1B5EA7"/>
          <w:sz w:val="22"/>
          <w:szCs w:val="22"/>
        </w:rPr>
        <w:t xml:space="preserve">【AI推断】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基于现有证据形成的分析判断不等同于经审计事实，投资团队应完成交叉验证。</w:t>
      </w:r>
      <w:r>
        <w:rPr>
          <w:rFonts w:ascii="Arial" w:cs="Times New Roman" w:eastAsia="宋体" w:hAnsi="Arial"/>
          <w:i/>
          <w:iCs/>
          <w:color w:val="666666"/>
          <w:sz w:val="18"/>
          <w:szCs w:val="18"/>
        </w:rPr>
        <w:t xml:space="preserve">
来源：项目档案（脱敏验收数据）、示例项目商业计划书（脱敏）</w:t>
      </w:r>
    </w:p>
    <w:p>
      <w:pPr>
        <w:keepNext w:val="false"/>
        <w:spacing w:after="150" w:line="360"/>
        <w:ind w:firstLine="480"/>
      </w:pPr>
      <w:r>
        <w:rPr>
          <w:rFonts w:ascii="Arial" w:cs="Times New Roman" w:eastAsia="宋体" w:hAnsi="Arial"/>
          <w:b/>
          <w:bCs/>
          <w:color w:val="A13B3B"/>
          <w:sz w:val="22"/>
          <w:szCs w:val="22"/>
        </w:rPr>
        <w:t xml:space="preserve">【资料缺口】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合同、财务、客户及法律资质原件尚未在本次脱敏验收数据中提供。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投资亮点</w:t>
      </w:r>
    </w:p>
    <w:p>
      <w:pPr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226B47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产品定位较清晰，但商业证据仍需补强</w:t>
      </w:r>
    </w:p>
    <w:p>
      <w:pPr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226B47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业务模式具备可讨论基础，尚不能作为已核验结论</w:t>
      </w:r>
    </w:p>
    <w:p>
      <w:pPr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226B47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任务产物保留模板版本和来源定位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主要风险</w:t>
      </w:r>
    </w:p>
    <w:p>
      <w:pPr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9B3A3A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关键财务及客户数据尚未经独立核验</w:t>
      </w:r>
    </w:p>
    <w:p>
      <w:pPr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9B3A3A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法律合规结论必须由法务审核</w:t>
      </w:r>
    </w:p>
    <w:p>
      <w:pPr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9B3A3A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模型生成内容不得替代最终投资决策</w:t>
      </w:r>
    </w:p>
    <w:p>
      <w:pPr>
        <w:keepNext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资料缺口与后续核验</w:t>
      </w:r>
    </w:p>
    <w:p>
      <w:pPr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9A6200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审计口径财务底稿</w:t>
      </w:r>
    </w:p>
    <w:p>
      <w:pPr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9A6200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核心客户合同及访谈记录</w:t>
      </w:r>
    </w:p>
    <w:p>
      <w:pPr>
        <w:spacing w:after="120" w:line="360"/>
        <w:ind w:left="420" w:hanging="300"/>
      </w:pPr>
      <w:r>
        <w:rPr>
          <w:rFonts w:ascii="Arial" w:cs="Times New Roman" w:eastAsia="宋体" w:hAnsi="Arial"/>
          <w:b/>
          <w:bCs/>
          <w:color w:val="9A6200"/>
          <w:sz w:val="24"/>
          <w:szCs w:val="24"/>
        </w:rPr>
        <w:t xml:space="preserve">• </w:t>
      </w:r>
      <w:r>
        <w:rPr>
          <w:rFonts w:ascii="Arial" w:cs="Times New Roman" w:eastAsia="宋体" w:hAnsi="Arial"/>
          <w:color w:val="000000"/>
          <w:sz w:val="24"/>
          <w:szCs w:val="24"/>
        </w:rPr>
        <w:t xml:space="preserve">工商、知识产权及合规原件</w:t>
      </w:r>
    </w:p>
    <w:p>
      <w:pPr>
        <w:keepNext/>
        <w:pageBreakBefore/>
        <w:spacing w:after="180" w:before="300" w:line="360"/>
      </w:pPr>
      <w:r>
        <w:rPr>
          <w:rFonts w:ascii="Arial" w:cs="Times New Roman" w:eastAsia="黑体" w:hAnsi="Arial"/>
          <w:b/>
          <w:bCs/>
          <w:color w:val="000000"/>
          <w:sz w:val="30"/>
          <w:szCs w:val="30"/>
        </w:rPr>
        <w:t xml:space="preserve">引用资料</w:t>
      </w:r>
    </w:p>
    <w:p>
      <w:pPr>
        <w:spacing w:after="90" w:before="0" w:line="330"/>
      </w:pPr>
      <w:r>
        <w:rPr>
          <w:rFonts w:ascii="Arial" w:cs="Times New Roman" w:eastAsia="宋体" w:hAnsi="Arial"/>
          <w:color w:val="555555"/>
          <w:sz w:val="19"/>
          <w:szCs w:val="19"/>
        </w:rPr>
        <w:t xml:space="preserve">[S1] 项目档案（脱敏验收数据），project_record，片段 0</w:t>
      </w:r>
    </w:p>
    <w:p>
      <w:pPr>
        <w:spacing w:after="90" w:before="0" w:line="330"/>
      </w:pPr>
      <w:r>
        <w:rPr>
          <w:rFonts w:ascii="Arial" w:cs="Times New Roman" w:eastAsia="宋体" w:hAnsi="Arial"/>
          <w:color w:val="555555"/>
          <w:sz w:val="19"/>
          <w:szCs w:val="19"/>
        </w:rPr>
        <w:t xml:space="preserve">[S2] 示例项目商业计划书（脱敏），file，片段 3</w:t>
      </w:r>
    </w:p>
    <w:p>
      <w:pPr>
        <w:spacing w:after="90" w:before="0" w:line="330"/>
      </w:pPr>
      <w:r>
        <w:rPr>
          <w:rFonts w:ascii="Arial" w:cs="Times New Roman" w:eastAsia="宋体" w:hAnsi="Arial"/>
          <w:color w:val="555555"/>
          <w:sz w:val="19"/>
          <w:szCs w:val="19"/>
        </w:rPr>
        <w:t xml:space="preserve">[S3] 管理层访谈纪要（脱敏），meeting，片段 1</w:t>
      </w:r>
    </w:p>
    <w:sectPr>
      <w:footerReference w:type="default" r:id="rId7"/>
      <w:pgSz w:w="11906" w:h="16838" w:orient="portrait"/>
      <w:pgMar w:top="1440" w:right="1800" w:bottom="1498" w:left="1800" w:header="720" w:footer="72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75F98566-EC27-B045-9EE8-446A46DCB74B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Heiti SC Medium">
    <w:panose1 w:val="02000000000000000000"/>
    <w:charset w:val="80"/>
    <w:family w:val="auto"/>
    <w:pitch w:val="default"/>
    <w:sig w:usb0="8000002F" w:usb1="0800004A" w:usb2="00000000" w:usb3="00000000" w:csb0="203E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Times New Roman" w:eastAsia="宋体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Times New Roman" w:eastAsia="宋体" w:hAnsi="Arial"/>
        <w:color w:val="000000"/>
        <w:sz w:val="24"/>
        <w:szCs w:val="24"/>
      </w:rPr>
    </w:rPrDefault>
    <w:pPrDefault>
      <w:pPr>
        <w:spacing w:after="16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300"/>
    </w:pPr>
    <w:rPr>
      <w:rFonts w:ascii="Arial" w:cs="Times New Roman" w:eastAsia="黑体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</w:pPr>
    <w:rPr>
      <w:rFonts w:ascii="Arial" w:cs="Times New Roman" w:eastAsia="宋体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业务验收示例项目合规性说明</dc:title>
  <dc:creator>浙江赛智伯乐股权投资管理有限公司投资中台</dc:creator>
  <dc:description>合规性说明 AI 初稿；使用 docs 公司参考模板的版式规范</dc:description>
  <cp:lastModifiedBy>Un-named</cp:lastModifiedBy>
  <cp:revision>1</cp:revision>
  <dcterms:created xsi:type="dcterms:W3CDTF">2026-07-24T06:34:05.592Z</dcterms:created>
  <dcterms:modified xsi:type="dcterms:W3CDTF">2026-07-24T06:34:05.592Z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