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800"/>
        <w:jc w:val="center"/>
      </w:pPr>
      <w:r>
        <w:rPr>
          <w:rFonts w:ascii="Arial" w:cs="Times New Roman" w:eastAsia="黑体" w:hAnsi="Arial"/>
          <w:b/>
          <w:bCs/>
          <w:color w:val="000000"/>
          <w:sz w:val="24"/>
          <w:szCs w:val="24"/>
        </w:rPr>
        <w:t xml:space="preserve">浙江赛智伯乐股权投资管理有限公司</w:t>
      </w:r>
    </w:p>
    <w:p>
      <w:pPr>
        <w:spacing w:after="420" w:before="1000" w:line="420"/>
        <w:jc w:val="center"/>
      </w:pPr>
      <w:r>
        <w:rPr>
          <w:rFonts w:ascii="Arial" w:cs="Times New Roman" w:eastAsia="黑体" w:hAnsi="Arial"/>
          <w:b/>
          <w:bCs/>
          <w:color w:val="000000"/>
          <w:sz w:val="44"/>
          <w:szCs w:val="44"/>
        </w:rPr>
        <w:t xml:space="preserve">业务验收示例项目尽调报告</w:t>
      </w:r>
    </w:p>
    <w:p>
      <w:pPr>
        <w:spacing w:after="500"/>
        <w:jc w:val="center"/>
      </w:pPr>
      <w:r>
        <w:rPr>
          <w:rFonts w:ascii="Arial" w:cs="Times New Roman" w:eastAsia="仿宋" w:hAnsi="Arial"/>
          <w:color w:val="555555"/>
          <w:sz w:val="24"/>
          <w:szCs w:val="24"/>
        </w:rPr>
        <w:t xml:space="preserve">（AI 辅助初稿）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1350"/>
        <w:gridCol w:w="3150"/>
      </w:tblGrid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公司主体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杭州示例科技有限公司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所属行业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企业服务与人工智能</w:t>
            </w:r>
          </w:p>
        </w:tc>
      </w:tr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项目阶段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尽调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资料截止日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2026-07-24</w:t>
            </w:r>
          </w:p>
        </w:tc>
      </w:tr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文件性质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AI 辅助生成的内部初稿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生成时间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2026/7/24 14:34:05</w:t>
            </w:r>
          </w:p>
        </w:tc>
      </w:tr>
    </w:tbl>
    <w:p>
      <w:pPr>
        <w:pBdr>
          <w:top w:val="single" w:color="888888" w:sz="6"/>
        </w:pBdr>
        <w:spacing w:after="220" w:before="260" w:line="330"/>
      </w:pPr>
      <w:r>
        <w:rPr>
          <w:rFonts w:ascii="Arial" w:cs="Times New Roman" w:eastAsia="仿宋" w:hAnsi="Arial"/>
          <w:i/>
          <w:iCs/>
          <w:color w:val="555555"/>
          <w:sz w:val="20"/>
          <w:szCs w:val="20"/>
        </w:rPr>
        <w:t xml:space="preserve">本报告为 AI 基于截至资料截止日已授权资料生成的尽调初稿，不表示尽调程序已经完成，不构成法律、财务或投资意见。</w:t>
      </w:r>
    </w:p>
    <w:p>
      <w:pPr>
        <w:spacing w:before="1200"/>
        <w:jc w:val="center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2026/7/24</w:t>
      </w:r>
    </w:p>
    <w:p>
      <w:pPr>
        <w:sectPr>
          <w:pgSz w:w="11906" w:h="16838" w:orient="portrait"/>
          <w:pgMar w:top="1440" w:right="1800" w:bottom="1498" w:left="1800" w:header="720" w:footer="720" w:gutter="0"/>
          <w:pgNumType w:start="1"/>
          <w:docGrid w:linePitch="360"/>
        </w:sectPr>
      </w:pP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目录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1. 投资概要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2. 公司概况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3. 股权结构及融资历程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4. 公司治理与管理团队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5. 行业概况与市场空间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6. 产业链与竞争格局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7. 产品与核心技术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8. 商业模式与经营情况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9. 财务分析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10. 客户与商业化进展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11. 法律合规与资质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12. 估值合理性分析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13. 投资方案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14. 投资亮点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15. 风险分析</w:t>
      </w:r>
    </w:p>
    <w:p>
      <w:pPr>
        <w:spacing w:after="14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16. 资料缺口与后续核验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800" w:bottom="1498" w:left="1800" w:header="720" w:footer="720" w:gutter="0"/>
          <w:pgNumType w:start="1"/>
          <w:docGrid w:linePitch="360"/>
        </w:sectPr>
      </w:pP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摘要</w:t>
      </w:r>
    </w:p>
    <w:p>
      <w:pPr>
        <w:spacing w:after="160" w:before="0" w:line="330"/>
        <w:ind w:firstLine="48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本初稿采用公司标准模板，依据截至 2026-07-24 的脱敏证据形成。资料记载、AI 推断、待核验事项及资料缺口已分开标识，所有结论仍须业务审核。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1. 投资概要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投资概要按照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2. 公司概况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公司概况按照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2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3. 股权结构及融资历程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股权结构及融资历程按照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3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4. 公司治理与管理团队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公司治理与管理团队按照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4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5. 行业概况与市场空间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行业概况与市场空间按照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5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6. 产业链与竞争格局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产业链与竞争格局按照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6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7. 产品与核心技术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产品与核心技术按照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7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8. 商业模式与经营情况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商业模式与经营情况按照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8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9. 财务分析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财务分析按照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9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10. 客户与商业化进展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客户与商业化进展按照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10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11. 法律合规与资质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法律合规与资质按照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11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12. 估值合理性分析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估值合理性分析按照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12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13. 投资方案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投资方案按照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13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14. 投资亮点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投资亮点按照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14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15. 风险分析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风险分析按照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15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16. 资料缺口与后续核验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资料缺口与后续核验按照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16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投资亮点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产品定位较清晰，但商业证据仍需补强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业务模式具备可讨论基础，尚不能作为已核验结论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任务产物保留模板版本和来源定位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主要风险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关键财务及客户数据尚未经独立核验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法律合规结论必须由法务审核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模型生成内容不得替代最终投资决策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资料缺口与后续核验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审计口径财务底稿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核心客户合同及访谈记录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工商、知识产权及合规原件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引用资料</w:t>
      </w:r>
    </w:p>
    <w:p>
      <w:pPr>
        <w:spacing w:after="90" w:before="0" w:line="330"/>
      </w:pPr>
      <w:r>
        <w:rPr>
          <w:rFonts w:ascii="Arial" w:cs="Times New Roman" w:eastAsia="仿宋" w:hAnsi="Arial"/>
          <w:color w:val="555555"/>
          <w:sz w:val="19"/>
          <w:szCs w:val="19"/>
        </w:rPr>
        <w:t xml:space="preserve">[S1] 项目档案（脱敏验收数据），project_record，片段 0</w:t>
      </w:r>
    </w:p>
    <w:p>
      <w:pPr>
        <w:spacing w:after="90" w:before="0" w:line="330"/>
      </w:pPr>
      <w:r>
        <w:rPr>
          <w:rFonts w:ascii="Arial" w:cs="Times New Roman" w:eastAsia="仿宋" w:hAnsi="Arial"/>
          <w:color w:val="555555"/>
          <w:sz w:val="19"/>
          <w:szCs w:val="19"/>
        </w:rPr>
        <w:t xml:space="preserve">[S2] 示例项目商业计划书（脱敏），file，片段 3</w:t>
      </w:r>
    </w:p>
    <w:p>
      <w:pPr>
        <w:spacing w:after="90" w:before="0" w:line="330"/>
      </w:pPr>
      <w:r>
        <w:rPr>
          <w:rFonts w:ascii="Arial" w:cs="Times New Roman" w:eastAsia="仿宋" w:hAnsi="Arial"/>
          <w:color w:val="555555"/>
          <w:sz w:val="19"/>
          <w:szCs w:val="19"/>
        </w:rPr>
        <w:t xml:space="preserve">[S3] 管理层访谈纪要（脱敏），meeting，片段 1</w:t>
      </w:r>
    </w:p>
    <w:sectPr>
      <w:headerReference w:type="default" r:id="rId9"/>
      <w:footerReference w:type="default" r:id="rId10"/>
      <w:pgSz w:w="11906" w:h="16838" w:orient="portrait"/>
      <w:pgMar w:top="1440" w:right="1800" w:bottom="1498" w:left="1800" w:header="720" w:footer="7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Times New Roman" w:eastAsia="仿宋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Times New Roman" w:eastAsia="仿宋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8"/>
      </w:pBdr>
      <w:spacing w:after="80"/>
      <w:jc w:val="center"/>
    </w:pPr>
    <w:r>
      <w:rPr>
        <w:rFonts w:ascii="Arial" w:cs="Times New Roman" w:eastAsia="仿宋" w:hAnsi="Arial"/>
        <w:color w:val="000000"/>
        <w:sz w:val="19"/>
        <w:szCs w:val="19"/>
      </w:rPr>
      <w:t xml:space="preserve">浙江赛智伯乐投资管理有限公司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8"/>
      </w:pBdr>
      <w:spacing w:after="80"/>
      <w:jc w:val="center"/>
    </w:pPr>
    <w:r>
      <w:rPr>
        <w:rFonts w:ascii="Arial" w:cs="Times New Roman" w:eastAsia="仿宋" w:hAnsi="Arial"/>
        <w:color w:val="000000"/>
        <w:sz w:val="19"/>
        <w:szCs w:val="19"/>
      </w:rPr>
      <w:t xml:space="preserve">浙江赛智伯乐投资管理有限公司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Times New Roman" w:eastAsia="仿宋" w:hAnsi="Arial"/>
        <w:color w:val="000000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00"/>
    </w:pPr>
    <w:rPr>
      <w:rFonts w:ascii="Arial" w:cs="Times New Roman" w:eastAsia="黑体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Arial" w:cs="Times New Roman" w:eastAsia="仿宋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业务验收示例项目尽调报告</dc:title>
  <dc:creator>浙江赛智伯乐股权投资管理有限公司投资中台</dc:creator>
  <dc:description>尽调报告 AI 初稿；使用 docs 公司参考模板的版式规范</dc:description>
  <cp:lastModifiedBy>Un-named</cp:lastModifiedBy>
  <cp:revision>1</cp:revision>
  <dcterms:created xsi:type="dcterms:W3CDTF">2026-07-24T06:34:05.889Z</dcterms:created>
  <dcterms:modified xsi:type="dcterms:W3CDTF">2026-07-24T06:34:05.889Z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