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2"/>
          <w:szCs w:val="52"/>
        </w:rPr>
        <w:t xml:space="preserve">Vibrating Equipment Risk Assessment</w:t>
      </w:r>
    </w:p>
    <w:p>
      <w:pPr>
        <w:pBdr>
          <w:bottom w:val="single" w:color="2E75B6" w:sz="8" w:space="6"/>
        </w:pBdr>
        <w:spacing w:after="200"/>
      </w:pPr>
      <w:r>
        <w:rPr>
          <w:rFonts w:ascii="Arial" w:cs="Arial" w:eastAsia="Arial" w:hAnsi="Arial"/>
          <w:color w:val="2E75B6"/>
          <w:sz w:val="24"/>
          <w:szCs w:val="24"/>
        </w:rPr>
        <w:t xml:space="preserve">Health &amp; Safety – Risk Assessments</w:t>
      </w:r>
    </w:p>
    <w:p>
      <w:pPr>
        <w:spacing w:after="200"/>
      </w:pPr>
      <w:r>
        <w:rPr>
          <w:rFonts w:ascii="Arial" w:cs="Arial" w:eastAsia="Arial" w:hAnsi="Arial"/>
          <w:i/>
          <w:iCs/>
          <w:color w:val="333333"/>
          <w:sz w:val="20"/>
          <w:szCs w:val="20"/>
        </w:rPr>
        <w:t xml:space="preserve">This assessment is carried out in accordance with the Control of Vibration at Work Regulations 2005 to identify and control the risks from hand-arm vibration (HAV) and whole-body vibration (WBV) arising from the use of vibrating equipment on site.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Task and Location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Task / Activity:</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work activities involving vibrating equipment</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work location(s)</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Works:</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planned duration</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Operatives Exposed: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w:t>
            </w:r>
          </w:p>
        </w:tc>
      </w:tr>
      <w:tr>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Trades Affected:</w:t>
            </w:r>
          </w:p>
        </w:tc>
        <w:tc>
          <w:tcPr>
            <w:tcW w:type="dxa" w:w="6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Groundworkers, concretors, carpenters, road workers</w:t>
            </w:r>
          </w:p>
        </w:tc>
      </w:tr>
    </w:tbl>
    <w:p>
      <w:pPr>
        <w:spacing w:after="100" w:before="200"/>
      </w:pPr>
    </w:p>
    <w:p>
      <w:pPr>
        <w:pStyle w:val="Heading1"/>
      </w:pPr>
      <w:r>
        <w:rPr>
          <w:rFonts w:ascii="Arial" w:cs="Arial" w:eastAsia="Arial" w:hAnsi="Arial"/>
          <w:b/>
          <w:bCs/>
          <w:color w:val="1B2A4A"/>
          <w:sz w:val="32"/>
          <w:szCs w:val="32"/>
        </w:rPr>
        <w:t xml:space="preserve">Legal Exposure Limits</w:t>
      </w:r>
    </w:p>
    <w:p>
      <w:pPr>
        <w:spacing w:after="100"/>
      </w:pPr>
      <w:r>
        <w:rPr>
          <w:rFonts w:ascii="Arial" w:cs="Arial" w:eastAsia="Arial" w:hAnsi="Arial"/>
          <w:color w:val="000000"/>
          <w:sz w:val="20"/>
          <w:szCs w:val="20"/>
        </w:rPr>
        <w:t xml:space="preserve">The Control of Vibration at Work Regulations 2005 set the following daily exposure values for hand-arm vibration: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53"/>
        <w:gridCol w:w="3153"/>
      </w:tblGrid>
      <w:tr>
        <w:tc>
          <w:tcPr>
            <w:tcW w:type="dxa" w:w="3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Limit</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Hand-Arm Vibration A(8)</w:t>
            </w:r>
          </w:p>
        </w:tc>
        <w:tc>
          <w:tcPr>
            <w:tcW w:type="dxa" w:w="31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Whole-Body Vibration A(8)</w:t>
            </w:r>
          </w:p>
        </w:tc>
      </w:tr>
      <w:tr>
        <w:tc>
          <w:tcPr>
            <w:tcW w:type="dxa" w:w="32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Exposure Action Value (EAV)</w:t>
            </w:r>
          </w:p>
        </w:tc>
        <w:tc>
          <w:tcPr>
            <w:tcW w:type="dxa" w:w="31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2.5 m/s²</w:t>
            </w:r>
          </w:p>
        </w:tc>
        <w:tc>
          <w:tcPr>
            <w:tcW w:type="dxa" w:w="3153"/>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0.5 m/s²</w:t>
            </w:r>
          </w:p>
        </w:tc>
      </w:tr>
      <w:tr>
        <w:tc>
          <w:tcPr>
            <w:tcW w:type="dxa" w:w="32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Exposure Limit Value (ELV)</w:t>
            </w:r>
          </w:p>
        </w:tc>
        <w:tc>
          <w:tcPr>
            <w:tcW w:type="dxa" w:w="31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5 m/s²</w:t>
            </w:r>
          </w:p>
        </w:tc>
        <w:tc>
          <w:tcPr>
            <w:tcW w:type="dxa" w:w="3153"/>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1.15 m/s²</w:t>
            </w:r>
          </w:p>
        </w:tc>
      </w:tr>
    </w:tbl>
    <w:p>
      <w:pPr>
        <w:spacing w:after="100" w:before="100"/>
      </w:pPr>
      <w:r>
        <w:rPr>
          <w:rFonts w:ascii="Arial" w:cs="Arial" w:eastAsia="Arial" w:hAnsi="Arial"/>
          <w:i/>
          <w:iCs/>
          <w:color w:val="333333"/>
          <w:sz w:val="20"/>
          <w:szCs w:val="20"/>
        </w:rPr>
        <w:t xml:space="preserve">Where the EAV is reached or exceeded, the employer must introduce a programme of controls. The ELV must never be exceeded.</w:t>
      </w:r>
    </w:p>
    <w:p>
      <w:pPr>
        <w:spacing w:after="100" w:before="200"/>
      </w:pPr>
    </w:p>
    <w:p>
      <w:pPr>
        <w:pStyle w:val="Heading1"/>
      </w:pPr>
      <w:r>
        <w:rPr>
          <w:rFonts w:ascii="Arial" w:cs="Arial" w:eastAsia="Arial" w:hAnsi="Arial"/>
          <w:b/>
          <w:bCs/>
          <w:color w:val="1B2A4A"/>
          <w:sz w:val="32"/>
          <w:szCs w:val="32"/>
        </w:rPr>
        <w:t xml:space="preserve">Vibrating Equipment Register and Exposure Calculation</w:t>
      </w:r>
    </w:p>
    <w:p>
      <w:pPr>
        <w:spacing w:after="100"/>
      </w:pPr>
      <w:r>
        <w:rPr>
          <w:rFonts w:ascii="Arial" w:cs="Arial" w:eastAsia="Arial" w:hAnsi="Arial"/>
          <w:i/>
          <w:iCs/>
          <w:color w:val="333333"/>
          <w:sz w:val="20"/>
          <w:szCs w:val="20"/>
        </w:rPr>
        <w:t xml:space="preserve">List all vibrating equipment in use. Obtain vibration magnitude from manufacturer’s data or HSE/industry databases. Calculate trigger times using the HSE exposure calculator (www.hse.gov.uk/vibration/hav/vibrationcalc.htm).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206"/>
        <w:gridCol w:w="1200"/>
        <w:gridCol w:w="1200"/>
        <w:gridCol w:w="1100"/>
        <w:gridCol w:w="1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Type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Make / Model</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Vibration Mag. (m/s²)</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EAV Trigger Time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ELV Trigger Time</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Max Daily Use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Individual Daily Exposure Record</w:t>
      </w:r>
    </w:p>
    <w:p>
      <w:pPr>
        <w:spacing w:after="100"/>
      </w:pPr>
      <w:r>
        <w:rPr>
          <w:rFonts w:ascii="Arial" w:cs="Arial" w:eastAsia="Arial" w:hAnsi="Arial"/>
          <w:i/>
          <w:iCs/>
          <w:color w:val="333333"/>
          <w:sz w:val="20"/>
          <w:szCs w:val="20"/>
        </w:rPr>
        <w:t xml:space="preserve">Record each operative’s daily exposure. Where an operative uses multiple items of vibrating equipment, the combined exposure must be calculated. Use the HSE exposure points system or calculator.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700"/>
        <w:gridCol w:w="1306"/>
        <w:gridCol w:w="1200"/>
        <w:gridCol w:w="12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Operative Name</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Used</w:t>
            </w:r>
          </w:p>
        </w:tc>
        <w:tc>
          <w:tcPr>
            <w:tcW w:type="dxa" w:w="13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Actual Use Time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Exposure Points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A(8) m/s²</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Above EAV / ELV?</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Control Measures Checklist</w:t>
      </w:r>
    </w:p>
    <w:p>
      <w:pPr>
        <w:spacing w:after="100"/>
      </w:pPr>
      <w:r>
        <w:rPr>
          <w:rFonts w:ascii="Arial" w:cs="Arial" w:eastAsia="Arial" w:hAnsi="Arial"/>
          <w:i/>
          <w:iCs/>
          <w:color w:val="333333"/>
          <w:sz w:val="20"/>
          <w:szCs w:val="20"/>
        </w:rPr>
        <w:t xml:space="preserve">Confirm each control measure has been considered and implemented where applicable.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vibrating equipment on site has been identified and listed in the equipment register below</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Manufacturer’s vibration magnitude data (m/s²) has been obtained for each item of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Daily vibration exposure for each operative has been calculated using the HSE exposure calculator or equivalent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Exposure Action Value (EAV) of 2.5 m/s² A(8) is understood and communicated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Exposure Limit Value (ELV) of 5 m/s² A(8) is understood and no operative will exceed this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Low-vibration alternative tools have been considered and selected where reasonably practicable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Equipment is properly maintained to minimise vibration (sharp blades, correct consumables, anti-vibration mounts)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Anti-vibration gloves have been considered (note: limited effectiveness, not a substitute for other controls)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Job rotation has been planned to limit individual exposure times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Warm-up periods for hands have been encouraged before starting vibrating work in cold conditions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Rest breaks are scheduled to allow blood circulation recovery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Operatives have been trained on the risks of HAVS and the symptoms to watch for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Operatives have been briefed on the trigger times for each item of equipment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Health surveillance programme is in place for exposed workers (Tier system)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Operatives know how to report early symptoms (tingling, numbness, blanching of fingers)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Records of daily exposure are maintained and reviewed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Health Surveillance Arrangements</w:t>
      </w:r>
    </w:p>
    <w:p>
      <w:pPr>
        <w:spacing w:after="100"/>
      </w:pPr>
      <w:r>
        <w:rPr>
          <w:rFonts w:ascii="Arial" w:cs="Arial" w:eastAsia="Arial" w:hAnsi="Arial"/>
          <w:i/>
          <w:iCs/>
          <w:color w:val="333333"/>
          <w:sz w:val="20"/>
          <w:szCs w:val="20"/>
        </w:rPr>
        <w:t xml:space="preserve">Where operatives are regularly exposed at or above the EAV, health surveillance must be provided under the Control of Vibration at Work Regulations 2005. The HSE HAVS tiered assessment system should be used.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3006"/>
        <w:gridCol w:w="2500"/>
        <w:gridCol w:w="2500"/>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Tier</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By Whom</w:t>
            </w:r>
          </w:p>
        </w:tc>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Frequency</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Tier 1</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Pre-placement screening questionnaire</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Employer / H&amp;S Advisor</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Before first exposure</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Tier 2</w:t>
            </w:r>
          </w:p>
        </w:tc>
        <w:tc>
          <w:tcPr>
            <w:tcW w:type="dxa" w:w="3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Annual HAVS screening questionnaire</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Employer / H&amp;S Advisor</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Annually</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Tier 3</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Clinical assessment by qualified person</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Occupational Health Professional</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 referred from Tier 2</w:t>
            </w:r>
          </w:p>
        </w:tc>
      </w:tr>
      <w:tr>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Tier 4</w:t>
            </w:r>
          </w:p>
        </w:tc>
        <w:tc>
          <w:tcPr>
            <w:tcW w:type="dxa" w:w="3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Formal diagnosis by doctor</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Doctor / Specialist</w:t>
            </w:r>
          </w:p>
        </w:tc>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 referred from Tier 3</w:t>
            </w:r>
          </w:p>
        </w:tc>
      </w:tr>
      <w:tr>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Tier 5</w:t>
            </w:r>
          </w:p>
        </w:tc>
        <w:tc>
          <w:tcPr>
            <w:tcW w:type="dxa" w:w="3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Review of diagnosis and fitness for work</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Specialist / OH Physician</w:t>
            </w:r>
          </w:p>
        </w:tc>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As required</w:t>
            </w:r>
          </w:p>
        </w:tc>
      </w:tr>
    </w:tbl>
    <w:p>
      <w:pPr>
        <w:spacing w:after="100" w:before="200"/>
      </w:pPr>
    </w:p>
    <w:p>
      <w:pPr>
        <w:pStyle w:val="Heading1"/>
      </w:pPr>
      <w:r>
        <w:rPr>
          <w:rFonts w:ascii="Arial" w:cs="Arial" w:eastAsia="Arial" w:hAnsi="Arial"/>
          <w:b/>
          <w:bCs/>
          <w:color w:val="1B2A4A"/>
          <w:sz w:val="32"/>
          <w:szCs w:val="32"/>
        </w:rPr>
        <w:t xml:space="preserve">Residual Risk Assessment</w:t>
      </w:r>
    </w:p>
    <w:p>
      <w:pPr>
        <w:spacing w:after="100"/>
      </w:pPr>
      <w:r>
        <w:rPr>
          <w:rFonts w:ascii="Arial" w:cs="Arial" w:eastAsia="Arial" w:hAnsi="Arial"/>
          <w:i/>
          <w:iCs/>
          <w:color w:val="333333"/>
          <w:sz w:val="20"/>
          <w:szCs w:val="20"/>
        </w:rPr>
        <w:t xml:space="preserve">After implementing all reasonably practicable controls, assess the residual risk.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color w:val="000000"/>
                <w:sz w:val="20"/>
                <w:szCs w:val="20"/>
              </w:rPr>
              <w:t xml:space="preserve">□  Low – All exposures well below EAV. Controls adequate.</w:t>
            </w:r>
          </w:p>
          <w:p>
            <w:pPr>
              <w:spacing w:after="80"/>
            </w:pPr>
            <w:r>
              <w:rPr>
                <w:rFonts w:ascii="Arial" w:cs="Arial" w:eastAsia="Arial" w:hAnsi="Arial"/>
                <w:b/>
                <w:bCs/>
                <w:color w:val="000000"/>
                <w:sz w:val="20"/>
                <w:szCs w:val="20"/>
              </w:rPr>
              <w:t xml:space="preserve">□  Medium – Some exposures at or near EAV. Controls in place, monitoring required.</w:t>
            </w:r>
          </w:p>
          <w:p>
            <w:r>
              <w:rPr>
                <w:rFonts w:ascii="Arial" w:cs="Arial" w:eastAsia="Arial" w:hAnsi="Arial"/>
                <w:b/>
                <w:bCs/>
                <w:color w:val="C00000"/>
                <w:sz w:val="20"/>
                <w:szCs w:val="20"/>
              </w:rPr>
              <w:t xml:space="preserve">□  High – Exposures approaching ELV. Urgent action required to reduce exposure.</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 Approver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Vibrating Equipment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Vibrating Equipment Risk Assessment</dc:title>
  <dc:subject>UK Construction Template</dc:subject>
  <dc:creator>ebrora.com</dc:creator>
  <cp:keywords>construction, template, UK, vibration, HAVS, HAV, risk assessment, Control of Vibration at Work 2005, hand-arm vibration</cp:keywords>
  <dc:description>Free UK construction template by Ebrora. Download more at ebrora.com</dc:description>
  <cp:lastModifiedBy>ebrora.com</cp:lastModifiedBy>
  <cp:revision>1</cp:revision>
  <dcterms:created xsi:type="dcterms:W3CDTF">2026-04-02T10:16:28.504Z</dcterms:created>
  <dcterms:modified xsi:type="dcterms:W3CDTF">2026-04-02T10:16:28.504Z</dcterms:modified>
</cp:coreProperties>
</file>

<file path=docProps/custom.xml><?xml version="1.0" encoding="utf-8"?>
<Properties xmlns="http://schemas.openxmlformats.org/officeDocument/2006/custom-properties" xmlns:vt="http://schemas.openxmlformats.org/officeDocument/2006/docPropsVTypes"/>
</file>