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Project Quality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Document Ref:</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document reference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Revision: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revision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project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 No:</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contract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client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Prepared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 and position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Reviewed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 and position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Approved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 and position</w:t>
            </w:r>
          </w:p>
        </w:tc>
      </w:tr>
    </w:tbl>
    <w:p>
      <w:pPr>
        <w:spacing w:after="100"/>
      </w:pPr>
    </w:p>
    <w:p>
      <w:pPr>
        <w:pStyle w:val="Heading1"/>
        <w:spacing w:after="200" w:before="360"/>
      </w:pPr>
      <w:r>
        <w:rPr>
          <w:rFonts w:ascii="Arial" w:cs="Arial" w:eastAsia="Arial" w:hAnsi="Arial"/>
          <w:b/>
          <w:bCs/>
          <w:color w:val="1B2A4A"/>
          <w:sz w:val="32"/>
          <w:szCs w:val="32"/>
        </w:rPr>
        <w:t xml:space="preserve">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3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Project Manager</w:t>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Quality Manager</w:t>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Construction Manager</w:t>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Client Representative</w:t>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00"/>
      </w:pPr>
    </w:p>
    <w:p>
      <w:pPr>
        <w:pStyle w:val="Heading1"/>
        <w:spacing w:after="200" w:before="360"/>
      </w:pPr>
      <w:r>
        <w:rPr>
          <w:rFonts w:ascii="Arial" w:cs="Arial" w:eastAsia="Arial" w:hAnsi="Arial"/>
          <w:b/>
          <w:bCs/>
          <w:color w:val="1B2A4A"/>
          <w:sz w:val="32"/>
          <w:szCs w:val="32"/>
        </w:rPr>
        <w:t xml:space="preserve">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2306"/>
      </w:tblGrid>
      <w:tr>
        <w:tc>
          <w:tcPr>
            <w:tcW w:type="dxa" w:w="3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Recipient</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Organisation</w:t>
            </w:r>
          </w:p>
        </w:tc>
        <w:tc>
          <w:tcPr>
            <w:tcW w:type="dxa" w:w="2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Format (Hard/Soft)</w:t>
            </w:r>
          </w:p>
        </w:tc>
        <w:tc>
          <w:tcPr>
            <w:tcW w:type="dxa" w:w="23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 of Copies</w:t>
            </w:r>
          </w:p>
        </w:tc>
      </w:tr>
      <w:tr>
        <w:tc>
          <w:tcPr>
            <w:tcW w:type="dxa" w:w="3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3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3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3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3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00"/>
      </w:pPr>
    </w:p>
    <w:p>
      <w:r>
        <w:br w:type="page"/>
      </w:r>
    </w:p>
    <w:p>
      <w:pPr>
        <w:pStyle w:val="Heading1"/>
        <w:spacing w:after="200" w:before="36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B2A4A"/>
          <w:sz w:val="32"/>
          <w:szCs w:val="32"/>
        </w:rPr>
        <w:t xml:space="preserve">1. Purpose and Scope</w:t>
      </w:r>
    </w:p>
    <w:p>
      <w:pPr>
        <w:spacing w:after="120"/>
      </w:pPr>
      <w:r>
        <w:rPr>
          <w:rFonts w:ascii="Arial" w:cs="Arial" w:eastAsia="Arial" w:hAnsi="Arial"/>
          <w:b w:val="false"/>
          <w:bCs w:val="false"/>
          <w:color w:val="888888"/>
          <w:sz w:val="22"/>
          <w:szCs w:val="22"/>
        </w:rPr>
        <w:t xml:space="preserve">Describe the purpose of this Project Quality Plan (PQP). State the scope of works it covers, including the project name, location, and the contractual framework under which works are being delivered (e.g., NEC4, JCT, bespoke). Reference the principal contractor's quality management system and any client-specific quality requirements.</w:t>
      </w:r>
    </w:p>
    <w:p>
      <w:pPr>
        <w:pStyle w:val="Heading2"/>
        <w:spacing w:after="120" w:before="240"/>
      </w:pPr>
      <w:r>
        <w:rPr>
          <w:rFonts w:ascii="Arial" w:cs="Arial" w:eastAsia="Arial" w:hAnsi="Arial"/>
          <w:b/>
          <w:bCs/>
          <w:color w:val="333333"/>
          <w:sz w:val="26"/>
          <w:szCs w:val="26"/>
        </w:rPr>
        <w:t xml:space="preserve">1.1 Purpose</w:t>
      </w:r>
    </w:p>
    <w:p>
      <w:pPr>
        <w:spacing w:after="120"/>
      </w:pPr>
      <w:r>
        <w:rPr>
          <w:rFonts w:ascii="Arial" w:cs="Arial" w:eastAsia="Arial" w:hAnsi="Arial"/>
          <w:b w:val="false"/>
          <w:bCs w:val="false"/>
          <w:color w:val="888888"/>
          <w:sz w:val="22"/>
          <w:szCs w:val="22"/>
        </w:rPr>
        <w:t xml:space="preserve">This PQP defines the quality management arrangements for the delivery of [Project Name]. It ensures that all works are executed in accordance with the contract specification, applicable standards, and the requirements of the client's quality expectations. The plan is aligned with ISO 9001:2015 and the principal contractor's integrated management system.</w:t>
      </w:r>
    </w:p>
    <w:p>
      <w:pPr>
        <w:pStyle w:val="Heading2"/>
        <w:spacing w:after="120" w:before="240"/>
      </w:pPr>
      <w:r>
        <w:rPr>
          <w:rFonts w:ascii="Arial" w:cs="Arial" w:eastAsia="Arial" w:hAnsi="Arial"/>
          <w:b/>
          <w:bCs/>
          <w:color w:val="333333"/>
          <w:sz w:val="26"/>
          <w:szCs w:val="26"/>
        </w:rPr>
        <w:t xml:space="preserve">1.2 Scope of Works</w:t>
      </w:r>
    </w:p>
    <w:p>
      <w:pPr>
        <w:spacing w:after="120"/>
      </w:pPr>
      <w:r>
        <w:rPr>
          <w:rFonts w:ascii="Arial" w:cs="Arial" w:eastAsia="Arial" w:hAnsi="Arial"/>
          <w:b w:val="false"/>
          <w:bCs w:val="false"/>
          <w:color w:val="888888"/>
          <w:sz w:val="22"/>
          <w:szCs w:val="22"/>
        </w:rPr>
        <w:t xml:space="preserve">Summarise the scope of works covered by this plan. Include civil, structural, MEP, external works, and any specialist elements. Reference the project brief or scope document where appropriate.</w:t>
      </w:r>
    </w:p>
    <w:p>
      <w:pPr>
        <w:pStyle w:val="Heading2"/>
        <w:spacing w:after="120" w:before="240"/>
      </w:pPr>
      <w:r>
        <w:rPr>
          <w:rFonts w:ascii="Arial" w:cs="Arial" w:eastAsia="Arial" w:hAnsi="Arial"/>
          <w:b/>
          <w:bCs/>
          <w:color w:val="333333"/>
          <w:sz w:val="26"/>
          <w:szCs w:val="26"/>
        </w:rPr>
        <w:t xml:space="preserve">1.3 Exclusions</w:t>
      </w:r>
    </w:p>
    <w:p>
      <w:pPr>
        <w:spacing w:after="120"/>
      </w:pPr>
      <w:r>
        <w:rPr>
          <w:rFonts w:ascii="Arial" w:cs="Arial" w:eastAsia="Arial" w:hAnsi="Arial"/>
          <w:b w:val="false"/>
          <w:bCs w:val="false"/>
          <w:color w:val="888888"/>
          <w:sz w:val="22"/>
          <w:szCs w:val="22"/>
        </w:rPr>
        <w:t xml:space="preserve">List any elements specifically excluded from this PQP, e.g., design responsibility retained by the client, specialist enabling works by others.</w:t>
      </w:r>
    </w:p>
    <w:p>
      <w:pPr>
        <w:pStyle w:val="Heading1"/>
        <w:spacing w:after="200" w:before="360"/>
      </w:pPr>
      <w:r>
        <w:rPr>
          <w:rFonts w:ascii="Arial" w:cs="Arial" w:eastAsia="Arial" w:hAnsi="Arial"/>
          <w:b/>
          <w:bCs/>
          <w:color w:val="1B2A4A"/>
          <w:sz w:val="32"/>
          <w:szCs w:val="32"/>
        </w:rPr>
        <w:t xml:space="preserve">2. References and Applicable Standards</w:t>
      </w:r>
    </w:p>
    <w:p>
      <w:pPr>
        <w:spacing w:after="120"/>
      </w:pPr>
      <w:r>
        <w:rPr>
          <w:rFonts w:ascii="Arial" w:cs="Arial" w:eastAsia="Arial" w:hAnsi="Arial"/>
          <w:b w:val="false"/>
          <w:bCs w:val="false"/>
          <w:color w:val="888888"/>
          <w:sz w:val="22"/>
          <w:szCs w:val="22"/>
        </w:rPr>
        <w:t xml:space="preserve">List the key legislation, standards, specifications, and contract documents applicable to this project.</w:t>
      </w:r>
    </w:p>
    <w:p>
      <w:pPr>
        <w:pStyle w:val="Heading2"/>
        <w:spacing w:after="120" w:before="240"/>
      </w:pPr>
      <w:r>
        <w:rPr>
          <w:rFonts w:ascii="Arial" w:cs="Arial" w:eastAsia="Arial" w:hAnsi="Arial"/>
          <w:b/>
          <w:bCs/>
          <w:color w:val="333333"/>
          <w:sz w:val="26"/>
          <w:szCs w:val="26"/>
        </w:rPr>
        <w:t xml:space="preserve">2.1 Legislation and Regulations</w:t>
      </w:r>
    </w:p>
    <w:p>
      <w:pPr>
        <w:spacing w:after="120"/>
      </w:pPr>
      <w:r>
        <w:rPr>
          <w:rFonts w:ascii="Arial" w:cs="Arial" w:eastAsia="Arial" w:hAnsi="Arial"/>
          <w:b w:val="false"/>
          <w:bCs w:val="false"/>
          <w:color w:val="888888"/>
          <w:sz w:val="22"/>
          <w:szCs w:val="22"/>
        </w:rPr>
        <w:t xml:space="preserve">Include references such as: CDM (Construction Design and Management) Regulations 2015; Building Regulations 2010 (as amended); Environmental Protection Act 1990; Highways Act 1980 (where applicable).</w:t>
      </w:r>
    </w:p>
    <w:p>
      <w:pPr>
        <w:pStyle w:val="Heading2"/>
        <w:spacing w:after="120" w:before="240"/>
      </w:pPr>
      <w:r>
        <w:rPr>
          <w:rFonts w:ascii="Arial" w:cs="Arial" w:eastAsia="Arial" w:hAnsi="Arial"/>
          <w:b/>
          <w:bCs/>
          <w:color w:val="333333"/>
          <w:sz w:val="26"/>
          <w:szCs w:val="26"/>
        </w:rPr>
        <w:t xml:space="preserve">2.2 British and European Standards</w:t>
      </w:r>
    </w:p>
    <w:p>
      <w:pPr>
        <w:spacing w:after="120"/>
      </w:pPr>
      <w:r>
        <w:rPr>
          <w:rFonts w:ascii="Arial" w:cs="Arial" w:eastAsia="Arial" w:hAnsi="Arial"/>
          <w:b w:val="false"/>
          <w:bCs w:val="false"/>
          <w:color w:val="888888"/>
          <w:sz w:val="22"/>
          <w:szCs w:val="22"/>
        </w:rPr>
        <w:t xml:space="preserve">List all applicable BS/EN standards, for example: BS EN 206 and BS 8500 (Concrete); BS EN 1090 (Execution of steel structures); BS 7671 (IET Wiring Regulations); BS EN ISO 9001:2015 (Quality management systems).</w:t>
      </w:r>
    </w:p>
    <w:p>
      <w:pPr>
        <w:pStyle w:val="Heading2"/>
        <w:spacing w:after="120" w:before="240"/>
      </w:pPr>
      <w:r>
        <w:rPr>
          <w:rFonts w:ascii="Arial" w:cs="Arial" w:eastAsia="Arial" w:hAnsi="Arial"/>
          <w:b/>
          <w:bCs/>
          <w:color w:val="333333"/>
          <w:sz w:val="26"/>
          <w:szCs w:val="26"/>
        </w:rPr>
        <w:t xml:space="preserve">2.3 Contract Documents</w:t>
      </w:r>
    </w:p>
    <w:p>
      <w:pPr>
        <w:spacing w:after="120"/>
      </w:pPr>
      <w:r>
        <w:rPr>
          <w:rFonts w:ascii="Arial" w:cs="Arial" w:eastAsia="Arial" w:hAnsi="Arial"/>
          <w:b w:val="false"/>
          <w:bCs w:val="false"/>
          <w:color w:val="888888"/>
          <w:sz w:val="22"/>
          <w:szCs w:val="22"/>
        </w:rPr>
        <w:t xml:space="preserve">Reference the employer's requirements, works information, contract specification, drawings, and any other contract documents that define quality requirements.</w:t>
      </w:r>
    </w:p>
    <w:p>
      <w:r>
        <w:br w:type="page"/>
      </w:r>
    </w:p>
    <w:p>
      <w:pPr>
        <w:pStyle w:val="Heading1"/>
        <w:spacing w:after="200" w:before="360"/>
      </w:pPr>
      <w:r>
        <w:rPr>
          <w:rFonts w:ascii="Arial" w:cs="Arial" w:eastAsia="Arial" w:hAnsi="Arial"/>
          <w:b/>
          <w:bCs/>
          <w:color w:val="1B2A4A"/>
          <w:sz w:val="32"/>
          <w:szCs w:val="32"/>
        </w:rPr>
        <w:t xml:space="preserve">3. Organisation and Responsibilities</w:t>
      </w:r>
    </w:p>
    <w:p>
      <w:pPr>
        <w:spacing w:after="120"/>
      </w:pPr>
      <w:r>
        <w:rPr>
          <w:rFonts w:ascii="Arial" w:cs="Arial" w:eastAsia="Arial" w:hAnsi="Arial"/>
          <w:b w:val="false"/>
          <w:bCs w:val="false"/>
          <w:color w:val="888888"/>
          <w:sz w:val="22"/>
          <w:szCs w:val="22"/>
        </w:rPr>
        <w:t xml:space="preserve">Define the project quality organisation, including key personnel, their roles, and quality responsibilities. Include an organisational chart where appropriate.</w:t>
      </w:r>
    </w:p>
    <w:p>
      <w:pPr>
        <w:pStyle w:val="Heading2"/>
        <w:spacing w:after="120" w:before="240"/>
      </w:pPr>
      <w:r>
        <w:rPr>
          <w:rFonts w:ascii="Arial" w:cs="Arial" w:eastAsia="Arial" w:hAnsi="Arial"/>
          <w:b/>
          <w:bCs/>
          <w:color w:val="333333"/>
          <w:sz w:val="26"/>
          <w:szCs w:val="26"/>
        </w:rPr>
        <w:t xml:space="preserve">3.1 Key Personnel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306"/>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6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2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Qualifications</w:t>
            </w:r>
          </w:p>
        </w:tc>
        <w:tc>
          <w:tcPr>
            <w:tcW w:type="dxa" w:w="23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Quality Responsibilities</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Project Manager</w:t>
            </w:r>
          </w:p>
        </w:tc>
        <w:tc>
          <w:tcPr>
            <w:tcW w:type="dxa" w:w="2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Construction Manager</w:t>
            </w:r>
          </w:p>
        </w:tc>
        <w:tc>
          <w:tcPr>
            <w:tcW w:type="dxa" w:w="2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Quality Manager</w:t>
            </w:r>
          </w:p>
        </w:tc>
        <w:tc>
          <w:tcPr>
            <w:tcW w:type="dxa" w:w="2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Site Engineer</w:t>
            </w:r>
          </w:p>
        </w:tc>
        <w:tc>
          <w:tcPr>
            <w:tcW w:type="dxa" w:w="2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Section Engineer</w:t>
            </w:r>
          </w:p>
        </w:tc>
        <w:tc>
          <w:tcPr>
            <w:tcW w:type="dxa" w:w="2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Quantity Surveyor</w:t>
            </w:r>
          </w:p>
        </w:tc>
        <w:tc>
          <w:tcPr>
            <w:tcW w:type="dxa" w:w="2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3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00"/>
      </w:pPr>
    </w:p>
    <w:p>
      <w:pPr>
        <w:pStyle w:val="Heading2"/>
        <w:spacing w:after="120" w:before="240"/>
      </w:pPr>
      <w:r>
        <w:rPr>
          <w:rFonts w:ascii="Arial" w:cs="Arial" w:eastAsia="Arial" w:hAnsi="Arial"/>
          <w:b/>
          <w:bCs/>
          <w:color w:val="333333"/>
          <w:sz w:val="26"/>
          <w:szCs w:val="26"/>
        </w:rPr>
        <w:t xml:space="preserve">3.2 Quality Management Responsibilities</w:t>
      </w:r>
    </w:p>
    <w:p>
      <w:pPr>
        <w:spacing w:after="120"/>
      </w:pPr>
      <w:r>
        <w:rPr>
          <w:rFonts w:ascii="Arial" w:cs="Arial" w:eastAsia="Arial" w:hAnsi="Arial"/>
          <w:b w:val="false"/>
          <w:bCs w:val="false"/>
          <w:color w:val="888888"/>
          <w:sz w:val="22"/>
          <w:szCs w:val="22"/>
        </w:rPr>
        <w:t xml:space="preserve">Describe the specific quality responsibilities for each key role. The Project Manager has overall accountability for quality. The Quality Manager is responsible for implementing the PQP, managing audits, and reporting quality performance. Engineers are responsible for ensuring works comply with specifications and ITPs.</w:t>
      </w:r>
    </w:p>
    <w:p>
      <w:r>
        <w:br w:type="page"/>
      </w:r>
    </w:p>
    <w:p>
      <w:pPr>
        <w:pStyle w:val="Heading1"/>
        <w:spacing w:after="200" w:before="360"/>
      </w:pPr>
      <w:r>
        <w:rPr>
          <w:rFonts w:ascii="Arial" w:cs="Arial" w:eastAsia="Arial" w:hAnsi="Arial"/>
          <w:b/>
          <w:bCs/>
          <w:color w:val="1B2A4A"/>
          <w:sz w:val="32"/>
          <w:szCs w:val="32"/>
        </w:rPr>
        <w:t xml:space="preserve">4. Quality Objectives and KPIs</w:t>
      </w:r>
    </w:p>
    <w:p>
      <w:pPr>
        <w:spacing w:after="120"/>
      </w:pPr>
      <w:r>
        <w:rPr>
          <w:rFonts w:ascii="Arial" w:cs="Arial" w:eastAsia="Arial" w:hAnsi="Arial"/>
          <w:b w:val="false"/>
          <w:bCs w:val="false"/>
          <w:color w:val="888888"/>
          <w:sz w:val="22"/>
          <w:szCs w:val="22"/>
        </w:rPr>
        <w:t xml:space="preserve">Define measurable quality objectives and key performance indicators for the project. These should be SMART objectives aligned with the client's expectations and the principal contractor's business objectives.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800"/>
        <w:gridCol w:w="1906"/>
      </w:tblGrid>
      <w:tr>
        <w:tc>
          <w:tcPr>
            <w:tcW w:type="dxa" w:w="3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Quality Objective</w:t>
            </w:r>
          </w:p>
        </w:tc>
        <w:tc>
          <w:tcPr>
            <w:tcW w:type="dxa" w:w="26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KPI / Measure</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w:t>
            </w:r>
          </w:p>
        </w:tc>
        <w:tc>
          <w:tcPr>
            <w:tcW w:type="dxa" w:w="19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Frequency</w:t>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Zero defects at sectional completion</w:t>
            </w:r>
          </w:p>
        </w:tc>
        <w:tc>
          <w:tcPr>
            <w:tcW w:type="dxa" w:w="2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Defects per area at handover</w:t>
            </w:r>
          </w:p>
        </w:tc>
        <w:tc>
          <w:tcPr>
            <w:tcW w:type="dxa" w:w="1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Zero</w:t>
            </w:r>
          </w:p>
        </w:tc>
        <w:tc>
          <w:tcPr>
            <w:tcW w:type="dxa" w:w="19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 section</w:t>
            </w:r>
          </w:p>
        </w:tc>
      </w:tr>
      <w:tr>
        <w:tc>
          <w:tcPr>
            <w:tcW w:type="dxa" w:w="3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Right first time concrete pours</w:t>
            </w:r>
          </w:p>
        </w:tc>
        <w:tc>
          <w:tcPr>
            <w:tcW w:type="dxa" w:w="2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Percentage of pours passing first time</w:t>
            </w:r>
          </w:p>
        </w:tc>
        <w:tc>
          <w:tcPr>
            <w:tcW w:type="dxa" w:w="1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&gt;95%</w:t>
            </w:r>
          </w:p>
        </w:tc>
        <w:tc>
          <w:tcPr>
            <w:tcW w:type="dxa" w:w="19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Monthly</w:t>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NCR close-out within 14 days</w:t>
            </w:r>
          </w:p>
        </w:tc>
        <w:tc>
          <w:tcPr>
            <w:tcW w:type="dxa" w:w="2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Average NCR close-out time</w:t>
            </w:r>
          </w:p>
        </w:tc>
        <w:tc>
          <w:tcPr>
            <w:tcW w:type="dxa" w:w="1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&lt;14 days</w:t>
            </w:r>
          </w:p>
        </w:tc>
        <w:tc>
          <w:tcPr>
            <w:tcW w:type="dxa" w:w="19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Monthly</w:t>
            </w:r>
          </w:p>
        </w:tc>
      </w:tr>
      <w:tr>
        <w:tc>
          <w:tcPr>
            <w:tcW w:type="dxa" w:w="32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100% ITP hold point compliance</w:t>
            </w:r>
          </w:p>
        </w:tc>
        <w:tc>
          <w:tcPr>
            <w:tcW w:type="dxa" w:w="2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Percentage of hold points witnessed</w:t>
            </w:r>
          </w:p>
        </w:tc>
        <w:tc>
          <w:tcPr>
            <w:tcW w:type="dxa" w:w="1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100%</w:t>
            </w:r>
          </w:p>
        </w:tc>
        <w:tc>
          <w:tcPr>
            <w:tcW w:type="dxa" w:w="19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Weekly</w:t>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Subcontractor quality compliance</w:t>
            </w:r>
          </w:p>
        </w:tc>
        <w:tc>
          <w:tcPr>
            <w:tcW w:type="dxa" w:w="2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Audit pass rate</w:t>
            </w:r>
          </w:p>
        </w:tc>
        <w:tc>
          <w:tcPr>
            <w:tcW w:type="dxa" w:w="1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&gt;90%</w:t>
            </w:r>
          </w:p>
        </w:tc>
        <w:tc>
          <w:tcPr>
            <w:tcW w:type="dxa" w:w="19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 audit</w:t>
            </w:r>
          </w:p>
        </w:tc>
      </w:tr>
    </w:tbl>
    <w:p>
      <w:pPr>
        <w:spacing w:after="100"/>
      </w:pPr>
    </w:p>
    <w:p>
      <w:pPr>
        <w:pStyle w:val="Heading1"/>
        <w:spacing w:after="200" w:before="360"/>
      </w:pPr>
      <w:r>
        <w:rPr>
          <w:rFonts w:ascii="Arial" w:cs="Arial" w:eastAsia="Arial" w:hAnsi="Arial"/>
          <w:b/>
          <w:bCs/>
          <w:color w:val="1B2A4A"/>
          <w:sz w:val="32"/>
          <w:szCs w:val="32"/>
        </w:rPr>
        <w:t xml:space="preserve">5. Document Control</w:t>
      </w:r>
    </w:p>
    <w:p>
      <w:pPr>
        <w:spacing w:after="120"/>
      </w:pPr>
      <w:r>
        <w:rPr>
          <w:rFonts w:ascii="Arial" w:cs="Arial" w:eastAsia="Arial" w:hAnsi="Arial"/>
          <w:b w:val="false"/>
          <w:bCs w:val="false"/>
          <w:color w:val="888888"/>
          <w:sz w:val="22"/>
          <w:szCs w:val="22"/>
        </w:rPr>
        <w:t xml:space="preserve">Describe the document control procedures for the project, including document numbering, revision control, distribution, and storage. Reference the project document management system (e.g., Asite, Viewpoint, BIM 360, SharePoint).</w:t>
      </w:r>
    </w:p>
    <w:p>
      <w:pPr>
        <w:pStyle w:val="Heading2"/>
        <w:spacing w:after="120" w:before="240"/>
      </w:pPr>
      <w:r>
        <w:rPr>
          <w:rFonts w:ascii="Arial" w:cs="Arial" w:eastAsia="Arial" w:hAnsi="Arial"/>
          <w:b/>
          <w:bCs/>
          <w:color w:val="333333"/>
          <w:sz w:val="26"/>
          <w:szCs w:val="26"/>
        </w:rPr>
        <w:t xml:space="preserve">5.1 Document Numbering Convention</w:t>
      </w:r>
    </w:p>
    <w:p>
      <w:pPr>
        <w:spacing w:after="120"/>
      </w:pPr>
      <w:r>
        <w:rPr>
          <w:rFonts w:ascii="Arial" w:cs="Arial" w:eastAsia="Arial" w:hAnsi="Arial"/>
          <w:b w:val="false"/>
          <w:bCs w:val="false"/>
          <w:color w:val="888888"/>
          <w:sz w:val="22"/>
          <w:szCs w:val="22"/>
        </w:rPr>
        <w:t xml:space="preserve">Define the document numbering convention used on the project. Example: [Project Code]-[Originator]-[Volume]-[Type]-[Discipline]-[Number]-[Revision].</w:t>
      </w:r>
    </w:p>
    <w:p>
      <w:pPr>
        <w:pStyle w:val="Heading2"/>
        <w:spacing w:after="120" w:before="240"/>
      </w:pPr>
      <w:r>
        <w:rPr>
          <w:rFonts w:ascii="Arial" w:cs="Arial" w:eastAsia="Arial" w:hAnsi="Arial"/>
          <w:b/>
          <w:bCs/>
          <w:color w:val="333333"/>
          <w:sz w:val="26"/>
          <w:szCs w:val="26"/>
        </w:rPr>
        <w:t xml:space="preserve">5.2 Document Review and Approval</w:t>
      </w:r>
    </w:p>
    <w:p>
      <w:pPr>
        <w:spacing w:after="120"/>
      </w:pPr>
      <w:r>
        <w:rPr>
          <w:rFonts w:ascii="Arial" w:cs="Arial" w:eastAsia="Arial" w:hAnsi="Arial"/>
          <w:b w:val="false"/>
          <w:bCs w:val="false"/>
          <w:color w:val="888888"/>
          <w:sz w:val="22"/>
          <w:szCs w:val="22"/>
        </w:rPr>
        <w:t xml:space="preserve">Describe the process for reviewing and approving documents, including design documents, method statements, ITPs, and quality records. State turnaround times and escalation procedures.</w:t>
      </w:r>
    </w:p>
    <w:p>
      <w:pPr>
        <w:pStyle w:val="Heading2"/>
        <w:spacing w:after="120" w:before="240"/>
      </w:pPr>
      <w:r>
        <w:rPr>
          <w:rFonts w:ascii="Arial" w:cs="Arial" w:eastAsia="Arial" w:hAnsi="Arial"/>
          <w:b/>
          <w:bCs/>
          <w:color w:val="333333"/>
          <w:sz w:val="26"/>
          <w:szCs w:val="26"/>
        </w:rPr>
        <w:t xml:space="preserve">5.3 Record Retention</w:t>
      </w:r>
    </w:p>
    <w:p>
      <w:pPr>
        <w:spacing w:after="120"/>
      </w:pPr>
      <w:r>
        <w:rPr>
          <w:rFonts w:ascii="Arial" w:cs="Arial" w:eastAsia="Arial" w:hAnsi="Arial"/>
          <w:b w:val="false"/>
          <w:bCs w:val="false"/>
          <w:color w:val="888888"/>
          <w:sz w:val="22"/>
          <w:szCs w:val="22"/>
        </w:rPr>
        <w:t xml:space="preserve">State the record retention period and storage requirements. Quality records shall be retained for a minimum of 12 years in accordance with the Limitation Act 1980 for contracts executed as a deed.</w:t>
      </w:r>
    </w:p>
    <w:p>
      <w:r>
        <w:br w:type="page"/>
      </w:r>
    </w:p>
    <w:p>
      <w:pPr>
        <w:pStyle w:val="Heading1"/>
        <w:spacing w:after="200" w:before="360"/>
      </w:pPr>
      <w:r>
        <w:rPr>
          <w:rFonts w:ascii="Arial" w:cs="Arial" w:eastAsia="Arial" w:hAnsi="Arial"/>
          <w:b/>
          <w:bCs/>
          <w:color w:val="1B2A4A"/>
          <w:sz w:val="32"/>
          <w:szCs w:val="32"/>
        </w:rPr>
        <w:t xml:space="preserve">6. Design Management</w:t>
      </w:r>
    </w:p>
    <w:p>
      <w:pPr>
        <w:spacing w:after="120"/>
      </w:pPr>
      <w:r>
        <w:rPr>
          <w:rFonts w:ascii="Arial" w:cs="Arial" w:eastAsia="Arial" w:hAnsi="Arial"/>
          <w:b w:val="false"/>
          <w:bCs w:val="false"/>
          <w:color w:val="888888"/>
          <w:sz w:val="22"/>
          <w:szCs w:val="22"/>
        </w:rPr>
        <w:t xml:space="preserve">Describe how design quality is managed on the project. If the contractor has design responsibility (full or partial), describe the design review, verification, and validation processes. Reference CDM 2015 duties of the Principal Designer.</w:t>
      </w:r>
    </w:p>
    <w:p>
      <w:pPr>
        <w:pStyle w:val="Heading2"/>
        <w:spacing w:after="120" w:before="240"/>
      </w:pPr>
      <w:r>
        <w:rPr>
          <w:rFonts w:ascii="Arial" w:cs="Arial" w:eastAsia="Arial" w:hAnsi="Arial"/>
          <w:b/>
          <w:bCs/>
          <w:color w:val="333333"/>
          <w:sz w:val="26"/>
          <w:szCs w:val="26"/>
        </w:rPr>
        <w:t xml:space="preserve">6.1 Design Responsibility Matrix</w:t>
      </w:r>
    </w:p>
    <w:p>
      <w:pPr>
        <w:spacing w:after="120"/>
      </w:pPr>
      <w:r>
        <w:rPr>
          <w:rFonts w:ascii="Arial" w:cs="Arial" w:eastAsia="Arial" w:hAnsi="Arial"/>
          <w:b w:val="false"/>
          <w:bCs w:val="false"/>
          <w:color w:val="888888"/>
          <w:sz w:val="22"/>
          <w:szCs w:val="22"/>
        </w:rPr>
        <w:t xml:space="preserve">Include or reference a design responsibility matrix identifying which elements are client-designed and which are contractor-designed.</w:t>
      </w:r>
    </w:p>
    <w:p>
      <w:pPr>
        <w:pStyle w:val="Heading2"/>
        <w:spacing w:after="120" w:before="240"/>
      </w:pPr>
      <w:r>
        <w:rPr>
          <w:rFonts w:ascii="Arial" w:cs="Arial" w:eastAsia="Arial" w:hAnsi="Arial"/>
          <w:b/>
          <w:bCs/>
          <w:color w:val="333333"/>
          <w:sz w:val="26"/>
          <w:szCs w:val="26"/>
        </w:rPr>
        <w:t xml:space="preserve">6.2 Design Change Control</w:t>
      </w:r>
    </w:p>
    <w:p>
      <w:pPr>
        <w:spacing w:after="120"/>
      </w:pPr>
      <w:r>
        <w:rPr>
          <w:rFonts w:ascii="Arial" w:cs="Arial" w:eastAsia="Arial" w:hAnsi="Arial"/>
          <w:b w:val="false"/>
          <w:bCs w:val="false"/>
          <w:color w:val="888888"/>
          <w:sz w:val="22"/>
          <w:szCs w:val="22"/>
        </w:rPr>
        <w:t xml:space="preserve">Describe the process for managing design changes, including technical queries (TQs), request for information (RFIs), and design change notices.</w:t>
      </w:r>
    </w:p>
    <w:p>
      <w:pPr>
        <w:pStyle w:val="Heading1"/>
        <w:spacing w:after="200" w:before="360"/>
      </w:pPr>
      <w:r>
        <w:rPr>
          <w:rFonts w:ascii="Arial" w:cs="Arial" w:eastAsia="Arial" w:hAnsi="Arial"/>
          <w:b/>
          <w:bCs/>
          <w:color w:val="1B2A4A"/>
          <w:sz w:val="32"/>
          <w:szCs w:val="32"/>
        </w:rPr>
        <w:t xml:space="preserve">7. Procurement and Supply Chain Quality</w:t>
      </w:r>
    </w:p>
    <w:p>
      <w:pPr>
        <w:spacing w:after="120"/>
      </w:pPr>
      <w:r>
        <w:rPr>
          <w:rFonts w:ascii="Arial" w:cs="Arial" w:eastAsia="Arial" w:hAnsi="Arial"/>
          <w:b w:val="false"/>
          <w:bCs w:val="false"/>
          <w:color w:val="888888"/>
          <w:sz w:val="22"/>
          <w:szCs w:val="22"/>
        </w:rPr>
        <w:t xml:space="preserve">Describe how the quality of procured materials, products, and subcontracted works is assured.</w:t>
      </w:r>
    </w:p>
    <w:p>
      <w:pPr>
        <w:pStyle w:val="Heading2"/>
        <w:spacing w:after="120" w:before="240"/>
      </w:pPr>
      <w:r>
        <w:rPr>
          <w:rFonts w:ascii="Arial" w:cs="Arial" w:eastAsia="Arial" w:hAnsi="Arial"/>
          <w:b/>
          <w:bCs/>
          <w:color w:val="333333"/>
          <w:sz w:val="26"/>
          <w:szCs w:val="26"/>
        </w:rPr>
        <w:t xml:space="preserve">7.1 Supplier and Subcontractor Approval</w:t>
      </w:r>
    </w:p>
    <w:p>
      <w:pPr>
        <w:spacing w:after="120"/>
      </w:pPr>
      <w:r>
        <w:rPr>
          <w:rFonts w:ascii="Arial" w:cs="Arial" w:eastAsia="Arial" w:hAnsi="Arial"/>
          <w:b w:val="false"/>
          <w:bCs w:val="false"/>
          <w:color w:val="888888"/>
          <w:sz w:val="22"/>
          <w:szCs w:val="22"/>
        </w:rPr>
        <w:t xml:space="preserve">Describe the process for assessing and approving suppliers and subcontractors. Include reference to the approved supplier list, pre-qualification requirements, and ongoing performance monitoring.</w:t>
      </w:r>
    </w:p>
    <w:p>
      <w:pPr>
        <w:pStyle w:val="Heading2"/>
        <w:spacing w:after="120" w:before="240"/>
      </w:pPr>
      <w:r>
        <w:rPr>
          <w:rFonts w:ascii="Arial" w:cs="Arial" w:eastAsia="Arial" w:hAnsi="Arial"/>
          <w:b/>
          <w:bCs/>
          <w:color w:val="333333"/>
          <w:sz w:val="26"/>
          <w:szCs w:val="26"/>
        </w:rPr>
        <w:t xml:space="preserve">7.2 Material Approval and Traceability</w:t>
      </w:r>
    </w:p>
    <w:p>
      <w:pPr>
        <w:spacing w:after="120"/>
      </w:pPr>
      <w:r>
        <w:rPr>
          <w:rFonts w:ascii="Arial" w:cs="Arial" w:eastAsia="Arial" w:hAnsi="Arial"/>
          <w:b w:val="false"/>
          <w:bCs w:val="false"/>
          <w:color w:val="888888"/>
          <w:sz w:val="22"/>
          <w:szCs w:val="22"/>
        </w:rPr>
        <w:t xml:space="preserve">Describe the process for approving materials prior to use, including submission of material data sheets, CE/UKCA marking verification, test certificates, and samples. Describe how material traceability is maintained throughout the project.</w:t>
      </w:r>
    </w:p>
    <w:p>
      <w:pPr>
        <w:pStyle w:val="Heading2"/>
        <w:spacing w:after="120" w:before="240"/>
      </w:pPr>
      <w:r>
        <w:rPr>
          <w:rFonts w:ascii="Arial" w:cs="Arial" w:eastAsia="Arial" w:hAnsi="Arial"/>
          <w:b/>
          <w:bCs/>
          <w:color w:val="333333"/>
          <w:sz w:val="26"/>
          <w:szCs w:val="26"/>
        </w:rPr>
        <w:t xml:space="preserve">7.3 Goods Receipt and Inspection</w:t>
      </w:r>
    </w:p>
    <w:p>
      <w:pPr>
        <w:spacing w:after="120"/>
      </w:pPr>
      <w:r>
        <w:rPr>
          <w:rFonts w:ascii="Arial" w:cs="Arial" w:eastAsia="Arial" w:hAnsi="Arial"/>
          <w:b w:val="false"/>
          <w:bCs w:val="false"/>
          <w:color w:val="888888"/>
          <w:sz w:val="22"/>
          <w:szCs w:val="22"/>
        </w:rPr>
        <w:t xml:space="preserve">Describe the process for inspecting materials and goods upon delivery to site, including checks against purchase orders, visual inspection, and recording of delivery tickets.</w:t>
      </w:r>
    </w:p>
    <w:p>
      <w:r>
        <w:br w:type="page"/>
      </w:r>
    </w:p>
    <w:p>
      <w:pPr>
        <w:pStyle w:val="Heading1"/>
        <w:spacing w:after="200" w:before="360"/>
      </w:pPr>
      <w:r>
        <w:rPr>
          <w:rFonts w:ascii="Arial" w:cs="Arial" w:eastAsia="Arial" w:hAnsi="Arial"/>
          <w:b/>
          <w:bCs/>
          <w:color w:val="1B2A4A"/>
          <w:sz w:val="32"/>
          <w:szCs w:val="32"/>
        </w:rPr>
        <w:t xml:space="preserve">8. Construction Quality Control</w:t>
      </w:r>
    </w:p>
    <w:p>
      <w:pPr>
        <w:spacing w:after="120"/>
      </w:pPr>
      <w:r>
        <w:rPr>
          <w:rFonts w:ascii="Arial" w:cs="Arial" w:eastAsia="Arial" w:hAnsi="Arial"/>
          <w:b w:val="false"/>
          <w:bCs w:val="false"/>
          <w:color w:val="888888"/>
          <w:sz w:val="22"/>
          <w:szCs w:val="22"/>
        </w:rPr>
        <w:t xml:space="preserve">Describe the quality control measures applied during construction works.</w:t>
      </w:r>
    </w:p>
    <w:p>
      <w:pPr>
        <w:pStyle w:val="Heading2"/>
        <w:spacing w:after="120" w:before="240"/>
      </w:pPr>
      <w:r>
        <w:rPr>
          <w:rFonts w:ascii="Arial" w:cs="Arial" w:eastAsia="Arial" w:hAnsi="Arial"/>
          <w:b/>
          <w:bCs/>
          <w:color w:val="333333"/>
          <w:sz w:val="26"/>
          <w:szCs w:val="26"/>
        </w:rPr>
        <w:t xml:space="preserve">8.1 Inspection and Test Plans (ITPs)</w:t>
      </w:r>
    </w:p>
    <w:p>
      <w:pPr>
        <w:spacing w:after="120"/>
      </w:pPr>
      <w:r>
        <w:rPr>
          <w:rFonts w:ascii="Arial" w:cs="Arial" w:eastAsia="Arial" w:hAnsi="Arial"/>
          <w:b w:val="false"/>
          <w:bCs w:val="false"/>
          <w:color w:val="888888"/>
          <w:sz w:val="22"/>
          <w:szCs w:val="22"/>
        </w:rPr>
        <w:t xml:space="preserve">Describe the ITP process. Each work activity shall have an ITP identifying hold points (H), witness points (W), and review points (R). ITPs shall reference the applicable specification clause, acceptance criteria, responsible party, and required records. A master list of ITPs shall be maintained.</w:t>
      </w:r>
    </w:p>
    <w:p>
      <w:pPr>
        <w:pStyle w:val="Heading2"/>
        <w:spacing w:after="120" w:before="240"/>
      </w:pPr>
      <w:r>
        <w:rPr>
          <w:rFonts w:ascii="Arial" w:cs="Arial" w:eastAsia="Arial" w:hAnsi="Arial"/>
          <w:b/>
          <w:bCs/>
          <w:color w:val="333333"/>
          <w:sz w:val="26"/>
          <w:szCs w:val="26"/>
        </w:rPr>
        <w:t xml:space="preserve">8.2 Hold Points and Witness Points</w:t>
      </w:r>
    </w:p>
    <w:p>
      <w:pPr>
        <w:spacing w:after="120"/>
      </w:pPr>
      <w:r>
        <w:rPr>
          <w:rFonts w:ascii="Arial" w:cs="Arial" w:eastAsia="Arial" w:hAnsi="Arial"/>
          <w:b w:val="false"/>
          <w:bCs w:val="false"/>
          <w:color w:val="888888"/>
          <w:sz w:val="22"/>
          <w:szCs w:val="22"/>
        </w:rPr>
        <w:t xml:space="preserve">Define the process for requesting inspection at hold points. Work shall not proceed beyond a hold point without formal sign-off. Witness points require notification to the client/supervisor; work may proceed if no attendance after 24 hours' notice.</w:t>
      </w:r>
    </w:p>
    <w:p>
      <w:pPr>
        <w:pStyle w:val="Heading2"/>
        <w:spacing w:after="120" w:before="240"/>
      </w:pPr>
      <w:r>
        <w:rPr>
          <w:rFonts w:ascii="Arial" w:cs="Arial" w:eastAsia="Arial" w:hAnsi="Arial"/>
          <w:b/>
          <w:bCs/>
          <w:color w:val="333333"/>
          <w:sz w:val="26"/>
          <w:szCs w:val="26"/>
        </w:rPr>
        <w:t xml:space="preserve">8.3 Method Statements</w:t>
      </w:r>
    </w:p>
    <w:p>
      <w:pPr>
        <w:spacing w:after="120"/>
      </w:pPr>
      <w:r>
        <w:rPr>
          <w:rFonts w:ascii="Arial" w:cs="Arial" w:eastAsia="Arial" w:hAnsi="Arial"/>
          <w:b w:val="false"/>
          <w:bCs w:val="false"/>
          <w:color w:val="888888"/>
          <w:sz w:val="22"/>
          <w:szCs w:val="22"/>
        </w:rPr>
        <w:t xml:space="preserve">All method statements shall be reviewed and approved prior to commencement of work. Method statements shall define the quality control measures, inspection requirements, and acceptance criteria for each activity.</w:t>
      </w:r>
    </w:p>
    <w:p>
      <w:pPr>
        <w:pStyle w:val="Heading2"/>
        <w:spacing w:after="120" w:before="240"/>
      </w:pPr>
      <w:r>
        <w:rPr>
          <w:rFonts w:ascii="Arial" w:cs="Arial" w:eastAsia="Arial" w:hAnsi="Arial"/>
          <w:b/>
          <w:bCs/>
          <w:color w:val="333333"/>
          <w:sz w:val="26"/>
          <w:szCs w:val="26"/>
        </w:rPr>
        <w:t xml:space="preserve">8.4 Workmanship Standards</w:t>
      </w:r>
    </w:p>
    <w:p>
      <w:pPr>
        <w:spacing w:after="120"/>
      </w:pPr>
      <w:r>
        <w:rPr>
          <w:rFonts w:ascii="Arial" w:cs="Arial" w:eastAsia="Arial" w:hAnsi="Arial"/>
          <w:b w:val="false"/>
          <w:bCs w:val="false"/>
          <w:color w:val="888888"/>
          <w:sz w:val="22"/>
          <w:szCs w:val="22"/>
        </w:rPr>
        <w:t xml:space="preserve">Reference the workmanship standards applicable to the project. Where benchmark or reference areas are required, describe the process for agreeing these with the client.</w:t>
      </w:r>
    </w:p>
    <w:p>
      <w:r>
        <w:br w:type="page"/>
      </w:r>
    </w:p>
    <w:p>
      <w:pPr>
        <w:pStyle w:val="Heading1"/>
        <w:spacing w:after="200" w:before="360"/>
      </w:pPr>
      <w:r>
        <w:rPr>
          <w:rFonts w:ascii="Arial" w:cs="Arial" w:eastAsia="Arial" w:hAnsi="Arial"/>
          <w:b/>
          <w:bCs/>
          <w:color w:val="1B2A4A"/>
          <w:sz w:val="32"/>
          <w:szCs w:val="32"/>
        </w:rPr>
        <w:t xml:space="preserve">9. Testing and Commissioning</w:t>
      </w:r>
    </w:p>
    <w:p>
      <w:pPr>
        <w:spacing w:after="120"/>
      </w:pPr>
      <w:r>
        <w:rPr>
          <w:rFonts w:ascii="Arial" w:cs="Arial" w:eastAsia="Arial" w:hAnsi="Arial"/>
          <w:b w:val="false"/>
          <w:bCs w:val="false"/>
          <w:color w:val="888888"/>
          <w:sz w:val="22"/>
          <w:szCs w:val="22"/>
        </w:rPr>
        <w:t xml:space="preserve">Describe the testing and commissioning strategy and how quality is assured during this phase.</w:t>
      </w:r>
    </w:p>
    <w:p>
      <w:pPr>
        <w:pStyle w:val="Heading2"/>
        <w:spacing w:after="120" w:before="240"/>
      </w:pPr>
      <w:r>
        <w:rPr>
          <w:rFonts w:ascii="Arial" w:cs="Arial" w:eastAsia="Arial" w:hAnsi="Arial"/>
          <w:b/>
          <w:bCs/>
          <w:color w:val="333333"/>
          <w:sz w:val="26"/>
          <w:szCs w:val="26"/>
        </w:rPr>
        <w:t xml:space="preserve">9.1 Testing Schedule</w:t>
      </w:r>
    </w:p>
    <w:p>
      <w:pPr>
        <w:spacing w:after="120"/>
      </w:pPr>
      <w:r>
        <w:rPr>
          <w:rFonts w:ascii="Arial" w:cs="Arial" w:eastAsia="Arial" w:hAnsi="Arial"/>
          <w:b w:val="false"/>
          <w:bCs w:val="false"/>
          <w:color w:val="888888"/>
          <w:sz w:val="22"/>
          <w:szCs w:val="22"/>
        </w:rPr>
        <w:t xml:space="preserve">Reference the project testing schedule, identifying all tests required by the specification, the frequency, the responsible party, and the acceptance criteria.</w:t>
      </w:r>
    </w:p>
    <w:p>
      <w:pPr>
        <w:pStyle w:val="Heading2"/>
        <w:spacing w:after="120" w:before="240"/>
      </w:pPr>
      <w:r>
        <w:rPr>
          <w:rFonts w:ascii="Arial" w:cs="Arial" w:eastAsia="Arial" w:hAnsi="Arial"/>
          <w:b/>
          <w:bCs/>
          <w:color w:val="333333"/>
          <w:sz w:val="26"/>
          <w:szCs w:val="26"/>
        </w:rPr>
        <w:t xml:space="preserve">9.2 Commissioning Quality</w:t>
      </w:r>
    </w:p>
    <w:p>
      <w:pPr>
        <w:spacing w:after="120"/>
      </w:pPr>
      <w:r>
        <w:rPr>
          <w:rFonts w:ascii="Arial" w:cs="Arial" w:eastAsia="Arial" w:hAnsi="Arial"/>
          <w:b w:val="false"/>
          <w:bCs w:val="false"/>
          <w:color w:val="888888"/>
          <w:sz w:val="22"/>
          <w:szCs w:val="22"/>
        </w:rPr>
        <w:t xml:space="preserve">Describe how commissioning activities are quality-controlled, including the use of commissioning checklists, witness requirements, and the process for recording and resolving commissioning defects.</w:t>
      </w:r>
    </w:p>
    <w:p>
      <w:pPr>
        <w:pStyle w:val="Heading2"/>
        <w:spacing w:after="120" w:before="240"/>
      </w:pPr>
      <w:r>
        <w:rPr>
          <w:rFonts w:ascii="Arial" w:cs="Arial" w:eastAsia="Arial" w:hAnsi="Arial"/>
          <w:b/>
          <w:bCs/>
          <w:color w:val="333333"/>
          <w:sz w:val="26"/>
          <w:szCs w:val="26"/>
        </w:rPr>
        <w:t xml:space="preserve">9.3 Third-Party Testing</w:t>
      </w:r>
    </w:p>
    <w:p>
      <w:pPr>
        <w:spacing w:after="120"/>
      </w:pPr>
      <w:r>
        <w:rPr>
          <w:rFonts w:ascii="Arial" w:cs="Arial" w:eastAsia="Arial" w:hAnsi="Arial"/>
          <w:b w:val="false"/>
          <w:bCs w:val="false"/>
          <w:color w:val="888888"/>
          <w:sz w:val="22"/>
          <w:szCs w:val="22"/>
        </w:rPr>
        <w:t xml:space="preserve">Identify any third-party testing requirements (e.g., UKAS-accredited laboratories for concrete testing, pressure testing, air tightness). Describe how results are reviewed and non-conformances managed.</w:t>
      </w:r>
    </w:p>
    <w:p>
      <w:pPr>
        <w:pStyle w:val="Heading1"/>
        <w:spacing w:after="200" w:before="360"/>
      </w:pPr>
      <w:r>
        <w:rPr>
          <w:rFonts w:ascii="Arial" w:cs="Arial" w:eastAsia="Arial" w:hAnsi="Arial"/>
          <w:b/>
          <w:bCs/>
          <w:color w:val="1B2A4A"/>
          <w:sz w:val="32"/>
          <w:szCs w:val="32"/>
        </w:rPr>
        <w:t xml:space="preserve">10. Non-Conformance Management</w:t>
      </w:r>
    </w:p>
    <w:p>
      <w:pPr>
        <w:spacing w:after="120"/>
      </w:pPr>
      <w:r>
        <w:rPr>
          <w:rFonts w:ascii="Arial" w:cs="Arial" w:eastAsia="Arial" w:hAnsi="Arial"/>
          <w:b w:val="false"/>
          <w:bCs w:val="false"/>
          <w:color w:val="888888"/>
          <w:sz w:val="22"/>
          <w:szCs w:val="22"/>
        </w:rPr>
        <w:t xml:space="preserve">Describe the process for identifying, recording, investigating, and closing out non-conformances.</w:t>
      </w:r>
    </w:p>
    <w:p>
      <w:pPr>
        <w:pStyle w:val="Heading2"/>
        <w:spacing w:after="120" w:before="240"/>
      </w:pPr>
      <w:r>
        <w:rPr>
          <w:rFonts w:ascii="Arial" w:cs="Arial" w:eastAsia="Arial" w:hAnsi="Arial"/>
          <w:b/>
          <w:bCs/>
          <w:color w:val="333333"/>
          <w:sz w:val="26"/>
          <w:szCs w:val="26"/>
        </w:rPr>
        <w:t xml:space="preserve">10.1 Non-Conformance Reporting (NCR)</w:t>
      </w:r>
    </w:p>
    <w:p>
      <w:pPr>
        <w:spacing w:after="120"/>
      </w:pPr>
      <w:r>
        <w:rPr>
          <w:rFonts w:ascii="Arial" w:cs="Arial" w:eastAsia="Arial" w:hAnsi="Arial"/>
          <w:b w:val="false"/>
          <w:bCs w:val="false"/>
          <w:color w:val="888888"/>
          <w:sz w:val="22"/>
          <w:szCs w:val="22"/>
        </w:rPr>
        <w:t xml:space="preserve">All non-conformances shall be recorded on a Non-Conformance Report (NCR). The NCR shall describe the non-conformance, identify the root cause, and define the corrective action. NCRs shall be tracked on a register until formal close-out.</w:t>
      </w:r>
    </w:p>
    <w:p>
      <w:pPr>
        <w:pStyle w:val="Heading2"/>
        <w:spacing w:after="120" w:before="240"/>
      </w:pPr>
      <w:r>
        <w:rPr>
          <w:rFonts w:ascii="Arial" w:cs="Arial" w:eastAsia="Arial" w:hAnsi="Arial"/>
          <w:b/>
          <w:bCs/>
          <w:color w:val="333333"/>
          <w:sz w:val="26"/>
          <w:szCs w:val="26"/>
        </w:rPr>
        <w:t xml:space="preserve">10.2 Concession Requests</w:t>
      </w:r>
    </w:p>
    <w:p>
      <w:pPr>
        <w:spacing w:after="120"/>
      </w:pPr>
      <w:r>
        <w:rPr>
          <w:rFonts w:ascii="Arial" w:cs="Arial" w:eastAsia="Arial" w:hAnsi="Arial"/>
          <w:b w:val="false"/>
          <w:bCs w:val="false"/>
          <w:color w:val="888888"/>
          <w:sz w:val="22"/>
          <w:szCs w:val="22"/>
        </w:rPr>
        <w:t xml:space="preserve">Where a non-conformance cannot be rectified to bring it into compliance, a concession request shall be submitted for client/designer approval. The concession request shall include a technical justification and any implications for design life or performance.</w:t>
      </w:r>
    </w:p>
    <w:p>
      <w:pPr>
        <w:pStyle w:val="Heading2"/>
        <w:spacing w:after="120" w:before="240"/>
      </w:pPr>
      <w:r>
        <w:rPr>
          <w:rFonts w:ascii="Arial" w:cs="Arial" w:eastAsia="Arial" w:hAnsi="Arial"/>
          <w:b/>
          <w:bCs/>
          <w:color w:val="333333"/>
          <w:sz w:val="26"/>
          <w:szCs w:val="26"/>
        </w:rPr>
        <w:t xml:space="preserve">10.3 Root Cause Analysis</w:t>
      </w:r>
    </w:p>
    <w:p>
      <w:pPr>
        <w:spacing w:after="120"/>
      </w:pPr>
      <w:r>
        <w:rPr>
          <w:rFonts w:ascii="Arial" w:cs="Arial" w:eastAsia="Arial" w:hAnsi="Arial"/>
          <w:b w:val="false"/>
          <w:bCs w:val="false"/>
          <w:color w:val="888888"/>
          <w:sz w:val="22"/>
          <w:szCs w:val="22"/>
        </w:rPr>
        <w:t xml:space="preserve">Describe the root cause analysis methodology used (e.g., 5 Whys, fishbone diagram). State how lessons learned from NCRs are shared across the project team.</w:t>
      </w:r>
    </w:p>
    <w:p>
      <w:r>
        <w:br w:type="page"/>
      </w:r>
    </w:p>
    <w:p>
      <w:pPr>
        <w:pStyle w:val="Heading1"/>
        <w:spacing w:after="200" w:before="360"/>
      </w:pPr>
      <w:r>
        <w:rPr>
          <w:rFonts w:ascii="Arial" w:cs="Arial" w:eastAsia="Arial" w:hAnsi="Arial"/>
          <w:b/>
          <w:bCs/>
          <w:color w:val="1B2A4A"/>
          <w:sz w:val="32"/>
          <w:szCs w:val="32"/>
        </w:rPr>
        <w:t xml:space="preserve">11. Audits and Inspections</w:t>
      </w:r>
    </w:p>
    <w:p>
      <w:pPr>
        <w:spacing w:after="120"/>
      </w:pPr>
      <w:r>
        <w:rPr>
          <w:rFonts w:ascii="Arial" w:cs="Arial" w:eastAsia="Arial" w:hAnsi="Arial"/>
          <w:b w:val="false"/>
          <w:bCs w:val="false"/>
          <w:color w:val="888888"/>
          <w:sz w:val="22"/>
          <w:szCs w:val="22"/>
        </w:rPr>
        <w:t xml:space="preserve">Describe the audit and inspection programme for the project.</w:t>
      </w:r>
    </w:p>
    <w:p>
      <w:pPr>
        <w:pStyle w:val="Heading2"/>
        <w:spacing w:after="120" w:before="240"/>
      </w:pPr>
      <w:r>
        <w:rPr>
          <w:rFonts w:ascii="Arial" w:cs="Arial" w:eastAsia="Arial" w:hAnsi="Arial"/>
          <w:b/>
          <w:bCs/>
          <w:color w:val="333333"/>
          <w:sz w:val="26"/>
          <w:szCs w:val="26"/>
        </w:rPr>
        <w:t xml:space="preserve">11.1 Internal Quality Audits</w:t>
      </w:r>
    </w:p>
    <w:p>
      <w:pPr>
        <w:spacing w:after="120"/>
      </w:pPr>
      <w:r>
        <w:rPr>
          <w:rFonts w:ascii="Arial" w:cs="Arial" w:eastAsia="Arial" w:hAnsi="Arial"/>
          <w:b w:val="false"/>
          <w:bCs w:val="false"/>
          <w:color w:val="888888"/>
          <w:sz w:val="22"/>
          <w:szCs w:val="22"/>
        </w:rPr>
        <w:t xml:space="preserve">Internal quality audits shall be conducted in accordance with BS EN ISO 19011. Audits shall be scheduled at intervals not exceeding [frequency] and shall cover all elements of this PQP. Audit findings shall be recorded and tracked to close-out.</w:t>
      </w:r>
    </w:p>
    <w:p>
      <w:pPr>
        <w:pStyle w:val="Heading2"/>
        <w:spacing w:after="120" w:before="240"/>
      </w:pPr>
      <w:r>
        <w:rPr>
          <w:rFonts w:ascii="Arial" w:cs="Arial" w:eastAsia="Arial" w:hAnsi="Arial"/>
          <w:b/>
          <w:bCs/>
          <w:color w:val="333333"/>
          <w:sz w:val="26"/>
          <w:szCs w:val="26"/>
        </w:rPr>
        <w:t xml:space="preserve">11.2 Subcontractor Audits</w:t>
      </w:r>
    </w:p>
    <w:p>
      <w:pPr>
        <w:spacing w:after="120"/>
      </w:pPr>
      <w:r>
        <w:rPr>
          <w:rFonts w:ascii="Arial" w:cs="Arial" w:eastAsia="Arial" w:hAnsi="Arial"/>
          <w:b w:val="false"/>
          <w:bCs w:val="false"/>
          <w:color w:val="888888"/>
          <w:sz w:val="22"/>
          <w:szCs w:val="22"/>
        </w:rPr>
        <w:t xml:space="preserve">Describe the frequency and scope of subcontractor quality audits. Subcontractors with significant quality-critical scope shall be audited within the first month of mobilisation and at regular intervals thereafter.</w:t>
      </w:r>
    </w:p>
    <w:p>
      <w:pPr>
        <w:pStyle w:val="Heading2"/>
        <w:spacing w:after="120" w:before="240"/>
      </w:pPr>
      <w:r>
        <w:rPr>
          <w:rFonts w:ascii="Arial" w:cs="Arial" w:eastAsia="Arial" w:hAnsi="Arial"/>
          <w:b/>
          <w:bCs/>
          <w:color w:val="333333"/>
          <w:sz w:val="26"/>
          <w:szCs w:val="26"/>
        </w:rPr>
        <w:t xml:space="preserve">11.3 Client and Third-Party Audits</w:t>
      </w:r>
    </w:p>
    <w:p>
      <w:pPr>
        <w:spacing w:after="120"/>
      </w:pPr>
      <w:r>
        <w:rPr>
          <w:rFonts w:ascii="Arial" w:cs="Arial" w:eastAsia="Arial" w:hAnsi="Arial"/>
          <w:b w:val="false"/>
          <w:bCs w:val="false"/>
          <w:color w:val="888888"/>
          <w:sz w:val="22"/>
          <w:szCs w:val="22"/>
        </w:rPr>
        <w:t xml:space="preserve">Describe arrangements for facilitating client, third-party, and certification body audits. State how audit findings are addressed and communicated.</w:t>
      </w:r>
    </w:p>
    <w:p>
      <w:pPr>
        <w:pStyle w:val="Heading2"/>
        <w:spacing w:after="120" w:before="240"/>
      </w:pPr>
      <w:r>
        <w:rPr>
          <w:rFonts w:ascii="Arial" w:cs="Arial" w:eastAsia="Arial" w:hAnsi="Arial"/>
          <w:b/>
          <w:bCs/>
          <w:color w:val="333333"/>
          <w:sz w:val="26"/>
          <w:szCs w:val="26"/>
        </w:rPr>
        <w:t xml:space="preserve">11.4 Site Quality Inspections</w:t>
      </w:r>
    </w:p>
    <w:p>
      <w:pPr>
        <w:spacing w:after="120"/>
      </w:pPr>
      <w:r>
        <w:rPr>
          <w:rFonts w:ascii="Arial" w:cs="Arial" w:eastAsia="Arial" w:hAnsi="Arial"/>
          <w:b w:val="false"/>
          <w:bCs w:val="false"/>
          <w:color w:val="888888"/>
          <w:sz w:val="22"/>
          <w:szCs w:val="22"/>
        </w:rPr>
        <w:t xml:space="preserve">Describe the routine site quality inspection regime, including weekly quality walkabouts and structured inspection rounds. State who participates and how findings are recorded and closed out.</w:t>
      </w:r>
    </w:p>
    <w:p>
      <w:r>
        <w:br w:type="page"/>
      </w:r>
    </w:p>
    <w:p>
      <w:pPr>
        <w:pStyle w:val="Heading1"/>
        <w:spacing w:after="200" w:before="360"/>
      </w:pPr>
      <w:r>
        <w:rPr>
          <w:rFonts w:ascii="Arial" w:cs="Arial" w:eastAsia="Arial" w:hAnsi="Arial"/>
          <w:b/>
          <w:bCs/>
          <w:color w:val="1B2A4A"/>
          <w:sz w:val="32"/>
          <w:szCs w:val="32"/>
        </w:rPr>
        <w:t xml:space="preserve">12. Handover and Completion Quality</w:t>
      </w:r>
    </w:p>
    <w:p>
      <w:pPr>
        <w:spacing w:after="120"/>
      </w:pPr>
      <w:r>
        <w:rPr>
          <w:rFonts w:ascii="Arial" w:cs="Arial" w:eastAsia="Arial" w:hAnsi="Arial"/>
          <w:b w:val="false"/>
          <w:bCs w:val="false"/>
          <w:color w:val="888888"/>
          <w:sz w:val="22"/>
          <w:szCs w:val="22"/>
        </w:rPr>
        <w:t xml:space="preserve">Describe the quality arrangements for handover and completion.</w:t>
      </w:r>
    </w:p>
    <w:p>
      <w:pPr>
        <w:pStyle w:val="Heading2"/>
        <w:spacing w:after="120" w:before="240"/>
      </w:pPr>
      <w:r>
        <w:rPr>
          <w:rFonts w:ascii="Arial" w:cs="Arial" w:eastAsia="Arial" w:hAnsi="Arial"/>
          <w:b/>
          <w:bCs/>
          <w:color w:val="333333"/>
          <w:sz w:val="26"/>
          <w:szCs w:val="26"/>
        </w:rPr>
        <w:t xml:space="preserve">12.1 Snagging and Pre-Completion Inspections</w:t>
      </w:r>
    </w:p>
    <w:p>
      <w:pPr>
        <w:spacing w:after="120"/>
      </w:pPr>
      <w:r>
        <w:rPr>
          <w:rFonts w:ascii="Arial" w:cs="Arial" w:eastAsia="Arial" w:hAnsi="Arial"/>
          <w:b w:val="false"/>
          <w:bCs w:val="false"/>
          <w:color w:val="888888"/>
          <w:sz w:val="22"/>
          <w:szCs w:val="22"/>
        </w:rPr>
        <w:t xml:space="preserve">Describe the snagging process, including internal snag walks, joint inspections with the client, and the defect management process. Reference the snagging register and close-out procedures.</w:t>
      </w:r>
    </w:p>
    <w:p>
      <w:pPr>
        <w:pStyle w:val="Heading2"/>
        <w:spacing w:after="120" w:before="240"/>
      </w:pPr>
      <w:r>
        <w:rPr>
          <w:rFonts w:ascii="Arial" w:cs="Arial" w:eastAsia="Arial" w:hAnsi="Arial"/>
          <w:b/>
          <w:bCs/>
          <w:color w:val="333333"/>
          <w:sz w:val="26"/>
          <w:szCs w:val="26"/>
        </w:rPr>
        <w:t xml:space="preserve">12.2 O&amp;M Manuals and As-Built Records</w:t>
      </w:r>
    </w:p>
    <w:p>
      <w:pPr>
        <w:spacing w:after="120"/>
      </w:pPr>
      <w:r>
        <w:rPr>
          <w:rFonts w:ascii="Arial" w:cs="Arial" w:eastAsia="Arial" w:hAnsi="Arial"/>
          <w:b w:val="false"/>
          <w:bCs w:val="false"/>
          <w:color w:val="888888"/>
          <w:sz w:val="22"/>
          <w:szCs w:val="22"/>
        </w:rPr>
        <w:t xml:space="preserve">Describe the process for compiling operation and maintenance manuals, as-built drawings, test certificates, and commissioning records. State the format, review process, and submission timeline.</w:t>
      </w:r>
    </w:p>
    <w:p>
      <w:pPr>
        <w:pStyle w:val="Heading2"/>
        <w:spacing w:after="120" w:before="240"/>
      </w:pPr>
      <w:r>
        <w:rPr>
          <w:rFonts w:ascii="Arial" w:cs="Arial" w:eastAsia="Arial" w:hAnsi="Arial"/>
          <w:b/>
          <w:bCs/>
          <w:color w:val="333333"/>
          <w:sz w:val="26"/>
          <w:szCs w:val="26"/>
        </w:rPr>
        <w:t xml:space="preserve">12.3 Quality Close-Out</w:t>
      </w:r>
    </w:p>
    <w:p>
      <w:pPr>
        <w:spacing w:after="120"/>
      </w:pPr>
      <w:r>
        <w:rPr>
          <w:rFonts w:ascii="Arial" w:cs="Arial" w:eastAsia="Arial" w:hAnsi="Arial"/>
          <w:b w:val="false"/>
          <w:bCs w:val="false"/>
          <w:color w:val="888888"/>
          <w:sz w:val="22"/>
          <w:szCs w:val="22"/>
        </w:rPr>
        <w:t xml:space="preserve">Describe the quality close-out process, including confirmation that all ITPs are signed off, all NCRs are closed, all test records are complete, and the quality file is compiled and submitted.</w:t>
      </w:r>
    </w:p>
    <w:p>
      <w:pPr>
        <w:pStyle w:val="Heading1"/>
        <w:spacing w:after="200" w:before="360"/>
      </w:pPr>
      <w:r>
        <w:rPr>
          <w:rFonts w:ascii="Arial" w:cs="Arial" w:eastAsia="Arial" w:hAnsi="Arial"/>
          <w:b/>
          <w:bCs/>
          <w:color w:val="1B2A4A"/>
          <w:sz w:val="32"/>
          <w:szCs w:val="32"/>
        </w:rPr>
        <w:t xml:space="preserve">13. Continuous Improvement</w:t>
      </w:r>
    </w:p>
    <w:p>
      <w:pPr>
        <w:spacing w:after="120"/>
      </w:pPr>
      <w:r>
        <w:rPr>
          <w:rFonts w:ascii="Arial" w:cs="Arial" w:eastAsia="Arial" w:hAnsi="Arial"/>
          <w:b w:val="false"/>
          <w:bCs w:val="false"/>
          <w:color w:val="888888"/>
          <w:sz w:val="22"/>
          <w:szCs w:val="22"/>
        </w:rPr>
        <w:t xml:space="preserve">Describe how continuous improvement is embedded in the project quality management process.</w:t>
      </w:r>
    </w:p>
    <w:p>
      <w:pPr>
        <w:pStyle w:val="Heading2"/>
        <w:spacing w:after="120" w:before="240"/>
      </w:pPr>
      <w:r>
        <w:rPr>
          <w:rFonts w:ascii="Arial" w:cs="Arial" w:eastAsia="Arial" w:hAnsi="Arial"/>
          <w:b/>
          <w:bCs/>
          <w:color w:val="333333"/>
          <w:sz w:val="26"/>
          <w:szCs w:val="26"/>
        </w:rPr>
        <w:t xml:space="preserve">13.1 Lessons Learned</w:t>
      </w:r>
    </w:p>
    <w:p>
      <w:pPr>
        <w:spacing w:after="120"/>
      </w:pPr>
      <w:r>
        <w:rPr>
          <w:rFonts w:ascii="Arial" w:cs="Arial" w:eastAsia="Arial" w:hAnsi="Arial"/>
          <w:b w:val="false"/>
          <w:bCs w:val="false"/>
          <w:color w:val="888888"/>
          <w:sz w:val="22"/>
          <w:szCs w:val="22"/>
        </w:rPr>
        <w:t xml:space="preserve">Describe how lessons learned are captured, shared, and applied. Reference the lessons learned register and the frequency of lessons learned workshops.</w:t>
      </w:r>
    </w:p>
    <w:p>
      <w:pPr>
        <w:pStyle w:val="Heading2"/>
        <w:spacing w:after="120" w:before="240"/>
      </w:pPr>
      <w:r>
        <w:rPr>
          <w:rFonts w:ascii="Arial" w:cs="Arial" w:eastAsia="Arial" w:hAnsi="Arial"/>
          <w:b/>
          <w:bCs/>
          <w:color w:val="333333"/>
          <w:sz w:val="26"/>
          <w:szCs w:val="26"/>
        </w:rPr>
        <w:t xml:space="preserve">13.2 Quality Alerts</w:t>
      </w:r>
    </w:p>
    <w:p>
      <w:pPr>
        <w:spacing w:after="120"/>
      </w:pPr>
      <w:r>
        <w:rPr>
          <w:rFonts w:ascii="Arial" w:cs="Arial" w:eastAsia="Arial" w:hAnsi="Arial"/>
          <w:b w:val="false"/>
          <w:bCs w:val="false"/>
          <w:color w:val="888888"/>
          <w:sz w:val="22"/>
          <w:szCs w:val="22"/>
        </w:rPr>
        <w:t xml:space="preserve">Describe the quality alert process for communicating significant quality issues or emerging risks across the project and wider organisation.</w:t>
      </w:r>
    </w:p>
    <w:p>
      <w:pPr>
        <w:pStyle w:val="Heading2"/>
        <w:spacing w:after="120" w:before="240"/>
      </w:pPr>
      <w:r>
        <w:rPr>
          <w:rFonts w:ascii="Arial" w:cs="Arial" w:eastAsia="Arial" w:hAnsi="Arial"/>
          <w:b/>
          <w:bCs/>
          <w:color w:val="333333"/>
          <w:sz w:val="26"/>
          <w:szCs w:val="26"/>
        </w:rPr>
        <w:t xml:space="preserve">13.3 Management Review</w:t>
      </w:r>
    </w:p>
    <w:p>
      <w:pPr>
        <w:spacing w:after="120"/>
      </w:pPr>
      <w:r>
        <w:rPr>
          <w:rFonts w:ascii="Arial" w:cs="Arial" w:eastAsia="Arial" w:hAnsi="Arial"/>
          <w:b w:val="false"/>
          <w:bCs w:val="false"/>
          <w:color w:val="888888"/>
          <w:sz w:val="22"/>
          <w:szCs w:val="22"/>
        </w:rPr>
        <w:t xml:space="preserve">Quality performance shall be reviewed at [frequency] management review meetings. The review shall cover KPI performance, NCR trends, audit findings, customer feedback, and improvement actions.</w:t>
      </w:r>
    </w:p>
    <w:p>
      <w:r>
        <w:br w:type="page"/>
      </w:r>
    </w:p>
    <w:p>
      <w:pPr>
        <w:pStyle w:val="Heading1"/>
        <w:spacing w:after="200" w:before="360"/>
      </w:pPr>
      <w:r>
        <w:rPr>
          <w:rFonts w:ascii="Arial" w:cs="Arial" w:eastAsia="Arial" w:hAnsi="Arial"/>
          <w:b/>
          <w:bCs/>
          <w:color w:val="1B2A4A"/>
          <w:sz w:val="32"/>
          <w:szCs w:val="32"/>
        </w:rPr>
        <w:t xml:space="preserve">14. Appendices</w:t>
      </w:r>
    </w:p>
    <w:p>
      <w:pPr>
        <w:spacing w:after="120"/>
      </w:pPr>
      <w:r>
        <w:rPr>
          <w:rFonts w:ascii="Arial" w:cs="Arial" w:eastAsia="Arial" w:hAnsi="Arial"/>
          <w:b w:val="false"/>
          <w:bCs w:val="false"/>
          <w:color w:val="888888"/>
          <w:sz w:val="22"/>
          <w:szCs w:val="22"/>
        </w:rPr>
        <w:t xml:space="preserve">List any appendices to this plan, e.g.:</w:t>
      </w:r>
    </w:p>
    <w:p>
      <w:pPr>
        <w:spacing w:after="120"/>
      </w:pPr>
      <w:r>
        <w:rPr>
          <w:rFonts w:ascii="Arial" w:cs="Arial" w:eastAsia="Arial" w:hAnsi="Arial"/>
          <w:b w:val="false"/>
          <w:bCs w:val="false"/>
          <w:color w:val="000000"/>
          <w:sz w:val="22"/>
          <w:szCs w:val="22"/>
        </w:rPr>
        <w:t xml:space="preserve">Appendix A - Project Organisation Chart</w:t>
      </w:r>
    </w:p>
    <w:p>
      <w:pPr>
        <w:spacing w:after="120"/>
      </w:pPr>
      <w:r>
        <w:rPr>
          <w:rFonts w:ascii="Arial" w:cs="Arial" w:eastAsia="Arial" w:hAnsi="Arial"/>
          <w:b w:val="false"/>
          <w:bCs w:val="false"/>
          <w:color w:val="000000"/>
          <w:sz w:val="22"/>
          <w:szCs w:val="22"/>
        </w:rPr>
        <w:t xml:space="preserve">Appendix B - Master ITP Register</w:t>
      </w:r>
    </w:p>
    <w:p>
      <w:pPr>
        <w:spacing w:after="120"/>
      </w:pPr>
      <w:r>
        <w:rPr>
          <w:rFonts w:ascii="Arial" w:cs="Arial" w:eastAsia="Arial" w:hAnsi="Arial"/>
          <w:b w:val="false"/>
          <w:bCs w:val="false"/>
          <w:color w:val="000000"/>
          <w:sz w:val="22"/>
          <w:szCs w:val="22"/>
        </w:rPr>
        <w:t xml:space="preserve">Appendix C - Audit Schedule</w:t>
      </w:r>
    </w:p>
    <w:p>
      <w:pPr>
        <w:spacing w:after="120"/>
      </w:pPr>
      <w:r>
        <w:rPr>
          <w:rFonts w:ascii="Arial" w:cs="Arial" w:eastAsia="Arial" w:hAnsi="Arial"/>
          <w:b w:val="false"/>
          <w:bCs w:val="false"/>
          <w:color w:val="000000"/>
          <w:sz w:val="22"/>
          <w:szCs w:val="22"/>
        </w:rPr>
        <w:t xml:space="preserve">Appendix D - NCR Form Template</w:t>
      </w:r>
    </w:p>
    <w:p>
      <w:pPr>
        <w:spacing w:after="120"/>
      </w:pPr>
      <w:r>
        <w:rPr>
          <w:rFonts w:ascii="Arial" w:cs="Arial" w:eastAsia="Arial" w:hAnsi="Arial"/>
          <w:b w:val="false"/>
          <w:bCs w:val="false"/>
          <w:color w:val="000000"/>
          <w:sz w:val="22"/>
          <w:szCs w:val="22"/>
        </w:rPr>
        <w:t xml:space="preserve">Appendix E - Quality KPI Dashboard Template</w:t>
      </w:r>
    </w:p>
    <w:p>
      <w:pPr>
        <w:spacing w:after="120"/>
      </w:pPr>
      <w:r>
        <w:rPr>
          <w:rFonts w:ascii="Arial" w:cs="Arial" w:eastAsia="Arial" w:hAnsi="Arial"/>
          <w:b w:val="false"/>
          <w:bCs w:val="false"/>
          <w:color w:val="000000"/>
          <w:sz w:val="22"/>
          <w:szCs w:val="22"/>
        </w:rPr>
        <w:t xml:space="preserve">Appendix F - Approved Supplier List</w:t>
      </w:r>
    </w:p>
    <w:p>
      <w:r>
        <w:br w:type="page"/>
      </w:r>
    </w:p>
    <w:p>
      <w:pPr>
        <w:pStyle w:val="Heading1"/>
        <w:spacing w:after="200" w:before="36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30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color w:val="888888"/>
                <w:sz w:val="20"/>
                <w:szCs w:val="20"/>
              </w:rPr>
              <w:t xml:space="preserve">Enter any additional notes or comments here.</w:t>
            </w:r>
          </w:p>
        </w:tc>
      </w:tr>
    </w:tbl>
    <w:p>
      <w:pPr>
        <w:spacing w:after="100"/>
      </w:pPr>
    </w:p>
    <w:p>
      <w:pPr>
        <w:pStyle w:val="Heading1"/>
        <w:spacing w:after="200" w:before="360"/>
      </w:pPr>
      <w:r>
        <w:rPr>
          <w:rFonts w:ascii="Arial" w:cs="Arial" w:eastAsia="Arial" w:hAnsi="Arial"/>
          <w:b/>
          <w:bCs/>
          <w:color w:val="1B2A4A"/>
          <w:sz w:val="32"/>
          <w:szCs w:val="32"/>
        </w:rPr>
        <w:t xml:space="preserve">Document Control - Revision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800"/>
        <w:gridCol w:w="2000"/>
        <w:gridCol w:w="2006"/>
      </w:tblGrid>
      <w:tr>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Rev</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2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Initial issue for review</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sz w:val="14"/>
        <w:szCs w:val="14"/>
      </w:rP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Project Quality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Quality Plan</dc:title>
  <dc:subject>UK Construction Template</dc:subject>
  <dc:creator>ebrora.com</dc:creator>
  <cp:keywords>construction, template, UK, quality, project quality plan, PQP, ISO 9001, ITP, NCR</cp:keywords>
  <dc:description>Free UK construction template by Ebrora. Download more at ebrora.com</dc:description>
  <cp:lastModifiedBy>ebrora.com</cp:lastModifiedBy>
  <cp:revision>1</cp:revision>
  <dcterms:created xsi:type="dcterms:W3CDTF">2026-04-02T14:26:11.163Z</dcterms:created>
  <dcterms:modified xsi:type="dcterms:W3CDTF">2026-04-02T14:26:11.164Z</dcterms:modified>
</cp:coreProperties>
</file>

<file path=docProps/custom.xml><?xml version="1.0" encoding="utf-8"?>
<Properties xmlns="http://schemas.openxmlformats.org/officeDocument/2006/custom-properties" xmlns:vt="http://schemas.openxmlformats.org/officeDocument/2006/docPropsVTypes"/>
</file>