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Scaffold Risk Assessment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38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11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Risk Rating: L = Likelihood (1–5), S = Severity (1–5), R = Risk (L x S). Low (1–6), Medium (8–12), High (15–25). All controls must reduce risk to ALARP.</w:t>
      </w:r>
    </w:p>
    <w:p>
      <w:pPr>
        <w:pStyle w:val="Heading1"/>
        <w:spacing w:after="100" w:before="200"/>
      </w:pPr>
      <w:r>
        <w:t xml:space="preserve">Risk Assessment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300"/>
        <w:gridCol w:w="1200"/>
        <w:gridCol w:w="5438"/>
        <w:gridCol w:w="800"/>
        <w:gridCol w:w="800"/>
        <w:gridCol w:w="1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at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Consequence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Measures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Falls from height during erection / dismantling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Scaffold erectors, labourers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Fatal / Major injury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Competent CISRS-trained erectors only. SG4:22 procedures followed. Full body harness worn during leading edge work. Collective edge protection installed as work progresses. Advance guardrails used. Rescue plan in place.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Falls from height during scaffold use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scaffold users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Fatal / Major injury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guardrails (950 mm min.), mid-rails, and toe boards on all working platforms. Platforms fully boarded. Green tag inspection regime. Scaffold safety briefing delivered to all users.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Scaffold collapse / structural failure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site personnel, public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Fatal / Multiple fatalities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Design to TG20:21 or bespoke design by competent engineer. Independent design check for Cat 2/3. Adequate ties at correct centres. Regular 7-day inspections. Loading class displayed and enforced.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Falling objects / materials from scaffold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Persons below scaffold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Serious / Fatal injury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Toe boards on all platforms. Brick guards and debris netting installed. Tool lanyards used. Exclusion zone at base. No throwing of materials. Loading bays used for material transfer.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Manual handling of scaffold components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Scaffold erectors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Musculoskeletal injury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Mechanical handling where possible (hoist, crane). Team lifts for heavy components. Rotation of tasks. Correct lifting techniques briefed.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Electrocution from overhead power lines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Scaffold erectors, users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Fatal injury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Minimum clearance distances maintained per HSE GS6. Goal posts installed. Barrier tape. Scaffold height restricted where required. Power company consulted.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Adverse weather (wind, ice, lightning)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scaffold users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Falls, collapse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Wind speed monitoring. Scaffold not used above manufacturer wind limit (typically 17 m/s). Sheeted scaffolds have lower limits. Ice gritting of platforms. Lightning procedure.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Unauthorised alteration of scaffold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scaffold users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Collapse, falls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Scaffold alteration request procedure enforced. Red tag applied during alterations. Site rules poster displayed. Disciplinary procedure for breaches.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Slips, trips and falls on scaffold platforms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Scaffold users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Sprains, fractures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Good housekeeping enforced. Platforms kept clear. Anti-slip measures in wet/icy conditions. Adequate lighting. Boot cleaning provisions.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Contact with hazardous substances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Scaffold erectors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Skin / respiratory irritation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PPE provided (gloves for treated timber). COSHH assessment for any coatings. Welfare facilities available for hand washing.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Proximity to vehicle movements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Scaffold erectors, users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Struck by vehicle, collapse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Vehicle exclusion zone around scaffold base. Stop blocks. Banksman for reversing vehicles. High-visibility clothing. Physical protection (Armco, concrete barriers) where needed.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Public interface / pedestrians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Members of public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Falls, struck by objects</w:t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Pedestrian protection fans / covered walkways. Exclusion zone. Debris netting. Warning signage. Night lighting. Considerate Constructors compliance.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4000"/>
        <w:gridCol w:w="3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4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Reviewed By (H&amp;S)</w:t>
            </w:r>
          </w:p>
        </w:tc>
        <w:tc>
          <w:tcPr>
            <w:tcW w:type="dxa" w:w="4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4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Work at Height Regulations 2005, Management of Health &amp; Safety at Work Regulations 1999, CDM 2015, NASC TG20:21, SG4:22, BS EN 12811.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438"/>
        <w:gridCol w:w="2800"/>
        <w:gridCol w:w="2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14438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14438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Scaffold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Scaffold Risk Assessment</dc:title>
  <dc:subject>UK Construction Template</dc:subject>
  <dc:creator>ebrora.com</dc:creator>
  <cp:keywords>construction, template, UK, scaffold risk assessment, working at height, NASC, TG20, SG4, CDM</cp:keywords>
  <dc:description>Free UK construction template by Ebrora. Download more at ebrora.com</dc:description>
  <cp:lastModifiedBy>ebrora.com</cp:lastModifiedBy>
  <cp:revision>1</cp:revision>
  <dcterms:created xsi:type="dcterms:W3CDTF">2026-04-03T19:10:12.312Z</dcterms:created>
  <dcterms:modified xsi:type="dcterms:W3CDTF">2026-04-03T19:10:12.313Z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