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Temporary Works Awareness Briefing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pStyle w:val="Heading1"/>
        <w:spacing w:after="100" w:before="300"/>
      </w:pPr>
      <w:r>
        <w:t xml:space="preserve">Briefing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53"/>
        <w:gridCol w:w="2300"/>
        <w:gridCol w:w="2353"/>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Briefing Date:</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Briefing Time:</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Briefing Location:</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Delivered By:</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TWC Name:</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Temporary Works Coordinator name</w:t>
            </w:r>
          </w:p>
        </w:tc>
      </w:tr>
    </w:tbl>
    <w:p>
      <w:pPr>
        <w:pStyle w:val="Heading1"/>
        <w:spacing w:after="100" w:before="300"/>
      </w:pPr>
      <w:r>
        <w:t xml:space="preserve">Section 1: What are Temporary Works?</w:t>
      </w:r>
    </w:p>
    <w:p>
      <w:pPr>
        <w:spacing w:after="80"/>
      </w:pPr>
      <w:r>
        <w:rPr>
          <w:rFonts w:ascii="Arial" w:cs="Arial" w:eastAsia="Arial" w:hAnsi="Arial"/>
          <w:sz w:val="22"/>
          <w:szCs w:val="22"/>
        </w:rPr>
        <w:t xml:space="preserve">Temporary works are engineering works required to enable the construction of the permanent works but which do not form part of the permanent works themselves. They are essential to ensuring the safety of the workforce and the public during construction.</w:t>
      </w:r>
    </w:p>
    <w:p>
      <w:pPr>
        <w:pStyle w:val="Heading2"/>
        <w:spacing w:after="60"/>
      </w:pPr>
      <w:r>
        <w:t xml:space="preserve">Common Examples of Temporary Works</w:t>
      </w:r>
    </w:p>
    <w:p>
      <w:pPr>
        <w:pStyle w:val="ListParagraph"/>
        <w:numPr>
          <w:ilvl w:val="0"/>
          <w:numId w:val="2"/>
        </w:numPr>
        <w:spacing w:after="40"/>
      </w:pPr>
      <w:r>
        <w:rPr>
          <w:rFonts w:ascii="Arial" w:cs="Arial" w:eastAsia="Arial" w:hAnsi="Arial"/>
          <w:sz w:val="22"/>
          <w:szCs w:val="22"/>
        </w:rPr>
        <w:t xml:space="preserve">Scaffolding and access platforms</w:t>
      </w:r>
    </w:p>
    <w:p>
      <w:pPr>
        <w:pStyle w:val="ListParagraph"/>
        <w:numPr>
          <w:ilvl w:val="0"/>
          <w:numId w:val="2"/>
        </w:numPr>
        <w:spacing w:after="40"/>
      </w:pPr>
      <w:r>
        <w:rPr>
          <w:rFonts w:ascii="Arial" w:cs="Arial" w:eastAsia="Arial" w:hAnsi="Arial"/>
          <w:sz w:val="22"/>
          <w:szCs w:val="22"/>
        </w:rPr>
        <w:t xml:space="preserve">Formwork, falsework, and shoring</w:t>
      </w:r>
    </w:p>
    <w:p>
      <w:pPr>
        <w:pStyle w:val="ListParagraph"/>
        <w:numPr>
          <w:ilvl w:val="0"/>
          <w:numId w:val="2"/>
        </w:numPr>
        <w:spacing w:after="40"/>
      </w:pPr>
      <w:r>
        <w:rPr>
          <w:rFonts w:ascii="Arial" w:cs="Arial" w:eastAsia="Arial" w:hAnsi="Arial"/>
          <w:sz w:val="22"/>
          <w:szCs w:val="22"/>
        </w:rPr>
        <w:t xml:space="preserve">Propping to existing structures</w:t>
      </w:r>
    </w:p>
    <w:p>
      <w:pPr>
        <w:pStyle w:val="ListParagraph"/>
        <w:numPr>
          <w:ilvl w:val="0"/>
          <w:numId w:val="2"/>
        </w:numPr>
        <w:spacing w:after="40"/>
      </w:pPr>
      <w:r>
        <w:rPr>
          <w:rFonts w:ascii="Arial" w:cs="Arial" w:eastAsia="Arial" w:hAnsi="Arial"/>
          <w:sz w:val="22"/>
          <w:szCs w:val="22"/>
        </w:rPr>
        <w:t xml:space="preserve">Temporary support to excavations (trench sheets, sheet piling, trench boxes)</w:t>
      </w:r>
    </w:p>
    <w:p>
      <w:pPr>
        <w:pStyle w:val="ListParagraph"/>
        <w:numPr>
          <w:ilvl w:val="0"/>
          <w:numId w:val="2"/>
        </w:numPr>
        <w:spacing w:after="40"/>
      </w:pPr>
      <w:r>
        <w:rPr>
          <w:rFonts w:ascii="Arial" w:cs="Arial" w:eastAsia="Arial" w:hAnsi="Arial"/>
          <w:sz w:val="22"/>
          <w:szCs w:val="22"/>
        </w:rPr>
        <w:t xml:space="preserve">Temporary bridges and access roads</w:t>
      </w:r>
    </w:p>
    <w:p>
      <w:pPr>
        <w:pStyle w:val="ListParagraph"/>
        <w:numPr>
          <w:ilvl w:val="0"/>
          <w:numId w:val="2"/>
        </w:numPr>
        <w:spacing w:after="40"/>
      </w:pPr>
      <w:r>
        <w:rPr>
          <w:rFonts w:ascii="Arial" w:cs="Arial" w:eastAsia="Arial" w:hAnsi="Arial"/>
          <w:sz w:val="22"/>
          <w:szCs w:val="22"/>
        </w:rPr>
        <w:t xml:space="preserve">Crane pads and hardstandings</w:t>
      </w:r>
    </w:p>
    <w:p>
      <w:pPr>
        <w:pStyle w:val="ListParagraph"/>
        <w:numPr>
          <w:ilvl w:val="0"/>
          <w:numId w:val="2"/>
        </w:numPr>
        <w:spacing w:after="40"/>
      </w:pPr>
      <w:r>
        <w:rPr>
          <w:rFonts w:ascii="Arial" w:cs="Arial" w:eastAsia="Arial" w:hAnsi="Arial"/>
          <w:sz w:val="22"/>
          <w:szCs w:val="22"/>
        </w:rPr>
        <w:t xml:space="preserve">Cofferdams and dewatering systems</w:t>
      </w:r>
    </w:p>
    <w:p>
      <w:pPr>
        <w:pStyle w:val="ListParagraph"/>
        <w:numPr>
          <w:ilvl w:val="0"/>
          <w:numId w:val="2"/>
        </w:numPr>
        <w:spacing w:after="40"/>
      </w:pPr>
      <w:r>
        <w:rPr>
          <w:rFonts w:ascii="Arial" w:cs="Arial" w:eastAsia="Arial" w:hAnsi="Arial"/>
          <w:sz w:val="22"/>
          <w:szCs w:val="22"/>
        </w:rPr>
        <w:t xml:space="preserve">Temporary retaining structures</w:t>
      </w:r>
    </w:p>
    <w:p>
      <w:pPr>
        <w:pStyle w:val="ListParagraph"/>
        <w:numPr>
          <w:ilvl w:val="0"/>
          <w:numId w:val="2"/>
        </w:numPr>
        <w:spacing w:after="40"/>
      </w:pPr>
      <w:r>
        <w:rPr>
          <w:rFonts w:ascii="Arial" w:cs="Arial" w:eastAsia="Arial" w:hAnsi="Arial"/>
          <w:sz w:val="22"/>
          <w:szCs w:val="22"/>
        </w:rPr>
        <w:t xml:space="preserve">Edge protection and guardrails</w:t>
      </w:r>
    </w:p>
    <w:p>
      <w:pPr>
        <w:pStyle w:val="ListParagraph"/>
        <w:numPr>
          <w:ilvl w:val="0"/>
          <w:numId w:val="2"/>
        </w:numPr>
        <w:spacing w:after="40"/>
      </w:pPr>
      <w:r>
        <w:rPr>
          <w:rFonts w:ascii="Arial" w:cs="Arial" w:eastAsia="Arial" w:hAnsi="Arial"/>
          <w:sz w:val="22"/>
          <w:szCs w:val="22"/>
        </w:rPr>
        <w:t xml:space="preserve">Temporary drainage and diversion works</w:t>
      </w:r>
    </w:p>
    <w:p>
      <w:pPr>
        <w:pStyle w:val="ListParagraph"/>
        <w:numPr>
          <w:ilvl w:val="0"/>
          <w:numId w:val="2"/>
        </w:numPr>
        <w:spacing w:after="40"/>
      </w:pPr>
      <w:r>
        <w:rPr>
          <w:rFonts w:ascii="Arial" w:cs="Arial" w:eastAsia="Arial" w:hAnsi="Arial"/>
          <w:sz w:val="22"/>
          <w:szCs w:val="22"/>
        </w:rPr>
        <w:t xml:space="preserve">Hoardings and site fencing (where structurally significant)</w:t>
      </w:r>
    </w:p>
    <w:p>
      <w:pPr>
        <w:pStyle w:val="ListParagraph"/>
        <w:numPr>
          <w:ilvl w:val="0"/>
          <w:numId w:val="2"/>
        </w:numPr>
        <w:spacing w:after="40"/>
      </w:pPr>
      <w:r>
        <w:rPr>
          <w:rFonts w:ascii="Arial" w:cs="Arial" w:eastAsia="Arial" w:hAnsi="Arial"/>
          <w:sz w:val="22"/>
          <w:szCs w:val="22"/>
        </w:rPr>
        <w:t xml:space="preserve">Temporary steelwork and bracing</w:t>
      </w:r>
    </w:p>
    <w:p>
      <w:pPr>
        <w:pStyle w:val="Heading1"/>
        <w:spacing w:after="100" w:before="300"/>
      </w:pPr>
      <w:r>
        <w:t xml:space="preserve">Section 2: Why Temporary Works Matter</w:t>
      </w:r>
    </w:p>
    <w:p>
      <w:pPr>
        <w:spacing w:after="80"/>
      </w:pPr>
      <w:r>
        <w:rPr>
          <w:rFonts w:ascii="Arial" w:cs="Arial" w:eastAsia="Arial" w:hAnsi="Arial"/>
          <w:sz w:val="22"/>
          <w:szCs w:val="22"/>
        </w:rPr>
        <w:t xml:space="preserve">Temporary works failures have caused some of the most serious incidents in UK construction. Failures can result in structural collapse, serious injury, and fatalities. Every person on site has a role in ensuring temporary works are properly designed, installed, inspected, and maintained.</w:t>
      </w:r>
    </w:p>
    <w:p>
      <w:pPr>
        <w:pStyle w:val="Heading1"/>
        <w:spacing w:after="100" w:before="300"/>
      </w:pPr>
      <w:r>
        <w:t xml:space="preserve">Section 3: Key Roles and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6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Responsibilities</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Temporary Works Coordinator (TWC)</w:t>
            </w:r>
          </w:p>
        </w:tc>
        <w:tc>
          <w:tcPr>
            <w:tcW w:type="dxa" w:w="67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Manages the TW process on site. Maintains the TW register. Ensures designs are checked and approved. Issues permits. Arranges inspections.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Temporary Works Designer</w:t>
            </w:r>
          </w:p>
        </w:tc>
        <w:tc>
          <w:tcPr>
            <w:tcW w:type="dxa" w:w="6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Produces the temporary works design including drawings and calculations. Must be competent and suitably qualified.</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Checker</w:t>
            </w:r>
          </w:p>
        </w:tc>
        <w:tc>
          <w:tcPr>
            <w:tcW w:type="dxa" w:w="67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Independently checks the TW design. Must be independent of the designer and suitably qualified.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Temporary Works Supervisor</w:t>
            </w:r>
          </w:p>
        </w:tc>
        <w:tc>
          <w:tcPr>
            <w:tcW w:type="dxa" w:w="6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Supervises the erection, use, maintenance, and dismantling of temporary works on site. Reports to TWC.</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Site Personnel</w:t>
            </w:r>
          </w:p>
        </w:tc>
        <w:tc>
          <w:tcPr>
            <w:tcW w:type="dxa" w:w="67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Must not alter, overload, or remove temporary works without authorisation. Must report any damage or defects immediately to the supervisor or TWC.</w:t>
            </w:r>
          </w:p>
        </w:tc>
      </w:tr>
    </w:tbl>
    <w:p>
      <w:pPr>
        <w:pStyle w:val="Heading1"/>
        <w:spacing w:after="100" w:before="300"/>
      </w:pPr>
      <w:r>
        <w:t xml:space="preserve">Section 4: The Temporary Works Process (BS 5975)</w:t>
      </w:r>
    </w:p>
    <w:p>
      <w:pPr>
        <w:spacing w:after="40"/>
      </w:pPr>
      <w:r>
        <w:rPr>
          <w:rFonts w:ascii="Arial" w:cs="Arial" w:eastAsia="Arial" w:hAnsi="Arial"/>
          <w:sz w:val="22"/>
          <w:szCs w:val="22"/>
        </w:rPr>
        <w:t xml:space="preserve">1. Identify the need for temporary works and register on the TW Register</w:t>
      </w:r>
    </w:p>
    <w:p>
      <w:pPr>
        <w:spacing w:after="40"/>
      </w:pPr>
      <w:r>
        <w:rPr>
          <w:rFonts w:ascii="Arial" w:cs="Arial" w:eastAsia="Arial" w:hAnsi="Arial"/>
          <w:sz w:val="22"/>
          <w:szCs w:val="22"/>
        </w:rPr>
        <w:t xml:space="preserve">2. Appoint a competent designer and independent design checker</w:t>
      </w:r>
    </w:p>
    <w:p>
      <w:pPr>
        <w:spacing w:after="40"/>
      </w:pPr>
      <w:r>
        <w:rPr>
          <w:rFonts w:ascii="Arial" w:cs="Arial" w:eastAsia="Arial" w:hAnsi="Arial"/>
          <w:sz w:val="22"/>
          <w:szCs w:val="22"/>
        </w:rPr>
        <w:t xml:space="preserve">3. Design and check the temporary works</w:t>
      </w:r>
    </w:p>
    <w:p>
      <w:pPr>
        <w:spacing w:after="40"/>
      </w:pPr>
      <w:r>
        <w:rPr>
          <w:rFonts w:ascii="Arial" w:cs="Arial" w:eastAsia="Arial" w:hAnsi="Arial"/>
          <w:sz w:val="22"/>
          <w:szCs w:val="22"/>
        </w:rPr>
        <w:t xml:space="preserve">4. Brief the installation team on the design and method of erection</w:t>
      </w:r>
    </w:p>
    <w:p>
      <w:pPr>
        <w:spacing w:after="40"/>
      </w:pPr>
      <w:r>
        <w:rPr>
          <w:rFonts w:ascii="Arial" w:cs="Arial" w:eastAsia="Arial" w:hAnsi="Arial"/>
          <w:sz w:val="22"/>
          <w:szCs w:val="22"/>
        </w:rPr>
        <w:t xml:space="preserve">5. Install the temporary works in accordance with the design</w:t>
      </w:r>
    </w:p>
    <w:p>
      <w:pPr>
        <w:spacing w:after="40"/>
      </w:pPr>
      <w:r>
        <w:rPr>
          <w:rFonts w:ascii="Arial" w:cs="Arial" w:eastAsia="Arial" w:hAnsi="Arial"/>
          <w:sz w:val="22"/>
          <w:szCs w:val="22"/>
        </w:rPr>
        <w:t xml:space="preserve">6. Inspect and issue a permit to load (TWC to approve before use)</w:t>
      </w:r>
    </w:p>
    <w:p>
      <w:pPr>
        <w:spacing w:after="40"/>
      </w:pPr>
      <w:r>
        <w:rPr>
          <w:rFonts w:ascii="Arial" w:cs="Arial" w:eastAsia="Arial" w:hAnsi="Arial"/>
          <w:sz w:val="22"/>
          <w:szCs w:val="22"/>
        </w:rPr>
        <w:t xml:space="preserve">7. Monitor, inspect, and maintain during use</w:t>
      </w:r>
    </w:p>
    <w:p>
      <w:pPr>
        <w:spacing w:after="40"/>
      </w:pPr>
      <w:r>
        <w:rPr>
          <w:rFonts w:ascii="Arial" w:cs="Arial" w:eastAsia="Arial" w:hAnsi="Arial"/>
          <w:sz w:val="22"/>
          <w:szCs w:val="22"/>
        </w:rPr>
        <w:t xml:space="preserve">8. Dismantle only when authorised by the TWC and the permanent works can support themselves</w:t>
      </w:r>
    </w:p>
    <w:p>
      <w:pPr>
        <w:spacing w:after="40"/>
      </w:pPr>
      <w:r>
        <w:rPr>
          <w:rFonts w:ascii="Arial" w:cs="Arial" w:eastAsia="Arial" w:hAnsi="Arial"/>
          <w:sz w:val="22"/>
          <w:szCs w:val="22"/>
        </w:rPr>
        <w:t xml:space="preserve">9. Complete the TW Register entry and close out</w:t>
      </w:r>
    </w:p>
    <w:p>
      <w:pPr>
        <w:pStyle w:val="Heading1"/>
        <w:spacing w:after="100" w:before="300"/>
      </w:pPr>
      <w:r>
        <w:t xml:space="preserve">Section 5: Your Responsibilities on Site</w:t>
      </w:r>
    </w:p>
    <w:p>
      <w:pPr>
        <w:pStyle w:val="ListParagraph"/>
        <w:numPr>
          <w:ilvl w:val="0"/>
          <w:numId w:val="2"/>
        </w:numPr>
        <w:spacing w:after="40"/>
      </w:pPr>
      <w:r>
        <w:rPr>
          <w:rFonts w:ascii="Arial" w:cs="Arial" w:eastAsia="Arial" w:hAnsi="Arial"/>
          <w:sz w:val="22"/>
          <w:szCs w:val="22"/>
        </w:rPr>
        <w:t xml:space="preserve">Never alter, remove, or interfere with any temporary works without the TWC’s approval</w:t>
      </w:r>
    </w:p>
    <w:p>
      <w:pPr>
        <w:pStyle w:val="ListParagraph"/>
        <w:numPr>
          <w:ilvl w:val="0"/>
          <w:numId w:val="2"/>
        </w:numPr>
        <w:spacing w:after="40"/>
      </w:pPr>
      <w:r>
        <w:rPr>
          <w:rFonts w:ascii="Arial" w:cs="Arial" w:eastAsia="Arial" w:hAnsi="Arial"/>
          <w:sz w:val="22"/>
          <w:szCs w:val="22"/>
        </w:rPr>
        <w:t xml:space="preserve">Never overload temporary works beyond their designed capacity</w:t>
      </w:r>
    </w:p>
    <w:p>
      <w:pPr>
        <w:pStyle w:val="ListParagraph"/>
        <w:numPr>
          <w:ilvl w:val="0"/>
          <w:numId w:val="2"/>
        </w:numPr>
        <w:spacing w:after="40"/>
      </w:pPr>
      <w:r>
        <w:rPr>
          <w:rFonts w:ascii="Arial" w:cs="Arial" w:eastAsia="Arial" w:hAnsi="Arial"/>
          <w:sz w:val="22"/>
          <w:szCs w:val="22"/>
        </w:rPr>
        <w:t xml:space="preserve">Report any damage, defects, or concerns about temporary works immediately</w:t>
      </w:r>
    </w:p>
    <w:p>
      <w:pPr>
        <w:pStyle w:val="ListParagraph"/>
        <w:numPr>
          <w:ilvl w:val="0"/>
          <w:numId w:val="2"/>
        </w:numPr>
        <w:spacing w:after="40"/>
      </w:pPr>
      <w:r>
        <w:rPr>
          <w:rFonts w:ascii="Arial" w:cs="Arial" w:eastAsia="Arial" w:hAnsi="Arial"/>
          <w:sz w:val="22"/>
          <w:szCs w:val="22"/>
        </w:rPr>
        <w:t xml:space="preserve">Do not use temporary works as access or storage unless specifically designed for that purpose</w:t>
      </w:r>
    </w:p>
    <w:p>
      <w:pPr>
        <w:pStyle w:val="ListParagraph"/>
        <w:numPr>
          <w:ilvl w:val="0"/>
          <w:numId w:val="2"/>
        </w:numPr>
        <w:spacing w:after="40"/>
      </w:pPr>
      <w:r>
        <w:rPr>
          <w:rFonts w:ascii="Arial" w:cs="Arial" w:eastAsia="Arial" w:hAnsi="Arial"/>
          <w:sz w:val="22"/>
          <w:szCs w:val="22"/>
        </w:rPr>
        <w:t xml:space="preserve">Follow the method statement and any specific instructions from the TWC or Supervisor</w:t>
      </w:r>
    </w:p>
    <w:p>
      <w:pPr>
        <w:pStyle w:val="ListParagraph"/>
        <w:numPr>
          <w:ilvl w:val="0"/>
          <w:numId w:val="2"/>
        </w:numPr>
        <w:spacing w:after="40"/>
      </w:pPr>
      <w:r>
        <w:rPr>
          <w:rFonts w:ascii="Arial" w:cs="Arial" w:eastAsia="Arial" w:hAnsi="Arial"/>
          <w:sz w:val="22"/>
          <w:szCs w:val="22"/>
        </w:rPr>
        <w:t xml:space="preserve">Understand which temporary works are present in your work area</w:t>
      </w:r>
    </w:p>
    <w:p>
      <w:pPr>
        <w:pStyle w:val="ListParagraph"/>
        <w:numPr>
          <w:ilvl w:val="0"/>
          <w:numId w:val="2"/>
        </w:numPr>
        <w:spacing w:after="40"/>
      </w:pPr>
      <w:r>
        <w:rPr>
          <w:rFonts w:ascii="Arial" w:cs="Arial" w:eastAsia="Arial" w:hAnsi="Arial"/>
          <w:sz w:val="22"/>
          <w:szCs w:val="22"/>
        </w:rPr>
        <w:t xml:space="preserve">Ask your supervisor if you are unsure whether something is a temporary work</w:t>
      </w:r>
    </w:p>
    <w:p>
      <w:pPr>
        <w:pStyle w:val="Heading1"/>
        <w:spacing w:after="100" w:before="300"/>
      </w:pPr>
      <w:r>
        <w:t xml:space="preserve">Attendee Register</w:t>
      </w:r>
    </w:p>
    <w:p>
      <w:pPr>
        <w:spacing w:after="100"/>
      </w:pPr>
      <w:r>
        <w:rPr>
          <w:rFonts w:ascii="Arial" w:cs="Arial" w:eastAsia="Arial" w:hAnsi="Arial"/>
          <w:i/>
          <w:iCs/>
          <w:color w:val="555555"/>
          <w:sz w:val="20"/>
          <w:szCs w:val="20"/>
        </w:rPr>
        <w:t xml:space="preserve">All persons attending this briefing must sign below to confirm they have understood the content and their responsibilities regarding temporary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1806"/>
        <w:gridCol w:w="14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 (Print)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 / Role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306"/>
        <w:gridCol w:w="2047"/>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4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Briefing Delivered By</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Temporary Works Coordinator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r>
        <w:rPr>
          <w:rFonts w:ascii="Arial" w:cs="Arial" w:eastAsia="Arial" w:hAnsi="Arial"/>
          <w:i/>
          <w:iCs/>
          <w:color w:val="555555"/>
          <w:sz w:val="18"/>
          <w:szCs w:val="18"/>
        </w:rPr>
        <w:t xml:space="preserve">Regulatory References: BS 5975:2019 (Code of Practice for Temporary Works), CDM 2015, CIRIA C779 (Temporary Works: Principles of Design and Construction).</w:t>
      </w:r>
    </w:p>
    <w:p>
      <w:pPr>
        <w:pStyle w:val="Heading1"/>
        <w:spacing w:after="100" w:before="300"/>
      </w:pPr>
      <w: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Temporary Works Awareness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Awareness Briefing</dc:title>
  <dc:subject>UK Construction Template</dc:subject>
  <dc:creator>ebrora.com</dc:creator>
  <cp:keywords>construction, template, UK, temporary works, awareness, briefing, BS 5975, TWC, CDM</cp:keywords>
  <dc:description>Free UK construction template by Ebrora. Download more at ebrora.com</dc:description>
  <cp:lastModifiedBy>ebrora.com</cp:lastModifiedBy>
  <cp:revision>1</cp:revision>
  <dcterms:created xsi:type="dcterms:W3CDTF">2026-04-03T18:38:13.519Z</dcterms:created>
  <dcterms:modified xsi:type="dcterms:W3CDTF">2026-04-03T18:38:13.520Z</dcterms:modified>
</cp:coreProperties>
</file>

<file path=docProps/custom.xml><?xml version="1.0" encoding="utf-8"?>
<Properties xmlns="http://schemas.openxmlformats.org/officeDocument/2006/custom-properties" xmlns:vt="http://schemas.openxmlformats.org/officeDocument/2006/docPropsVTypes"/>
</file>