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COSHH Substance Briefing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</w:tbl>
    <w:p>
      <w:pPr>
        <w:pStyle w:val="Heading1"/>
        <w:spacing w:after="100" w:before="300"/>
      </w:pPr>
      <w:r>
        <w:t xml:space="preserve">Substance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Substance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product / substance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SDS Reference: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SDS reference and date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COSHH Assessment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COSHH assessment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Activity / Task: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activity requiring use of this substance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Hazard Classification: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GHS hazard statements (e.g. H315 Skin irritation, H332 Harmful if inhaled)</w:t>
            </w:r>
          </w:p>
        </w:tc>
      </w:tr>
    </w:tbl>
    <w:p>
      <w:pPr>
        <w:pStyle w:val="Heading1"/>
        <w:spacing w:after="100" w:before="300"/>
      </w:pPr>
      <w:r>
        <w:t xml:space="preserve">Briefing Topics Covered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6"/>
        <w:gridCol w:w="8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Substance name, manufacturer, and product code identified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Hazard pictograms and signal word (Danger / Warning) explained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hazards: routes of exposure (inhalation, skin contact, ingestion, eye contact)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Short-term health effects (irritation, burns, nausea, dizziness)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Long-term health effects (sensitisation, cancer, organ damage) if applicable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Workplace Exposure Limits (WEL) explained where relevant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Safer alternatives considered and why this substance is being used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measures: engineering controls (LEV, enclosure, ventilation)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measures: safe working practices (quantity limits, application method)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required: respiratory protection type and filter rating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required: gloves (type, material, breakthrough time)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required: eye protection, skin protection, overalls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 requirements (temperature, ventilation, segregation, bunding)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 handling procedures and maximum quantities in work area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procedures: first aid for inhalation, skin, eye, and ingestion exposure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procedures: spill containment and clean-up method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disposal requirements for substance and contaminated materials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of Safety Data Sheet (SDS) and COSHH assessment on site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surveillance requirements (if applicable)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6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Prohibition on eating, drinking, and smoking in work area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Attendee Register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persons who will use, handle, or may be exposed to this substance must sign below to confirm they have been briefed and understand the hazards and controls.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806"/>
        <w:gridCol w:w="14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References: COSHH Regulations 2002, CLP Regulation (EC 1272/2008), HSE EH40 (Workplace Exposure Limits), CDM 2015.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COSHH Substance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COSHH Substance Briefing Record</dc:title>
  <dc:subject>UK Construction Template</dc:subject>
  <dc:creator>ebrora.com</dc:creator>
  <cp:keywords>construction, template, UK, COSHH, substance briefing, hazardous substance, safety data sheet, chemical safety</cp:keywords>
  <dc:description>Free UK construction template by Ebrora. Download more at ebrora.com</dc:description>
  <cp:lastModifiedBy>ebrora.com</cp:lastModifiedBy>
  <cp:revision>1</cp:revision>
  <dcterms:created xsi:type="dcterms:W3CDTF">2026-04-03T20:13:54.347Z</dcterms:created>
  <dcterms:modified xsi:type="dcterms:W3CDTF">2026-04-03T20:13:54.348Z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