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Pollution Prevention Method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revision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Describe the work activity covered by this method statement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1. Scope and Purpose</w:t>
      </w:r>
    </w:p>
    <w:p>
      <w:pPr>
        <w:spacing w:after="120"/>
      </w:pPr>
      <w:r>
        <w:rPr>
          <w:rFonts w:ascii="Arial" w:cs="Arial" w:eastAsia="Arial" w:hAnsi="Arial"/>
          <w:color w:val="888888"/>
          <w:sz w:val="22"/>
          <w:szCs w:val="22"/>
        </w:rPr>
        <w:t xml:space="preserve">This Pollution Prevention Method Statement describes the measures to be implemented during [describe activity] to prevent pollution of the environment. It addresses potential risks to surface water, groundwater, land, and air quality, and sets out the controls and emergency procedures to be followed.</w:t>
      </w:r>
    </w:p>
    <w:p>
      <w:pPr>
        <w:spacing w:after="120"/>
      </w:pPr>
      <w:r>
        <w:rPr>
          <w:rFonts w:ascii="Arial" w:cs="Arial" w:eastAsia="Arial" w:hAnsi="Arial"/>
          <w:color w:val="888888"/>
          <w:sz w:val="22"/>
          <w:szCs w:val="22"/>
        </w:rPr>
        <w:t xml:space="preserve">This method statement shall be read in conjunction with the project Construction Environmental Management Plan (CEMP), the site Emergency Response Plan, and relevant regulatory guidance including the Environment Agency’s Pollution Prevention Guidelines.</w:t>
      </w:r>
    </w:p>
    <w:p>
      <w:pPr>
        <w:pStyle w:val="Heading1"/>
      </w:pPr>
      <w:r>
        <w:rPr>
          <w:rFonts w:ascii="Arial" w:cs="Arial" w:eastAsia="Arial" w:hAnsi="Arial"/>
          <w:b/>
          <w:bCs/>
          <w:color w:val="1B2A4A"/>
          <w:sz w:val="32"/>
          <w:szCs w:val="32"/>
        </w:rPr>
        <w:t xml:space="preserve">2. Environmental Setting and Sensitive Receptors</w:t>
      </w:r>
    </w:p>
    <w:p>
      <w:pPr>
        <w:spacing w:after="120"/>
      </w:pPr>
      <w:r>
        <w:rPr>
          <w:rFonts w:ascii="Arial" w:cs="Arial" w:eastAsia="Arial" w:hAnsi="Arial"/>
          <w:color w:val="888888"/>
          <w:sz w:val="22"/>
          <w:szCs w:val="22"/>
        </w:rPr>
        <w:t xml:space="preserve">Describe the environmental setting of the site and identify sensitive receptors that could be affected by pollution from the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Watercourse: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distance (m) from works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Groundwater Vulnerability: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High / Medium / Low / Not classified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Source Protection Zone: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SPZ 1 / SPZ 2 / SPZ 3 / Not in SPZ</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Protected Areas: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SSSI / SAC / SPA / Ramsar / None within 500m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Flood Zone: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Zone 1 / Zone 2 / Zone 3a / Zone 3b</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Surface Drainage: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Combined / Separate / Soakaway / Direct to watercourse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Residential Receptor: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distance (m) and direction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Contaminated Land: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Known contamination? Yes / No – describe</w:t>
            </w:r>
          </w:p>
        </w:tc>
      </w:tr>
    </w:tbl>
    <w:p>
      <w:pPr>
        <w:spacing w:after="200"/>
      </w:pPr>
    </w:p>
    <w:p>
      <w:pPr>
        <w:pStyle w:val="Heading1"/>
      </w:pPr>
      <w:r>
        <w:rPr>
          <w:rFonts w:ascii="Arial" w:cs="Arial" w:eastAsia="Arial" w:hAnsi="Arial"/>
          <w:b/>
          <w:bCs/>
          <w:color w:val="1B2A4A"/>
          <w:sz w:val="32"/>
          <w:szCs w:val="32"/>
        </w:rPr>
        <w:t xml:space="preserve">3. Pollution Risk Assessment</w:t>
      </w:r>
    </w:p>
    <w:p>
      <w:pPr>
        <w:spacing w:after="120"/>
      </w:pPr>
      <w:r>
        <w:rPr>
          <w:rFonts w:ascii="Arial" w:cs="Arial" w:eastAsia="Arial" w:hAnsi="Arial"/>
          <w:color w:val="888888"/>
          <w:sz w:val="22"/>
          <w:szCs w:val="22"/>
        </w:rPr>
        <w:t xml:space="preserve">Identify the pollution risks associated with this activity and the control measures to be implemented.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2000"/>
        <w:gridCol w:w="1400"/>
        <w:gridCol w:w="13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Pollution Risk</w:t>
            </w:r>
          </w:p>
        </w:tc>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Receptor</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Control Measure</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Responsible</w:t>
            </w:r>
          </w:p>
        </w:tc>
        <w:tc>
          <w:tcPr>
            <w:tcW w:type="dxa" w:w="1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Monitoring</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Oil and fuel spills from plant and machinery</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 / Land</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Hydraulic fluid leaks from plant</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 / Land</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Cement / concrete washout and alkaline runoff</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Silt-laden runoff from earthworks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Chemical spills (paints, solvents, adhesives, COSHH substances)</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 / Land</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Dust emissions from cutting, grinding, demolition, or earthworks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Air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Uncontrolled surface water discharge from dewatering</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Contaminated groundwater from excavation dewatering</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w:t>
            </w:r>
          </w:p>
        </w:tc>
        <w:tc>
          <w:tcPr>
            <w:tcW w:type="dxa" w:w="2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Waste materials entering drains or watercourses</w:t>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Water</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2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Noise and vibration affecting sensitive receptors</w:t>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Nuisance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4. Pollution Prevention Control Measures</w:t>
      </w:r>
    </w:p>
    <w:p>
      <w:pPr>
        <w:pStyle w:val="Heading2"/>
      </w:pPr>
      <w:r>
        <w:rPr>
          <w:rFonts w:ascii="Arial" w:cs="Arial" w:eastAsia="Arial" w:hAnsi="Arial"/>
          <w:b/>
          <w:bCs/>
          <w:color w:val="333333"/>
          <w:sz w:val="26"/>
          <w:szCs w:val="26"/>
        </w:rPr>
        <w:t xml:space="preserve">4.1 Oil and Fuel Management</w:t>
      </w:r>
    </w:p>
    <w:p>
      <w:pPr>
        <w:spacing w:after="120"/>
      </w:pPr>
      <w:r>
        <w:rPr>
          <w:rFonts w:ascii="Arial" w:cs="Arial" w:eastAsia="Arial" w:hAnsi="Arial"/>
          <w:color w:val="888888"/>
          <w:sz w:val="22"/>
          <w:szCs w:val="22"/>
        </w:rPr>
        <w:t xml:space="preserve">All fuel, oil, and chemical storage shall comply with the Control of Pollution (Oil Storage) (England) Regulations 2001. Fuel shall be stored in double-skinned or bunded tanks with 110% containment capacity. All plant shall be fitted with drip trays. Refuelling shall only take place in designated areas away from drains and watercourses. Spill kits shall be located at all fuel storage points, refuelling areas, and within plant cabs.</w:t>
      </w:r>
    </w:p>
    <w:p>
      <w:pPr>
        <w:pStyle w:val="Heading2"/>
      </w:pPr>
      <w:r>
        <w:rPr>
          <w:rFonts w:ascii="Arial" w:cs="Arial" w:eastAsia="Arial" w:hAnsi="Arial"/>
          <w:b/>
          <w:bCs/>
          <w:color w:val="333333"/>
          <w:sz w:val="26"/>
          <w:szCs w:val="26"/>
        </w:rPr>
        <w:t xml:space="preserve">4.2 Silt and Sediment Control</w:t>
      </w:r>
    </w:p>
    <w:p>
      <w:pPr>
        <w:spacing w:after="120"/>
      </w:pPr>
      <w:r>
        <w:rPr>
          <w:rFonts w:ascii="Arial" w:cs="Arial" w:eastAsia="Arial" w:hAnsi="Arial"/>
          <w:color w:val="888888"/>
          <w:sz w:val="22"/>
          <w:szCs w:val="22"/>
        </w:rPr>
        <w:t xml:space="preserve">Silt fences, settlement tanks/lagoons, and surface water cut-off ditches shall be installed prior to commencement of earthworks. All surface water shall be treated through settlement before discharge. Discharge shall only be made under a valid Environmental Permit or Regulatory Position Statement from the Environment Agency. Silt controls shall be inspected daily and after heavy rainfall.</w:t>
      </w:r>
    </w:p>
    <w:p>
      <w:pPr>
        <w:pStyle w:val="Heading2"/>
      </w:pPr>
      <w:r>
        <w:rPr>
          <w:rFonts w:ascii="Arial" w:cs="Arial" w:eastAsia="Arial" w:hAnsi="Arial"/>
          <w:b/>
          <w:bCs/>
          <w:color w:val="333333"/>
          <w:sz w:val="26"/>
          <w:szCs w:val="26"/>
        </w:rPr>
        <w:t xml:space="preserve">4.3 Concrete and Cement</w:t>
      </w:r>
    </w:p>
    <w:p>
      <w:pPr>
        <w:spacing w:after="120"/>
      </w:pPr>
      <w:r>
        <w:rPr>
          <w:rFonts w:ascii="Arial" w:cs="Arial" w:eastAsia="Arial" w:hAnsi="Arial"/>
          <w:color w:val="888888"/>
          <w:sz w:val="22"/>
          <w:szCs w:val="22"/>
        </w:rPr>
        <w:t xml:space="preserve">Concrete washout shall only take place in designated lined washout areas. No washout shall be permitted on open ground or near drains or watercourses. Cement bags shall be stored under cover and empty bags disposed of correctly. Wet concrete and grout shall be prevented from entering any drain or watercourse.</w:t>
      </w:r>
    </w:p>
    <w:p>
      <w:pPr>
        <w:pStyle w:val="Heading2"/>
      </w:pPr>
      <w:r>
        <w:rPr>
          <w:rFonts w:ascii="Arial" w:cs="Arial" w:eastAsia="Arial" w:hAnsi="Arial"/>
          <w:b/>
          <w:bCs/>
          <w:color w:val="333333"/>
          <w:sz w:val="26"/>
          <w:szCs w:val="26"/>
        </w:rPr>
        <w:t xml:space="preserve">4.4 Chemical Storage and Handling</w:t>
      </w:r>
    </w:p>
    <w:p>
      <w:pPr>
        <w:spacing w:after="120"/>
      </w:pPr>
      <w:r>
        <w:rPr>
          <w:rFonts w:ascii="Arial" w:cs="Arial" w:eastAsia="Arial" w:hAnsi="Arial"/>
          <w:color w:val="888888"/>
          <w:sz w:val="22"/>
          <w:szCs w:val="22"/>
        </w:rPr>
        <w:t xml:space="preserve">All chemicals shall be stored in accordance with their COSHH assessment and Safety Data Sheet requirements. Secondary containment (bunding or drip trays) shall be provided. Incompatible chemicals shall be stored separately. An inventory of all chemicals stored on site shall be maintained.</w:t>
      </w:r>
    </w:p>
    <w:p>
      <w:pPr>
        <w:pStyle w:val="Heading2"/>
      </w:pPr>
      <w:r>
        <w:rPr>
          <w:rFonts w:ascii="Arial" w:cs="Arial" w:eastAsia="Arial" w:hAnsi="Arial"/>
          <w:b/>
          <w:bCs/>
          <w:color w:val="333333"/>
          <w:sz w:val="26"/>
          <w:szCs w:val="26"/>
        </w:rPr>
        <w:t xml:space="preserve">4.5 Dust Suppression</w:t>
      </w:r>
    </w:p>
    <w:p>
      <w:pPr>
        <w:spacing w:after="120"/>
      </w:pPr>
      <w:r>
        <w:rPr>
          <w:rFonts w:ascii="Arial" w:cs="Arial" w:eastAsia="Arial" w:hAnsi="Arial"/>
          <w:color w:val="888888"/>
          <w:sz w:val="22"/>
          <w:szCs w:val="22"/>
        </w:rPr>
        <w:t xml:space="preserve">Dust suppression measures shall be implemented in accordance with the project Dust Management Plan. These include: water dampening of haul roads, enclosure of cutting and grinding operations, use of dust screens, wheel wash facilities, and covering of stockpiles and vehicles.</w:t>
      </w:r>
    </w:p>
    <w:p>
      <w:pPr>
        <w:pStyle w:val="Heading2"/>
      </w:pPr>
      <w:r>
        <w:rPr>
          <w:rFonts w:ascii="Arial" w:cs="Arial" w:eastAsia="Arial" w:hAnsi="Arial"/>
          <w:b/>
          <w:bCs/>
          <w:color w:val="333333"/>
          <w:sz w:val="26"/>
          <w:szCs w:val="26"/>
        </w:rPr>
        <w:t xml:space="preserve">4.6 Drain Protection</w:t>
      </w:r>
    </w:p>
    <w:p>
      <w:pPr>
        <w:spacing w:after="120"/>
      </w:pPr>
      <w:r>
        <w:rPr>
          <w:rFonts w:ascii="Arial" w:cs="Arial" w:eastAsia="Arial" w:hAnsi="Arial"/>
          <w:color w:val="888888"/>
          <w:sz w:val="22"/>
          <w:szCs w:val="22"/>
        </w:rPr>
        <w:t xml:space="preserve">All surface drains within the works area shall be identified and marked on site. Drain covers, neoprene mats, or sandbag surrounds shall be installed to prevent pollutants entering the drainage system. Drain protection shall be inspected daily.</w:t>
      </w:r>
    </w:p>
    <w:p>
      <w:r>
        <w:br w:type="page"/>
      </w:r>
    </w:p>
    <w:p>
      <w:pPr>
        <w:pStyle w:val="Heading1"/>
      </w:pPr>
      <w:r>
        <w:rPr>
          <w:rFonts w:ascii="Arial" w:cs="Arial" w:eastAsia="Arial" w:hAnsi="Arial"/>
          <w:b/>
          <w:bCs/>
          <w:color w:val="1B2A4A"/>
          <w:sz w:val="32"/>
          <w:szCs w:val="32"/>
        </w:rPr>
        <w:t xml:space="preserve">5. Pollution Incident Emergency Response</w:t>
      </w:r>
    </w:p>
    <w:p>
      <w:pPr>
        <w:spacing w:after="120"/>
      </w:pPr>
      <w:r>
        <w:rPr>
          <w:rFonts w:ascii="Arial" w:cs="Arial" w:eastAsia="Arial" w:hAnsi="Arial"/>
          <w:color w:val="888888"/>
          <w:sz w:val="22"/>
          <w:szCs w:val="22"/>
        </w:rPr>
        <w:t xml:space="preserve">In the event of a pollution incident, the following procedure shall be followed: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87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8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1</w:t>
            </w:r>
          </w:p>
        </w:tc>
        <w:tc>
          <w:tcPr>
            <w:tcW w:type="dxa" w:w="8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STOP the source of pollution immediately where safe to do so (close valves, contain leak, turn off equipment)</w:t>
            </w:r>
          </w:p>
        </w:tc>
      </w:tr>
      <w:tr>
        <w:tc>
          <w:tcPr>
            <w:tcW w:type="dxa" w:w="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2</w:t>
            </w:r>
          </w:p>
        </w:tc>
        <w:tc>
          <w:tcPr>
            <w:tcW w:type="dxa" w:w="8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CONTAIN the spill using nearest spill kit – deploy absorbent booms, pads, or drain mats to prevent spread</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3</w:t>
            </w:r>
          </w:p>
        </w:tc>
        <w:tc>
          <w:tcPr>
            <w:tcW w:type="dxa" w:w="8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PROTECT watercourses and drains – block drains with drain covers or sandbags if pollutant is migrating</w:t>
            </w:r>
          </w:p>
        </w:tc>
      </w:tr>
      <w:tr>
        <w:tc>
          <w:tcPr>
            <w:tcW w:type="dxa" w:w="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4</w:t>
            </w:r>
          </w:p>
        </w:tc>
        <w:tc>
          <w:tcPr>
            <w:tcW w:type="dxa" w:w="8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NOTIFY the Site Manager and Environmental Manager immediately</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5</w:t>
            </w:r>
          </w:p>
        </w:tc>
        <w:tc>
          <w:tcPr>
            <w:tcW w:type="dxa" w:w="8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the incident – time, location, substance, quantity, actions taken, and photographs</w:t>
            </w:r>
          </w:p>
        </w:tc>
      </w:tr>
      <w:tr>
        <w:tc>
          <w:tcPr>
            <w:tcW w:type="dxa" w:w="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6</w:t>
            </w:r>
          </w:p>
        </w:tc>
        <w:tc>
          <w:tcPr>
            <w:tcW w:type="dxa" w:w="8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REPORT to the Environment Agency on 0800 80 70 60 if pollution has entered or threatens a watercourse</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7</w:t>
            </w:r>
          </w:p>
        </w:tc>
        <w:tc>
          <w:tcPr>
            <w:tcW w:type="dxa" w:w="8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CLEAN UP contaminated material and dispose of as hazardous waste through licensed contractor</w:t>
            </w:r>
          </w:p>
        </w:tc>
      </w:tr>
      <w:tr>
        <w:tc>
          <w:tcPr>
            <w:tcW w:type="dxa" w:w="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8</w:t>
            </w:r>
          </w:p>
        </w:tc>
        <w:tc>
          <w:tcPr>
            <w:tcW w:type="dxa" w:w="8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INVESTIGATE root cause and implement corrective actions to prevent recurrence</w:t>
            </w:r>
          </w:p>
        </w:tc>
      </w:tr>
    </w:tbl>
    <w:p>
      <w:pPr>
        <w:spacing w:after="200"/>
      </w:pPr>
    </w:p>
    <w:p>
      <w:pPr>
        <w:pStyle w:val="Heading2"/>
      </w:pPr>
      <w:r>
        <w:rPr>
          <w:rFonts w:ascii="Arial" w:cs="Arial" w:eastAsia="Arial" w:hAnsi="Arial"/>
          <w:b/>
          <w:bCs/>
          <w:color w:val="333333"/>
          <w:sz w:val="26"/>
          <w:szCs w:val="26"/>
        </w:rPr>
        <w:t xml:space="preserve">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Contact</w:t>
            </w:r>
          </w:p>
        </w:tc>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3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Phone Number</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Environmental Manager</w:t>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3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3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Incident Hotline</w:t>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3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 Agency (24hr)</w:t>
            </w:r>
          </w:p>
        </w:tc>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w:t>
            </w:r>
          </w:p>
        </w:tc>
        <w:tc>
          <w:tcPr>
            <w:tcW w:type="dxa" w:w="3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0800 80 70 60</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Natural Resources Wales (24hr)</w:t>
            </w:r>
          </w:p>
        </w:tc>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w:t>
            </w:r>
          </w:p>
        </w:tc>
        <w:tc>
          <w:tcPr>
            <w:tcW w:type="dxa" w:w="3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0300 065 3000</w:t>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SEPA (Scotland)</w:t>
            </w:r>
          </w:p>
        </w:tc>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w:t>
            </w:r>
          </w:p>
        </w:tc>
        <w:tc>
          <w:tcPr>
            <w:tcW w:type="dxa" w:w="3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0800 80 70 60</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Spill Response Contractor</w:t>
            </w:r>
          </w:p>
        </w:tc>
        <w:tc>
          <w:tcPr>
            <w:tcW w:type="dxa" w:w="3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3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6. Monitoring and Inspection</w:t>
      </w:r>
    </w:p>
    <w:p>
      <w:pPr>
        <w:spacing w:after="120"/>
      </w:pPr>
      <w:r>
        <w:rPr>
          <w:rFonts w:ascii="Arial" w:cs="Arial" w:eastAsia="Arial" w:hAnsi="Arial"/>
          <w:color w:val="888888"/>
          <w:sz w:val="22"/>
          <w:szCs w:val="22"/>
        </w:rPr>
        <w:t xml:space="preserve">Environmental monitoring and inspections shall be carried out at the frequencies below to verify that pollution prevention controls are in place and effective.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106"/>
      </w:tblGrid>
      <w:tr>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Inspection / Monitor</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Responsible</w:t>
            </w:r>
          </w:p>
        </w:tc>
        <w:tc>
          <w:tcPr>
            <w:tcW w:type="dxa" w:w="2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Record</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Silt fences and settlement measures</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 + after rain</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Drain protection covers and mats</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Fuel and oil storage bunding</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Spill kit inventory and condition</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Dust monitoring (visual or PM10)</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Surface water visual quality check</w:t>
            </w:r>
          </w:p>
        </w:tc>
        <w:tc>
          <w:tcPr>
            <w:tcW w:type="dxa" w:w="2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Chemical storage compliance</w:t>
            </w:r>
          </w:p>
        </w:tc>
        <w:tc>
          <w:tcPr>
            <w:tcW w:type="dxa" w:w="2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w:t>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7. Approval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Author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 Supervisor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additional notes. Attach site drainage plan, spill kit locations plan, and COSHH register.</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Pollution Prevention Method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Prevention Method Statement</dc:title>
  <dc:subject>UK Construction Template</dc:subject>
  <dc:creator>ebrora.com</dc:creator>
  <cp:keywords>construction, template, UK, pollution prevention, method statement, environmental, spill, watercourse, EA, PPG</cp:keywords>
  <dc:description>Free UK construction template by Ebrora. Download more at ebrora.com</dc:description>
  <cp:lastModifiedBy>ebrora.com</cp:lastModifiedBy>
  <cp:revision>1</cp:revision>
  <dcterms:created xsi:type="dcterms:W3CDTF">2026-04-02T15:32:26.829Z</dcterms:created>
  <dcterms:modified xsi:type="dcterms:W3CDTF">2026-04-02T15:32:26.829Z</dcterms:modified>
</cp:coreProperties>
</file>

<file path=docProps/custom.xml><?xml version="1.0" encoding="utf-8"?>
<Properties xmlns="http://schemas.openxmlformats.org/officeDocument/2006/custom-properties" xmlns:vt="http://schemas.openxmlformats.org/officeDocument/2006/docPropsVTypes"/>
</file>