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Net Zero Construction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Assessment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Leadership, Strategy, and Carbon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700"/>
        <w:gridCol w:w="700"/>
        <w:gridCol w:w="700"/>
        <w:gridCol w:w="1400"/>
        <w:gridCol w:w="17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reduction target established for this project with measurable KPIs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Reduction Action Plan (CRAP) developed and approved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champion / sustainability lead appointed for the project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baseline assessment completed (embodied + operational construction carbon)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 2080 carbon management principles adopted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 chain engaged on carbon reduction requirements at procurement stage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performance included in subcontract KPIs and contract requirements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Design and Embodied Carbon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700"/>
        <w:gridCol w:w="700"/>
        <w:gridCol w:w="700"/>
        <w:gridCol w:w="1400"/>
        <w:gridCol w:w="17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Whole life carbon assessment carried out at design stage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optimised to reduce material quantities (lean design)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Low-carbon material alternatives evaluated and specified where possible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Product Declarations (EPDs) requested for key materials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Cement replacement specified in concrete (GGBS, PFA, limestone) to reduce clinker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Recycled content targets set for steel, aggregates, and other materials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Modular construction or off-site manufacture considered to reduce waste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for deconstruction and material reuse at end of life considered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Site Energy and Plant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700"/>
        <w:gridCol w:w="700"/>
        <w:gridCol w:w="700"/>
        <w:gridCol w:w="1400"/>
        <w:gridCol w:w="17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Mains grid connection achieved as early as possible in the programme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Diesel generators eliminated or minimised – renewable energy tariff procured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HVO (Hydrotreated Vegetable Oil) or biofuel used as diesel alternative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 or hybrid plant specified where available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Anti-idling policy implemented and enforced for all plant and vehicles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energy metering installed on site compounds with monitoring dashboard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 temporary lighting with automatic controls (timers, PIR, daylight sensors)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Solar panels or renewable energy generation on site (where practicable)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Energy-efficient welfare facilities (insulated cabins, heat pumps, solar water heating)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Transport and Logistics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700"/>
        <w:gridCol w:w="700"/>
        <w:gridCol w:w="700"/>
        <w:gridCol w:w="1400"/>
        <w:gridCol w:w="17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sourcing strategy implemented (target materials within 50km)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consolidation centre or booking system to reduce vehicle movements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FORS Silver (minimum) required for all delivery vehicles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 or low-emission last-mile delivery vehicles used where available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 or water transport used for bulk materials (aggregates, steel) where feasible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Travel plan in place for workforce – car sharing, cycling, and public transport encouraged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Telematics / fleet tracking used to monitor fuel consumption and efficiency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Waste Reduction and Circular Economy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700"/>
        <w:gridCol w:w="700"/>
        <w:gridCol w:w="700"/>
        <w:gridCol w:w="1400"/>
        <w:gridCol w:w="17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waste management plan targets &gt;95% diversion from landfill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Waste segregation at source into minimum 8 streams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Cut-and-fill balance achieved to minimise earthworks disposal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Excavated materials reused on site under a Materials Management Plan (CL:AIRE)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Pre-fabrication and off-site manufacture used to minimise site waste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Just-in-time delivery and accurate ordering to reduce over-ordering waste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Take-back schemes used for packaging, pallets, and surplus materials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Demolition materials crushed and reused as aggregate on site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F. Water Efficiency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700"/>
        <w:gridCol w:w="700"/>
        <w:gridCol w:w="700"/>
        <w:gridCol w:w="1400"/>
        <w:gridCol w:w="17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metering installed to monitor site consumption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Rainwater harvesting or recycled water used for dust suppression and wheel wash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Water-efficient welfare facilities (low-flow taps, dual flush, waterless urinals)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Concrete washout water recycled where possible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G. Monitoring, Reporting, and Offsetting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700"/>
        <w:gridCol w:w="700"/>
        <w:gridCol w:w="700"/>
        <w:gridCol w:w="1400"/>
        <w:gridCol w:w="17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carbon reporting to project management team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data collected for fuel, electricity, materials, transport, and waste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dashboard visible on site information boards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Lessons learned on carbon reduction captured and shared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Residual emissions calculated and offset strategy defined (if targeting net zero)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carbon offsets procured from accredited scheme (if applicable)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End-of-project carbon report compiled comparing actual vs baseline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Assessment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Items: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N/A: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(%):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(Yes / (Yes + No)) x 100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Assessor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Environmental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Net Zero Construction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Zero Construction Checklist</dc:title>
  <dc:subject>UK Construction Template</dc:subject>
  <dc:creator>ebrora.com</dc:creator>
  <cp:keywords>construction, template, UK, net zero, checklist, sustainability, carbon, PAS 2080, CO2nstruct Zero</cp:keywords>
  <dc:description>Free UK construction template by Ebrora. Download more at ebrora.com</dc:description>
  <cp:lastModifiedBy>ebrora.com</cp:lastModifiedBy>
  <cp:revision>1</cp:revision>
  <dcterms:created xsi:type="dcterms:W3CDTF">2026-04-02T15:30:51.115Z</dcterms:created>
  <dcterms:modified xsi:type="dcterms:W3CDTF">2026-04-02T15:30:51.116Z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