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2"/>
          <w:szCs w:val="52"/>
        </w:rPr>
        <w:t xml:space="preserve">RIDDOR Decision Tree Flowchart</w:t>
      </w:r>
    </w:p>
    <w:p>
      <w:pPr>
        <w:pBdr>
          <w:bottom w:val="single" w:color="2E75B6" w:sz="8" w:space="6"/>
        </w:pBdr>
        <w:spacing w:after="300"/>
      </w:pPr>
      <w:r>
        <w:rPr>
          <w:rFonts w:ascii="Arial" w:cs="Arial" w:eastAsia="Arial" w:hAnsi="Arial"/>
          <w:color w:val="2E75B6"/>
          <w:sz w:val="24"/>
          <w:szCs w:val="24"/>
        </w:rPr>
        <w:t xml:space="preserve">Health &amp; Safety – Accident and Incident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Revision:</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revision number</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spacing w:after="100" w:before="200"/>
      </w:pPr>
    </w:p>
    <w:p>
      <w:pPr>
        <w:pStyle w:val="Heading1"/>
      </w:pPr>
      <w:r>
        <w:rPr>
          <w:rFonts w:ascii="Arial" w:cs="Arial" w:eastAsia="Arial" w:hAnsi="Arial"/>
          <w:b/>
          <w:bCs/>
          <w:color w:val="1B2A4A"/>
          <w:sz w:val="32"/>
          <w:szCs w:val="32"/>
        </w:rPr>
        <w:t xml:space="preserve">Introduction</w:t>
      </w:r>
    </w:p>
    <w:p>
      <w:pPr>
        <w:spacing w:after="100"/>
      </w:pPr>
      <w:r>
        <w:rPr>
          <w:rFonts w:ascii="Arial" w:cs="Arial" w:eastAsia="Arial" w:hAnsi="Arial"/>
          <w:color w:val="000000"/>
          <w:sz w:val="20"/>
          <w:szCs w:val="20"/>
        </w:rPr>
        <w:t xml:space="preserve">The Reporting of Injuries, Diseases and Dangerous Occurrences Regulations 2013 (RIDDOR) require employers and those in control of premises to report certain workplace accidents, occupational diseases and dangerous occurrences to the HSE.</w:t>
      </w:r>
    </w:p>
    <w:p>
      <w:pPr>
        <w:spacing w:after="100"/>
      </w:pPr>
      <w:r>
        <w:rPr>
          <w:rFonts w:ascii="Arial" w:cs="Arial" w:eastAsia="Arial" w:hAnsi="Arial"/>
          <w:color w:val="000000"/>
          <w:sz w:val="20"/>
          <w:szCs w:val="20"/>
        </w:rPr>
        <w:t xml:space="preserve">This decision tree helps determine whether an incident is reportable under RIDDOR. Reports must be made without delay and in any event within 10 days (or 15 days for over-7-day incapacitation).</w:t>
      </w:r>
    </w:p>
    <w:p>
      <w:pPr>
        <w:spacing w:after="100"/>
      </w:pPr>
      <w:r>
        <w:rPr>
          <w:rFonts w:ascii="Arial" w:cs="Arial" w:eastAsia="Arial" w:hAnsi="Arial"/>
          <w:b/>
          <w:bCs/>
          <w:color w:val="000000"/>
          <w:sz w:val="20"/>
          <w:szCs w:val="20"/>
        </w:rPr>
        <w:t xml:space="preserve">RIDDOR reports are made online at: www.hse.gov.uk/riddor</w:t>
      </w:r>
    </w:p>
    <w:p>
      <w:pPr>
        <w:spacing w:after="100"/>
      </w:pPr>
      <w:r>
        <w:rPr>
          <w:rFonts w:ascii="Arial" w:cs="Arial" w:eastAsia="Arial" w:hAnsi="Arial"/>
          <w:b/>
          <w:bCs/>
          <w:color w:val="000000"/>
          <w:sz w:val="20"/>
          <w:szCs w:val="20"/>
        </w:rPr>
        <w:t xml:space="preserve">HSE Incident Contact Centre: 0345 300 9923</w:t>
      </w:r>
    </w:p>
    <w:p>
      <w:pPr>
        <w:spacing w:after="100" w:before="200"/>
      </w:pPr>
    </w:p>
    <w:p>
      <w:pPr>
        <w:pStyle w:val="Heading1"/>
      </w:pPr>
      <w:r>
        <w:rPr>
          <w:rFonts w:ascii="Arial" w:cs="Arial" w:eastAsia="Arial" w:hAnsi="Arial"/>
          <w:b/>
          <w:bCs/>
          <w:color w:val="1B2A4A"/>
          <w:sz w:val="32"/>
          <w:szCs w:val="32"/>
        </w:rPr>
        <w:t xml:space="preserve">Decision Step 1: Has a Death Occurred?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gridSpan w:val="1"/>
            <w:tcBorders>
              <w:top w:val="single" w:color="BFBFBF" w:sz="1"/>
              <w:left w:val="single" w:color="BFBFBF" w:sz="1"/>
              <w:bottom w:val="single" w:color="BFBFBF" w:sz="1"/>
              <w:right w:val="single" w:color="BFBFBF" w:sz="1"/>
            </w:tcBorders>
            <w:shd w:fill="D6E4F0" w:val="clear"/>
            <w:tcMar>
              <w:top w:type="dxa" w:w="100"/>
              <w:left w:type="dxa" w:w="200"/>
              <w:bottom w:type="dxa" w:w="100"/>
              <w:right w:type="dxa" w:w="200"/>
            </w:tcMar>
            <w:vAlign w:val="center"/>
          </w:tcPr>
          <w:p>
            <w:pPr>
              <w:jc w:val="center"/>
            </w:pPr>
            <w:r>
              <w:rPr>
                <w:rFonts w:ascii="Arial" w:cs="Arial" w:eastAsia="Arial" w:hAnsi="Arial"/>
                <w:b/>
                <w:bCs/>
                <w:color w:val="1B2A4A"/>
                <w:sz w:val="22"/>
                <w:szCs w:val="22"/>
              </w:rPr>
              <w:t xml:space="preserve">Has any person died as a result of a work-related accident?</w:t>
            </w:r>
          </w:p>
        </w:tc>
      </w:tr>
      <w:tr>
        <w:tc>
          <w:tcPr>
            <w:tcW w:type="dxa" w:w="9506"/>
            <w:tcBorders>
              <w:top w:val="none" w:sz="0"/>
              <w:left w:val="none" w:sz="0"/>
              <w:bottom w:val="none" w:sz="0"/>
              <w:right w:val="none" w:sz="0"/>
            </w:tcBorders>
            <w:shd w:fill="FFFFFF" w:val="clear"/>
            <w:tcMar>
              <w:top w:type="dxa" w:w="40"/>
              <w:left w:type="dxa" w:w="200"/>
              <w:bottom w:type="dxa" w:w="40"/>
              <w:right w:type="dxa" w:w="200"/>
            </w:tcMar>
          </w:tcPr>
          <w:p>
            <w:pPr>
              <w:jc w:val="center"/>
            </w:pPr>
            <w:r>
              <w:rPr>
                <w:rFonts w:ascii="Arial" w:cs="Arial" w:eastAsia="Arial" w:hAnsi="Arial"/>
                <w:b/>
                <w:bCs/>
                <w:color w:val="333333"/>
                <w:sz w:val="18"/>
                <w:szCs w:val="18"/>
              </w:rPr>
              <w:t xml:space="preserve">↓ YES</w:t>
            </w:r>
          </w:p>
        </w:tc>
      </w:tr>
      <w:tr>
        <w:tc>
          <w:tcPr>
            <w:tcW w:type="dxa" w:w="9506"/>
            <w:tcBorders>
              <w:top w:val="single" w:color="1B2A4A" w:sz="3"/>
              <w:left w:val="single" w:color="1B2A4A" w:sz="3"/>
              <w:bottom w:val="single" w:color="1B2A4A" w:sz="3"/>
              <w:right w:val="single" w:color="1B2A4A" w:sz="3"/>
            </w:tcBorders>
            <w:shd w:fill="FFCCCC" w:val="clear"/>
            <w:tcMar>
              <w:top w:type="dxa" w:w="100"/>
              <w:left w:type="dxa" w:w="200"/>
              <w:bottom w:type="dxa" w:w="100"/>
              <w:right w:type="dxa" w:w="200"/>
            </w:tcMar>
            <w:vAlign w:val="center"/>
          </w:tcPr>
          <w:p>
            <w:pPr>
              <w:jc w:val="center"/>
            </w:pPr>
            <w:r>
              <w:rPr>
                <w:rFonts w:ascii="Arial" w:cs="Arial" w:eastAsia="Arial" w:hAnsi="Arial"/>
                <w:b/>
                <w:bCs/>
                <w:color w:val="000000"/>
                <w:sz w:val="22"/>
                <w:szCs w:val="22"/>
              </w:rPr>
              <w:t xml:space="preserve">REPORTABLE – Report immediately by telephone to HSE (0345 300 9923) and follow up with online report within 10 days. This includes deaths of workers and non-workers (members of the public).</w:t>
            </w:r>
          </w:p>
        </w:tc>
      </w:tr>
      <w:tr>
        <w:tc>
          <w:tcPr>
            <w:tcW w:type="dxa" w:w="9506"/>
            <w:tcBorders>
              <w:top w:val="none" w:sz="0"/>
              <w:left w:val="none" w:sz="0"/>
              <w:bottom w:val="none" w:sz="0"/>
              <w:right w:val="none" w:sz="0"/>
            </w:tcBorders>
            <w:shd w:fill="FFFFFF" w:val="clear"/>
            <w:tcMar>
              <w:top w:type="dxa" w:w="40"/>
              <w:left w:type="dxa" w:w="200"/>
              <w:bottom w:type="dxa" w:w="40"/>
              <w:right w:type="dxa" w:w="200"/>
            </w:tcMar>
          </w:tcPr>
          <w:p>
            <w:pPr>
              <w:jc w:val="center"/>
            </w:pPr>
            <w:r>
              <w:rPr>
                <w:rFonts w:ascii="Arial" w:cs="Arial" w:eastAsia="Arial" w:hAnsi="Arial"/>
                <w:b/>
                <w:bCs/>
                <w:color w:val="333333"/>
                <w:sz w:val="18"/>
                <w:szCs w:val="18"/>
              </w:rPr>
              <w:t xml:space="preserve">↓ NO – proceed to Step 2</w:t>
            </w:r>
          </w:p>
        </w:tc>
      </w:tr>
    </w:tbl>
    <w:p>
      <w:pPr>
        <w:spacing w:after="100" w:before="200"/>
      </w:pPr>
    </w:p>
    <w:p>
      <w:pPr>
        <w:pStyle w:val="Heading1"/>
      </w:pPr>
      <w:r>
        <w:rPr>
          <w:rFonts w:ascii="Arial" w:cs="Arial" w:eastAsia="Arial" w:hAnsi="Arial"/>
          <w:b/>
          <w:bCs/>
          <w:color w:val="1B2A4A"/>
          <w:sz w:val="32"/>
          <w:szCs w:val="32"/>
        </w:rPr>
        <w:t xml:space="preserve">Decision Step 2: Is It a Specified Injury?</w:t>
      </w:r>
    </w:p>
    <w:p>
      <w:pPr>
        <w:spacing w:after="100"/>
      </w:pPr>
      <w:r>
        <w:rPr>
          <w:rFonts w:ascii="Arial" w:cs="Arial" w:eastAsia="Arial" w:hAnsi="Arial"/>
          <w:color w:val="000000"/>
          <w:sz w:val="20"/>
          <w:szCs w:val="20"/>
        </w:rPr>
        <w:t xml:space="preserve">Has the worker sustained any of the following specified injuries (Regulation 4)?</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9006"/>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9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Specified Injury (Regulation 4)</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9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Fractures, other than to fingers, thumbs and toes</w:t>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9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Amputation of an arm, hand, finger, thumb, leg, foot or toe</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9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Permanent loss of sight or reduction of sight</w:t>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9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Crush injuries leading to internal organ damage</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9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Serious burns (covering more than 10% of the body, or damaging eyes, respiratory system or other vital organs)</w:t>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9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Scalping (separation of skin from the head) requiring hospital treatment</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9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Loss of consciousness caused by head injury or asphyxia</w:t>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9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Any injury arising from working in an enclosed space which leads to hypothermia, heat-induced illness, or requires resuscitation or admittance to hospital for more than 24 hours</w:t>
            </w:r>
          </w:p>
        </w:tc>
      </w:tr>
    </w:tbl>
    <w:p>
      <w:pPr>
        <w:spacing w:after="100" w:before="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none" w:sz="0"/>
              <w:bottom w:val="none" w:sz="0"/>
              <w:right w:val="none" w:sz="0"/>
            </w:tcBorders>
            <w:shd w:fill="FFFFFF" w:val="clear"/>
            <w:tcMar>
              <w:top w:type="dxa" w:w="40"/>
              <w:left w:type="dxa" w:w="200"/>
              <w:bottom w:type="dxa" w:w="40"/>
              <w:right w:type="dxa" w:w="200"/>
            </w:tcMar>
          </w:tcPr>
          <w:p>
            <w:pPr>
              <w:jc w:val="center"/>
            </w:pPr>
            <w:r>
              <w:rPr>
                <w:rFonts w:ascii="Arial" w:cs="Arial" w:eastAsia="Arial" w:hAnsi="Arial"/>
                <w:b/>
                <w:bCs/>
                <w:color w:val="333333"/>
                <w:sz w:val="18"/>
                <w:szCs w:val="18"/>
              </w:rPr>
              <w:t xml:space="preserve">↓ YES – Any of the above?</w:t>
            </w:r>
          </w:p>
        </w:tc>
      </w:tr>
      <w:tr>
        <w:tc>
          <w:tcPr>
            <w:tcW w:type="dxa" w:w="9506"/>
            <w:tcBorders>
              <w:top w:val="single" w:color="1B2A4A" w:sz="3"/>
              <w:left w:val="single" w:color="1B2A4A" w:sz="3"/>
              <w:bottom w:val="single" w:color="1B2A4A" w:sz="3"/>
              <w:right w:val="single" w:color="1B2A4A" w:sz="3"/>
            </w:tcBorders>
            <w:shd w:fill="FFCCCC" w:val="clear"/>
            <w:tcMar>
              <w:top w:type="dxa" w:w="100"/>
              <w:left w:type="dxa" w:w="200"/>
              <w:bottom w:type="dxa" w:w="100"/>
              <w:right w:type="dxa" w:w="200"/>
            </w:tcMar>
            <w:vAlign w:val="center"/>
          </w:tcPr>
          <w:p>
            <w:pPr>
              <w:jc w:val="center"/>
            </w:pPr>
            <w:r>
              <w:rPr>
                <w:rFonts w:ascii="Arial" w:cs="Arial" w:eastAsia="Arial" w:hAnsi="Arial"/>
                <w:b/>
                <w:bCs/>
                <w:color w:val="000000"/>
                <w:sz w:val="22"/>
                <w:szCs w:val="22"/>
              </w:rPr>
              <w:t xml:space="preserve">REPORTABLE – Report online without delay (within 10 days). Preserve the scene.</w:t>
            </w:r>
          </w:p>
        </w:tc>
      </w:tr>
      <w:tr>
        <w:tc>
          <w:tcPr>
            <w:tcW w:type="dxa" w:w="9506"/>
            <w:tcBorders>
              <w:top w:val="none" w:sz="0"/>
              <w:left w:val="none" w:sz="0"/>
              <w:bottom w:val="none" w:sz="0"/>
              <w:right w:val="none" w:sz="0"/>
            </w:tcBorders>
            <w:shd w:fill="FFFFFF" w:val="clear"/>
            <w:tcMar>
              <w:top w:type="dxa" w:w="40"/>
              <w:left w:type="dxa" w:w="200"/>
              <w:bottom w:type="dxa" w:w="40"/>
              <w:right w:type="dxa" w:w="200"/>
            </w:tcMar>
          </w:tcPr>
          <w:p>
            <w:pPr>
              <w:jc w:val="center"/>
            </w:pPr>
            <w:r>
              <w:rPr>
                <w:rFonts w:ascii="Arial" w:cs="Arial" w:eastAsia="Arial" w:hAnsi="Arial"/>
                <w:b/>
                <w:bCs/>
                <w:color w:val="333333"/>
                <w:sz w:val="18"/>
                <w:szCs w:val="18"/>
              </w:rPr>
              <w:t xml:space="preserve">↓ NO – proceed to Step 3</w:t>
            </w:r>
          </w:p>
        </w:tc>
      </w:tr>
    </w:tbl>
    <w:p>
      <w:pPr>
        <w:spacing w:after="100" w:before="200"/>
      </w:pPr>
    </w:p>
    <w:p>
      <w:pPr>
        <w:pStyle w:val="Heading1"/>
      </w:pPr>
      <w:r>
        <w:rPr>
          <w:rFonts w:ascii="Arial" w:cs="Arial" w:eastAsia="Arial" w:hAnsi="Arial"/>
          <w:b/>
          <w:bCs/>
          <w:color w:val="1B2A4A"/>
          <w:sz w:val="32"/>
          <w:szCs w:val="32"/>
        </w:rPr>
        <w:t xml:space="preserve">Decision Step 3: Over-7-Day Incapacitation?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gridSpan w:val="1"/>
            <w:tcBorders>
              <w:top w:val="single" w:color="BFBFBF" w:sz="1"/>
              <w:left w:val="single" w:color="BFBFBF" w:sz="1"/>
              <w:bottom w:val="single" w:color="BFBFBF" w:sz="1"/>
              <w:right w:val="single" w:color="BFBFBF" w:sz="1"/>
            </w:tcBorders>
            <w:shd w:fill="D6E4F0" w:val="clear"/>
            <w:tcMar>
              <w:top w:type="dxa" w:w="100"/>
              <w:left w:type="dxa" w:w="200"/>
              <w:bottom w:type="dxa" w:w="100"/>
              <w:right w:type="dxa" w:w="200"/>
            </w:tcMar>
            <w:vAlign w:val="center"/>
          </w:tcPr>
          <w:p>
            <w:pPr>
              <w:jc w:val="center"/>
            </w:pPr>
            <w:r>
              <w:rPr>
                <w:rFonts w:ascii="Arial" w:cs="Arial" w:eastAsia="Arial" w:hAnsi="Arial"/>
                <w:b/>
                <w:bCs/>
                <w:color w:val="1B2A4A"/>
                <w:sz w:val="22"/>
                <w:szCs w:val="22"/>
              </w:rPr>
              <w:t xml:space="preserve">Has the worker been incapacitated (unable to carry out their normal duties) for more than 7 consecutive days (not counting the day of the accident)?</w:t>
            </w:r>
          </w:p>
        </w:tc>
      </w:tr>
      <w:tr>
        <w:tc>
          <w:tcPr>
            <w:tcW w:type="dxa" w:w="9506"/>
            <w:tcBorders>
              <w:top w:val="none" w:sz="0"/>
              <w:left w:val="none" w:sz="0"/>
              <w:bottom w:val="none" w:sz="0"/>
              <w:right w:val="none" w:sz="0"/>
            </w:tcBorders>
            <w:shd w:fill="FFFFFF" w:val="clear"/>
            <w:tcMar>
              <w:top w:type="dxa" w:w="40"/>
              <w:left w:type="dxa" w:w="200"/>
              <w:bottom w:type="dxa" w:w="40"/>
              <w:right w:type="dxa" w:w="200"/>
            </w:tcMar>
          </w:tcPr>
          <w:p>
            <w:pPr>
              <w:jc w:val="center"/>
            </w:pPr>
            <w:r>
              <w:rPr>
                <w:rFonts w:ascii="Arial" w:cs="Arial" w:eastAsia="Arial" w:hAnsi="Arial"/>
                <w:b/>
                <w:bCs/>
                <w:color w:val="333333"/>
                <w:sz w:val="18"/>
                <w:szCs w:val="18"/>
              </w:rPr>
              <w:t xml:space="preserve">↓ YES</w:t>
            </w:r>
          </w:p>
        </w:tc>
      </w:tr>
      <w:tr>
        <w:tc>
          <w:tcPr>
            <w:tcW w:type="dxa" w:w="9506"/>
            <w:tcBorders>
              <w:top w:val="single" w:color="1B2A4A" w:sz="3"/>
              <w:left w:val="single" w:color="1B2A4A" w:sz="3"/>
              <w:bottom w:val="single" w:color="1B2A4A" w:sz="3"/>
              <w:right w:val="single" w:color="1B2A4A" w:sz="3"/>
            </w:tcBorders>
            <w:shd w:fill="FFF2CC" w:val="clear"/>
            <w:tcMar>
              <w:top w:type="dxa" w:w="100"/>
              <w:left w:type="dxa" w:w="200"/>
              <w:bottom w:type="dxa" w:w="100"/>
              <w:right w:type="dxa" w:w="200"/>
            </w:tcMar>
            <w:vAlign w:val="center"/>
          </w:tcPr>
          <w:p>
            <w:pPr>
              <w:jc w:val="center"/>
            </w:pPr>
            <w:r>
              <w:rPr>
                <w:rFonts w:ascii="Arial" w:cs="Arial" w:eastAsia="Arial" w:hAnsi="Arial"/>
                <w:b/>
                <w:bCs/>
                <w:color w:val="000000"/>
                <w:sz w:val="22"/>
                <w:szCs w:val="22"/>
              </w:rPr>
              <w:t xml:space="preserve">REPORTABLE – Report online within 15 days of the accident.</w:t>
            </w:r>
          </w:p>
        </w:tc>
      </w:tr>
      <w:tr>
        <w:tc>
          <w:tcPr>
            <w:tcW w:type="dxa" w:w="9506"/>
            <w:tcBorders>
              <w:top w:val="none" w:sz="0"/>
              <w:left w:val="none" w:sz="0"/>
              <w:bottom w:val="none" w:sz="0"/>
              <w:right w:val="none" w:sz="0"/>
            </w:tcBorders>
            <w:shd w:fill="FFFFFF" w:val="clear"/>
            <w:tcMar>
              <w:top w:type="dxa" w:w="40"/>
              <w:left w:type="dxa" w:w="200"/>
              <w:bottom w:type="dxa" w:w="40"/>
              <w:right w:type="dxa" w:w="200"/>
            </w:tcMar>
          </w:tcPr>
          <w:p>
            <w:pPr>
              <w:jc w:val="center"/>
            </w:pPr>
            <w:r>
              <w:rPr>
                <w:rFonts w:ascii="Arial" w:cs="Arial" w:eastAsia="Arial" w:hAnsi="Arial"/>
                <w:b/>
                <w:bCs/>
                <w:color w:val="333333"/>
                <w:sz w:val="18"/>
                <w:szCs w:val="18"/>
              </w:rPr>
              <w:t xml:space="preserve">↓ NO – proceed to Step 4</w:t>
            </w:r>
          </w:p>
        </w:tc>
      </w:tr>
    </w:tbl>
    <w:p>
      <w:pPr>
        <w:spacing w:after="100" w:before="200"/>
      </w:pPr>
    </w:p>
    <w:p>
      <w:pPr>
        <w:pStyle w:val="Heading1"/>
      </w:pPr>
      <w:r>
        <w:rPr>
          <w:rFonts w:ascii="Arial" w:cs="Arial" w:eastAsia="Arial" w:hAnsi="Arial"/>
          <w:b/>
          <w:bCs/>
          <w:color w:val="1B2A4A"/>
          <w:sz w:val="32"/>
          <w:szCs w:val="32"/>
        </w:rPr>
        <w:t xml:space="preserve">Decision Step 4: Non-Worker Taken to Hospital?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gridSpan w:val="1"/>
            <w:tcBorders>
              <w:top w:val="single" w:color="BFBFBF" w:sz="1"/>
              <w:left w:val="single" w:color="BFBFBF" w:sz="1"/>
              <w:bottom w:val="single" w:color="BFBFBF" w:sz="1"/>
              <w:right w:val="single" w:color="BFBFBF" w:sz="1"/>
            </w:tcBorders>
            <w:shd w:fill="D6E4F0" w:val="clear"/>
            <w:tcMar>
              <w:top w:type="dxa" w:w="100"/>
              <w:left w:type="dxa" w:w="200"/>
              <w:bottom w:type="dxa" w:w="100"/>
              <w:right w:type="dxa" w:w="200"/>
            </w:tcMar>
            <w:vAlign w:val="center"/>
          </w:tcPr>
          <w:p>
            <w:pPr>
              <w:jc w:val="center"/>
            </w:pPr>
            <w:r>
              <w:rPr>
                <w:rFonts w:ascii="Arial" w:cs="Arial" w:eastAsia="Arial" w:hAnsi="Arial"/>
                <w:b/>
                <w:bCs/>
                <w:color w:val="1B2A4A"/>
                <w:sz w:val="22"/>
                <w:szCs w:val="22"/>
              </w:rPr>
              <w:t xml:space="preserve">Has a non-worker (member of the public, visitor, etc.) been taken directly from the scene to hospital for treatment of an injury arising from a work-related accident?</w:t>
            </w:r>
          </w:p>
        </w:tc>
      </w:tr>
      <w:tr>
        <w:tc>
          <w:tcPr>
            <w:tcW w:type="dxa" w:w="9506"/>
            <w:tcBorders>
              <w:top w:val="none" w:sz="0"/>
              <w:left w:val="none" w:sz="0"/>
              <w:bottom w:val="none" w:sz="0"/>
              <w:right w:val="none" w:sz="0"/>
            </w:tcBorders>
            <w:shd w:fill="FFFFFF" w:val="clear"/>
            <w:tcMar>
              <w:top w:type="dxa" w:w="40"/>
              <w:left w:type="dxa" w:w="200"/>
              <w:bottom w:type="dxa" w:w="40"/>
              <w:right w:type="dxa" w:w="200"/>
            </w:tcMar>
          </w:tcPr>
          <w:p>
            <w:pPr>
              <w:jc w:val="center"/>
            </w:pPr>
            <w:r>
              <w:rPr>
                <w:rFonts w:ascii="Arial" w:cs="Arial" w:eastAsia="Arial" w:hAnsi="Arial"/>
                <w:b/>
                <w:bCs/>
                <w:color w:val="333333"/>
                <w:sz w:val="18"/>
                <w:szCs w:val="18"/>
              </w:rPr>
              <w:t xml:space="preserve">↓ YES</w:t>
            </w:r>
          </w:p>
        </w:tc>
      </w:tr>
      <w:tr>
        <w:tc>
          <w:tcPr>
            <w:tcW w:type="dxa" w:w="9506"/>
            <w:tcBorders>
              <w:top w:val="single" w:color="1B2A4A" w:sz="3"/>
              <w:left w:val="single" w:color="1B2A4A" w:sz="3"/>
              <w:bottom w:val="single" w:color="1B2A4A" w:sz="3"/>
              <w:right w:val="single" w:color="1B2A4A" w:sz="3"/>
            </w:tcBorders>
            <w:shd w:fill="FFF2CC" w:val="clear"/>
            <w:tcMar>
              <w:top w:type="dxa" w:w="100"/>
              <w:left w:type="dxa" w:w="200"/>
              <w:bottom w:type="dxa" w:w="100"/>
              <w:right w:type="dxa" w:w="200"/>
            </w:tcMar>
            <w:vAlign w:val="center"/>
          </w:tcPr>
          <w:p>
            <w:pPr>
              <w:jc w:val="center"/>
            </w:pPr>
            <w:r>
              <w:rPr>
                <w:rFonts w:ascii="Arial" w:cs="Arial" w:eastAsia="Arial" w:hAnsi="Arial"/>
                <w:b/>
                <w:bCs/>
                <w:color w:val="000000"/>
                <w:sz w:val="22"/>
                <w:szCs w:val="22"/>
              </w:rPr>
              <w:t xml:space="preserve">REPORTABLE – Report online without delay (within 10 days).</w:t>
            </w:r>
          </w:p>
        </w:tc>
      </w:tr>
      <w:tr>
        <w:tc>
          <w:tcPr>
            <w:tcW w:type="dxa" w:w="9506"/>
            <w:tcBorders>
              <w:top w:val="none" w:sz="0"/>
              <w:left w:val="none" w:sz="0"/>
              <w:bottom w:val="none" w:sz="0"/>
              <w:right w:val="none" w:sz="0"/>
            </w:tcBorders>
            <w:shd w:fill="FFFFFF" w:val="clear"/>
            <w:tcMar>
              <w:top w:type="dxa" w:w="40"/>
              <w:left w:type="dxa" w:w="200"/>
              <w:bottom w:type="dxa" w:w="40"/>
              <w:right w:type="dxa" w:w="200"/>
            </w:tcMar>
          </w:tcPr>
          <w:p>
            <w:pPr>
              <w:jc w:val="center"/>
            </w:pPr>
            <w:r>
              <w:rPr>
                <w:rFonts w:ascii="Arial" w:cs="Arial" w:eastAsia="Arial" w:hAnsi="Arial"/>
                <w:b/>
                <w:bCs/>
                <w:color w:val="333333"/>
                <w:sz w:val="18"/>
                <w:szCs w:val="18"/>
              </w:rPr>
              <w:t xml:space="preserve">↓ NO – proceed to Step 5</w:t>
            </w:r>
          </w:p>
        </w:tc>
      </w:tr>
    </w:tbl>
    <w:p>
      <w:pPr>
        <w:spacing w:after="100" w:before="200"/>
      </w:pPr>
    </w:p>
    <w:p>
      <w:pPr>
        <w:pStyle w:val="Heading1"/>
      </w:pPr>
      <w:r>
        <w:rPr>
          <w:rFonts w:ascii="Arial" w:cs="Arial" w:eastAsia="Arial" w:hAnsi="Arial"/>
          <w:b/>
          <w:bCs/>
          <w:color w:val="1B2A4A"/>
          <w:sz w:val="32"/>
          <w:szCs w:val="32"/>
        </w:rPr>
        <w:t xml:space="preserve">Decision Step 5: Was It a Dangerous Occurrence?</w:t>
      </w:r>
    </w:p>
    <w:p>
      <w:pPr>
        <w:spacing w:after="100"/>
      </w:pPr>
      <w:r>
        <w:rPr>
          <w:rFonts w:ascii="Arial" w:cs="Arial" w:eastAsia="Arial" w:hAnsi="Arial"/>
          <w:color w:val="000000"/>
          <w:sz w:val="20"/>
          <w:szCs w:val="20"/>
        </w:rPr>
        <w:t xml:space="preserve">Has any of the following dangerous occurrences taken place (Schedule 2)?</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9006"/>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9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Dangerous Occurrence (Schedule 2 – selected examples)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9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Collapse, overturning or failure of load-bearing parts of lifts and lifting equipment</w:t>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9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Plant or equipment coming into contact with overhead power lines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9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Collapse or partial collapse of a scaffold over 5 metres high</w:t>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9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Collapse or partial collapse of any building or structure under construction</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9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Explosion or fire causing work stoppage for more than 24 hours</w:t>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9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Accidental release of a biological agent likely to cause severe human illness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9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Accidental release or escape of any substance that could cause serious injury or damage to health</w:t>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9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Collapse or partial collapse of any floor or wall in a place of work</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9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Any unintended collapse or partial collapse of any falsework</w:t>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9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Failure of any closed vessel or associated pipework forming part of a pressure system</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9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Electrical short circuit or overload causing fire or explosion</w:t>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9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Malfunction of breathing apparatus while in use in a confined space</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13</w:t>
            </w:r>
          </w:p>
        </w:tc>
        <w:tc>
          <w:tcPr>
            <w:tcW w:type="dxa" w:w="9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Uncontrolled or accidental release, discharge or loss of any radioactive substance</w:t>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14</w:t>
            </w:r>
          </w:p>
        </w:tc>
        <w:tc>
          <w:tcPr>
            <w:tcW w:type="dxa" w:w="9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Any incident involving a road tanker carrying dangerous goods that results in closure of the road</w:t>
            </w:r>
          </w:p>
        </w:tc>
      </w:tr>
    </w:tbl>
    <w:p>
      <w:pPr>
        <w:spacing w:after="100" w:before="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none" w:sz="0"/>
              <w:bottom w:val="none" w:sz="0"/>
              <w:right w:val="none" w:sz="0"/>
            </w:tcBorders>
            <w:shd w:fill="FFFFFF" w:val="clear"/>
            <w:tcMar>
              <w:top w:type="dxa" w:w="40"/>
              <w:left w:type="dxa" w:w="200"/>
              <w:bottom w:type="dxa" w:w="40"/>
              <w:right w:type="dxa" w:w="200"/>
            </w:tcMar>
          </w:tcPr>
          <w:p>
            <w:pPr>
              <w:jc w:val="center"/>
            </w:pPr>
            <w:r>
              <w:rPr>
                <w:rFonts w:ascii="Arial" w:cs="Arial" w:eastAsia="Arial" w:hAnsi="Arial"/>
                <w:b/>
                <w:bCs/>
                <w:color w:val="333333"/>
                <w:sz w:val="18"/>
                <w:szCs w:val="18"/>
              </w:rPr>
              <w:t xml:space="preserve">↓ YES – Any of the above?</w:t>
            </w:r>
          </w:p>
        </w:tc>
      </w:tr>
      <w:tr>
        <w:tc>
          <w:tcPr>
            <w:tcW w:type="dxa" w:w="9506"/>
            <w:tcBorders>
              <w:top w:val="single" w:color="1B2A4A" w:sz="3"/>
              <w:left w:val="single" w:color="1B2A4A" w:sz="3"/>
              <w:bottom w:val="single" w:color="1B2A4A" w:sz="3"/>
              <w:right w:val="single" w:color="1B2A4A" w:sz="3"/>
            </w:tcBorders>
            <w:shd w:fill="FFCCCC" w:val="clear"/>
            <w:tcMar>
              <w:top w:type="dxa" w:w="100"/>
              <w:left w:type="dxa" w:w="200"/>
              <w:bottom w:type="dxa" w:w="100"/>
              <w:right w:type="dxa" w:w="200"/>
            </w:tcMar>
            <w:vAlign w:val="center"/>
          </w:tcPr>
          <w:p>
            <w:pPr>
              <w:jc w:val="center"/>
            </w:pPr>
            <w:r>
              <w:rPr>
                <w:rFonts w:ascii="Arial" w:cs="Arial" w:eastAsia="Arial" w:hAnsi="Arial"/>
                <w:b/>
                <w:bCs/>
                <w:color w:val="000000"/>
                <w:sz w:val="22"/>
                <w:szCs w:val="22"/>
              </w:rPr>
              <w:t xml:space="preserve">REPORTABLE – Report online without delay (within 10 days). Preserve the scene.</w:t>
            </w:r>
          </w:p>
        </w:tc>
      </w:tr>
      <w:tr>
        <w:tc>
          <w:tcPr>
            <w:tcW w:type="dxa" w:w="9506"/>
            <w:tcBorders>
              <w:top w:val="none" w:sz="0"/>
              <w:left w:val="none" w:sz="0"/>
              <w:bottom w:val="none" w:sz="0"/>
              <w:right w:val="none" w:sz="0"/>
            </w:tcBorders>
            <w:shd w:fill="FFFFFF" w:val="clear"/>
            <w:tcMar>
              <w:top w:type="dxa" w:w="40"/>
              <w:left w:type="dxa" w:w="200"/>
              <w:bottom w:type="dxa" w:w="40"/>
              <w:right w:type="dxa" w:w="200"/>
            </w:tcMar>
          </w:tcPr>
          <w:p>
            <w:pPr>
              <w:jc w:val="center"/>
            </w:pPr>
            <w:r>
              <w:rPr>
                <w:rFonts w:ascii="Arial" w:cs="Arial" w:eastAsia="Arial" w:hAnsi="Arial"/>
                <w:b/>
                <w:bCs/>
                <w:color w:val="333333"/>
                <w:sz w:val="18"/>
                <w:szCs w:val="18"/>
              </w:rPr>
              <w:t xml:space="preserve">↓ NO – proceed to Step 6</w:t>
            </w:r>
          </w:p>
        </w:tc>
      </w:tr>
    </w:tbl>
    <w:p>
      <w:pPr>
        <w:spacing w:after="100" w:before="200"/>
      </w:pPr>
    </w:p>
    <w:p>
      <w:pPr>
        <w:pStyle w:val="Heading1"/>
      </w:pPr>
      <w:r>
        <w:rPr>
          <w:rFonts w:ascii="Arial" w:cs="Arial" w:eastAsia="Arial" w:hAnsi="Arial"/>
          <w:b/>
          <w:bCs/>
          <w:color w:val="1B2A4A"/>
          <w:sz w:val="32"/>
          <w:szCs w:val="32"/>
        </w:rPr>
        <w:t xml:space="preserve">Decision Step 6: Occupational Disease?</w:t>
      </w:r>
    </w:p>
    <w:p>
      <w:pPr>
        <w:spacing w:after="100"/>
      </w:pPr>
      <w:r>
        <w:rPr>
          <w:rFonts w:ascii="Arial" w:cs="Arial" w:eastAsia="Arial" w:hAnsi="Arial"/>
          <w:color w:val="000000"/>
          <w:sz w:val="20"/>
          <w:szCs w:val="20"/>
        </w:rPr>
        <w:t xml:space="preserve">Has a doctor notified you that a worker has been diagnosed with a reportable occupational disease linked to their work? Examples include: occupational dermatitis, occupational asthma, hand-arm vibration syndrome, carpal tunnel syndrome, tendonitis, occupational cancer, any disease attributed to an occupational exposure to a biological agent.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none" w:sz="0"/>
              <w:bottom w:val="none" w:sz="0"/>
              <w:right w:val="none" w:sz="0"/>
            </w:tcBorders>
            <w:shd w:fill="FFFFFF" w:val="clear"/>
            <w:tcMar>
              <w:top w:type="dxa" w:w="40"/>
              <w:left w:type="dxa" w:w="200"/>
              <w:bottom w:type="dxa" w:w="40"/>
              <w:right w:type="dxa" w:w="200"/>
            </w:tcMar>
          </w:tcPr>
          <w:p>
            <w:pPr>
              <w:jc w:val="center"/>
            </w:pPr>
            <w:r>
              <w:rPr>
                <w:rFonts w:ascii="Arial" w:cs="Arial" w:eastAsia="Arial" w:hAnsi="Arial"/>
                <w:b/>
                <w:bCs/>
                <w:color w:val="333333"/>
                <w:sz w:val="18"/>
                <w:szCs w:val="18"/>
              </w:rPr>
              <w:t xml:space="preserve">↓ YES</w:t>
            </w:r>
          </w:p>
        </w:tc>
      </w:tr>
      <w:tr>
        <w:tc>
          <w:tcPr>
            <w:tcW w:type="dxa" w:w="9506"/>
            <w:tcBorders>
              <w:top w:val="single" w:color="1B2A4A" w:sz="3"/>
              <w:left w:val="single" w:color="1B2A4A" w:sz="3"/>
              <w:bottom w:val="single" w:color="1B2A4A" w:sz="3"/>
              <w:right w:val="single" w:color="1B2A4A" w:sz="3"/>
            </w:tcBorders>
            <w:shd w:fill="FFF2CC" w:val="clear"/>
            <w:tcMar>
              <w:top w:type="dxa" w:w="100"/>
              <w:left w:type="dxa" w:w="200"/>
              <w:bottom w:type="dxa" w:w="100"/>
              <w:right w:type="dxa" w:w="200"/>
            </w:tcMar>
            <w:vAlign w:val="center"/>
          </w:tcPr>
          <w:p>
            <w:pPr>
              <w:jc w:val="center"/>
            </w:pPr>
            <w:r>
              <w:rPr>
                <w:rFonts w:ascii="Arial" w:cs="Arial" w:eastAsia="Arial" w:hAnsi="Arial"/>
                <w:b/>
                <w:bCs/>
                <w:color w:val="000000"/>
                <w:sz w:val="22"/>
                <w:szCs w:val="22"/>
              </w:rPr>
              <w:t xml:space="preserve">REPORTABLE – Report online without delay.</w:t>
            </w:r>
          </w:p>
        </w:tc>
      </w:tr>
      <w:tr>
        <w:tc>
          <w:tcPr>
            <w:tcW w:type="dxa" w:w="9506"/>
            <w:tcBorders>
              <w:top w:val="none" w:sz="0"/>
              <w:left w:val="none" w:sz="0"/>
              <w:bottom w:val="none" w:sz="0"/>
              <w:right w:val="none" w:sz="0"/>
            </w:tcBorders>
            <w:shd w:fill="FFFFFF" w:val="clear"/>
            <w:tcMar>
              <w:top w:type="dxa" w:w="40"/>
              <w:left w:type="dxa" w:w="200"/>
              <w:bottom w:type="dxa" w:w="40"/>
              <w:right w:type="dxa" w:w="200"/>
            </w:tcMar>
          </w:tcPr>
          <w:p>
            <w:pPr>
              <w:jc w:val="center"/>
            </w:pPr>
            <w:r>
              <w:rPr>
                <w:rFonts w:ascii="Arial" w:cs="Arial" w:eastAsia="Arial" w:hAnsi="Arial"/>
                <w:b/>
                <w:bCs/>
                <w:color w:val="333333"/>
                <w:sz w:val="18"/>
                <w:szCs w:val="18"/>
              </w:rPr>
              <w:t xml:space="preserve">↓ NO</w:t>
            </w:r>
          </w:p>
        </w:tc>
      </w:tr>
      <w:tr>
        <w:tc>
          <w:tcPr>
            <w:tcW w:type="dxa" w:w="9506"/>
            <w:tcBorders>
              <w:top w:val="single" w:color="1B2A4A" w:sz="3"/>
              <w:left w:val="single" w:color="1B2A4A" w:sz="3"/>
              <w:bottom w:val="single" w:color="1B2A4A" w:sz="3"/>
              <w:right w:val="single" w:color="1B2A4A" w:sz="3"/>
            </w:tcBorders>
            <w:shd w:fill="D6F5D6" w:val="clear"/>
            <w:tcMar>
              <w:top w:type="dxa" w:w="100"/>
              <w:left w:type="dxa" w:w="200"/>
              <w:bottom w:type="dxa" w:w="100"/>
              <w:right w:type="dxa" w:w="200"/>
            </w:tcMar>
            <w:vAlign w:val="center"/>
          </w:tcPr>
          <w:p>
            <w:pPr>
              <w:jc w:val="center"/>
            </w:pPr>
            <w:r>
              <w:rPr>
                <w:rFonts w:ascii="Arial" w:cs="Arial" w:eastAsia="Arial" w:hAnsi="Arial"/>
                <w:b/>
                <w:bCs/>
                <w:color w:val="000000"/>
                <w:sz w:val="22"/>
                <w:szCs w:val="22"/>
              </w:rPr>
              <w:t xml:space="preserve">NOT REPORTABLE under RIDDOR – Record the incident internally in the site accident book and investigate as per your normal procedures.</w:t>
            </w:r>
          </w:p>
        </w:tc>
      </w:tr>
    </w:tbl>
    <w:p>
      <w:pPr>
        <w:spacing w:after="100" w:before="200"/>
      </w:pPr>
    </w:p>
    <w:p>
      <w:pPr>
        <w:pStyle w:val="Heading1"/>
      </w:pPr>
      <w:r>
        <w:rPr>
          <w:rFonts w:ascii="Arial" w:cs="Arial" w:eastAsia="Arial" w:hAnsi="Arial"/>
          <w:b/>
          <w:bCs/>
          <w:color w:val="1B2A4A"/>
          <w:sz w:val="32"/>
          <w:szCs w:val="32"/>
        </w:rPr>
        <w:t xml:space="preserve">Reporting Summary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2006"/>
        <w:gridCol w:w="2500"/>
        <w:gridCol w:w="2500"/>
      </w:tblGrid>
      <w:tr>
        <w:tc>
          <w:tcPr>
            <w:tcW w:type="dxa" w:w="2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Category</w:t>
            </w:r>
          </w:p>
        </w:tc>
        <w:tc>
          <w:tcPr>
            <w:tcW w:type="dxa" w:w="2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Reporting Method</w:t>
            </w:r>
          </w:p>
        </w:tc>
        <w:tc>
          <w:tcPr>
            <w:tcW w:type="dxa" w:w="2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Time Limit</w:t>
            </w:r>
          </w:p>
        </w:tc>
        <w:tc>
          <w:tcPr>
            <w:tcW w:type="dxa" w:w="2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Contact</w:t>
            </w:r>
          </w:p>
        </w:tc>
      </w:tr>
      <w:tr>
        <w:tc>
          <w:tcPr>
            <w:tcW w:type="dxa" w:w="2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Death</w:t>
            </w:r>
          </w:p>
        </w:tc>
        <w:tc>
          <w:tcPr>
            <w:tcW w:type="dxa" w:w="2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Telephone + Online</w:t>
            </w:r>
          </w:p>
        </w:tc>
        <w:tc>
          <w:tcPr>
            <w:tcW w:type="dxa" w:w="2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Immediately + 10 days</w:t>
            </w:r>
          </w:p>
        </w:tc>
        <w:tc>
          <w:tcPr>
            <w:tcW w:type="dxa" w:w="2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0345 300 9923</w:t>
            </w:r>
          </w:p>
        </w:tc>
      </w:tr>
      <w:tr>
        <w:tc>
          <w:tcPr>
            <w:tcW w:type="dxa" w:w="2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Specified Injury</w:t>
            </w:r>
          </w:p>
        </w:tc>
        <w:tc>
          <w:tcPr>
            <w:tcW w:type="dxa" w:w="2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Online</w:t>
            </w:r>
          </w:p>
        </w:tc>
        <w:tc>
          <w:tcPr>
            <w:tcW w:type="dxa" w:w="2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Within 10 days</w:t>
            </w:r>
          </w:p>
        </w:tc>
        <w:tc>
          <w:tcPr>
            <w:tcW w:type="dxa" w:w="2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www.hse.gov.uk/riddor</w:t>
            </w:r>
          </w:p>
        </w:tc>
      </w:tr>
      <w:tr>
        <w:tc>
          <w:tcPr>
            <w:tcW w:type="dxa" w:w="2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Over-7-Day Incapacitation</w:t>
            </w:r>
          </w:p>
        </w:tc>
        <w:tc>
          <w:tcPr>
            <w:tcW w:type="dxa" w:w="2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Online</w:t>
            </w:r>
          </w:p>
        </w:tc>
        <w:tc>
          <w:tcPr>
            <w:tcW w:type="dxa" w:w="2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Within 15 days</w:t>
            </w:r>
          </w:p>
        </w:tc>
        <w:tc>
          <w:tcPr>
            <w:tcW w:type="dxa" w:w="2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www.hse.gov.uk/riddor</w:t>
            </w:r>
          </w:p>
        </w:tc>
      </w:tr>
      <w:tr>
        <w:tc>
          <w:tcPr>
            <w:tcW w:type="dxa" w:w="2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Non-Worker to Hospital</w:t>
            </w:r>
          </w:p>
        </w:tc>
        <w:tc>
          <w:tcPr>
            <w:tcW w:type="dxa" w:w="2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Online</w:t>
            </w:r>
          </w:p>
        </w:tc>
        <w:tc>
          <w:tcPr>
            <w:tcW w:type="dxa" w:w="2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Within 10 days</w:t>
            </w:r>
          </w:p>
        </w:tc>
        <w:tc>
          <w:tcPr>
            <w:tcW w:type="dxa" w:w="2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www.hse.gov.uk/riddor</w:t>
            </w:r>
          </w:p>
        </w:tc>
      </w:tr>
      <w:tr>
        <w:tc>
          <w:tcPr>
            <w:tcW w:type="dxa" w:w="2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Dangerous Occurrence</w:t>
            </w:r>
          </w:p>
        </w:tc>
        <w:tc>
          <w:tcPr>
            <w:tcW w:type="dxa" w:w="2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Online</w:t>
            </w:r>
          </w:p>
        </w:tc>
        <w:tc>
          <w:tcPr>
            <w:tcW w:type="dxa" w:w="2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Within 10 days</w:t>
            </w:r>
          </w:p>
        </w:tc>
        <w:tc>
          <w:tcPr>
            <w:tcW w:type="dxa" w:w="2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www.hse.gov.uk/riddor</w:t>
            </w:r>
          </w:p>
        </w:tc>
      </w:tr>
      <w:tr>
        <w:tc>
          <w:tcPr>
            <w:tcW w:type="dxa" w:w="2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Occupational Disease</w:t>
            </w:r>
          </w:p>
        </w:tc>
        <w:tc>
          <w:tcPr>
            <w:tcW w:type="dxa" w:w="2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Online</w:t>
            </w:r>
          </w:p>
        </w:tc>
        <w:tc>
          <w:tcPr>
            <w:tcW w:type="dxa" w:w="2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Without delay</w:t>
            </w:r>
          </w:p>
        </w:tc>
        <w:tc>
          <w:tcPr>
            <w:tcW w:type="dxa" w:w="2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www.hse.gov.uk/riddor</w:t>
            </w:r>
          </w:p>
        </w:tc>
      </w:tr>
    </w:tbl>
    <w:p>
      <w:pPr>
        <w:spacing w:after="100" w:before="200"/>
      </w:pPr>
    </w:p>
    <w:p>
      <w:pPr>
        <w:pStyle w:val="Heading1"/>
      </w:pPr>
      <w:r>
        <w:rPr>
          <w:rFonts w:ascii="Arial" w:cs="Arial" w:eastAsia="Arial" w:hAnsi="Arial"/>
          <w:b/>
          <w:bCs/>
          <w:color w:val="1B2A4A"/>
          <w:sz w:val="32"/>
          <w:szCs w:val="32"/>
        </w:rPr>
        <w:t xml:space="preserve">Key Reminders</w:t>
      </w:r>
    </w:p>
    <w:p>
      <w:pPr>
        <w:spacing w:after="100"/>
      </w:pPr>
      <w:r>
        <w:rPr>
          <w:rFonts w:ascii="Arial" w:cs="Arial" w:eastAsia="Arial" w:hAnsi="Arial"/>
          <w:color w:val="000000"/>
          <w:sz w:val="20"/>
          <w:szCs w:val="20"/>
        </w:rPr>
        <w:t xml:space="preserve">• Preserve the scene of the accident until the HSE advises otherwise.</w:t>
      </w:r>
    </w:p>
    <w:p>
      <w:pPr>
        <w:spacing w:after="100"/>
      </w:pPr>
      <w:r>
        <w:rPr>
          <w:rFonts w:ascii="Arial" w:cs="Arial" w:eastAsia="Arial" w:hAnsi="Arial"/>
          <w:color w:val="000000"/>
          <w:sz w:val="20"/>
          <w:szCs w:val="20"/>
        </w:rPr>
        <w:t xml:space="preserve">• Keep records of all RIDDOR reports for at least 3 years.</w:t>
      </w:r>
    </w:p>
    <w:p>
      <w:pPr>
        <w:spacing w:after="100"/>
      </w:pPr>
      <w:r>
        <w:rPr>
          <w:rFonts w:ascii="Arial" w:cs="Arial" w:eastAsia="Arial" w:hAnsi="Arial"/>
          <w:color w:val="000000"/>
          <w:sz w:val="20"/>
          <w:szCs w:val="20"/>
        </w:rPr>
        <w:t xml:space="preserve">• Employers, the self-employed and those in control of premises are the responsible persons for RIDDOR reporting.</w:t>
      </w:r>
    </w:p>
    <w:p>
      <w:pPr>
        <w:spacing w:after="100"/>
      </w:pPr>
      <w:r>
        <w:rPr>
          <w:rFonts w:ascii="Arial" w:cs="Arial" w:eastAsia="Arial" w:hAnsi="Arial"/>
          <w:color w:val="000000"/>
          <w:sz w:val="20"/>
          <w:szCs w:val="20"/>
        </w:rPr>
        <w:t xml:space="preserve">• Record all accidents, however minor, in the site accident book (BI 510).</w:t>
      </w:r>
    </w:p>
    <w:p>
      <w:pPr>
        <w:spacing w:after="100"/>
      </w:pPr>
      <w:r>
        <w:rPr>
          <w:rFonts w:ascii="Arial" w:cs="Arial" w:eastAsia="Arial" w:hAnsi="Arial"/>
          <w:color w:val="000000"/>
          <w:sz w:val="20"/>
          <w:szCs w:val="20"/>
        </w:rPr>
        <w:t xml:space="preserve">• Investigate all incidents to identify root causes and prevent recurrence.</w:t>
      </w:r>
    </w:p>
    <w:p>
      <w:pPr>
        <w:spacing w:after="100"/>
      </w:pPr>
      <w:r>
        <w:rPr>
          <w:rFonts w:ascii="Arial" w:cs="Arial" w:eastAsia="Arial" w:hAnsi="Arial"/>
          <w:color w:val="000000"/>
          <w:sz w:val="20"/>
          <w:szCs w:val="20"/>
        </w:rPr>
        <w:t xml:space="preserve">• Inform the client, principal contractor and principal designer of any RIDDOR-reportable incident.</w:t>
      </w:r>
    </w:p>
    <w:p>
      <w:pPr>
        <w:spacing w:after="100" w:before="200"/>
      </w:pPr>
    </w:p>
    <w:p>
      <w:pPr>
        <w:pStyle w:val="Heading1"/>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or comments here.</w:t>
            </w:r>
          </w:p>
        </w:tc>
      </w:tr>
    </w:tbl>
    <w:p>
      <w:pPr>
        <w:spacing w:after="100" w:before="200"/>
      </w:pPr>
    </w:p>
    <w:p>
      <w:pPr>
        <w:pStyle w:val="Heading1"/>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6"/>
        <w:gridCol w:w="2000"/>
        <w:gridCol w:w="2000"/>
      </w:tblGrid>
      <w:tr>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Revision</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Date</w:t>
            </w:r>
          </w:p>
        </w:tc>
        <w:tc>
          <w:tcPr>
            <w:tcW w:type="dxa" w:w="2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Description of Change</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Author</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Approved By</w:t>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RIDDOR Decision Tree Flowchart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RIDDOR Decision Tree Flowchart</dc:title>
  <dc:subject>UK Construction Template</dc:subject>
  <dc:creator>ebrora.com</dc:creator>
  <cp:keywords>construction, template, UK, RIDDOR, reporting, decision tree, HSE, accident, incident, dangerous occurrence</cp:keywords>
  <dc:description>Free UK construction template by Ebrora. Download more at ebrora.com</dc:description>
  <cp:lastModifiedBy>ebrora.com</cp:lastModifiedBy>
  <cp:revision>1</cp:revision>
  <dcterms:created xsi:type="dcterms:W3CDTF">2026-04-02T10:12:18.638Z</dcterms:created>
  <dcterms:modified xsi:type="dcterms:W3CDTF">2026-04-02T10:12:18.639Z</dcterms:modified>
</cp:coreProperties>
</file>

<file path=docProps/custom.xml><?xml version="1.0" encoding="utf-8"?>
<Properties xmlns="http://schemas.openxmlformats.org/officeDocument/2006/custom-properties" xmlns:vt="http://schemas.openxmlformats.org/officeDocument/2006/docPropsVTypes"/>
</file>