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Construction Phase Plan</w:t>
      </w:r>
    </w:p>
    <w:p>
      <w:pPr>
        <w:pBdr>
          <w:bottom w:val="single" w:color="2E75B6" w:sz="8" w:space="6"/>
        </w:pBdr>
        <w:spacing w:after="300"/>
      </w:pPr>
      <w:r>
        <w:rPr>
          <w:rFonts w:ascii="Arial" w:cs="Arial" w:eastAsia="Arial" w:hAnsi="Arial"/>
          <w:color w:val="2E75B6"/>
          <w:sz w:val="24"/>
          <w:szCs w:val="24"/>
        </w:rPr>
        <w:t xml:space="preserve">Health &amp; Safety – CDM and Legal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 (e.g. CPP-001)</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 and postcode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Designer: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designer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 (PC)</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Accepted By (Client)</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100"/>
      </w:pPr>
      <w:r>
        <w:rPr>
          <w:rFonts w:ascii="Arial" w:cs="Arial" w:eastAsia="Arial" w:hAnsi="Arial"/>
          <w:i/>
          <w:iCs/>
          <w:color w:val="888888"/>
          <w:sz w:val="20"/>
          <w:szCs w:val="20"/>
        </w:rPr>
        <w:t xml:space="preserve">Distribution: List all persons and organisations who should receive a copy of this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706"/>
        <w:gridCol w:w="15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 / Role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Issued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Introduction</w:t>
      </w:r>
    </w:p>
    <w:p>
      <w:pPr>
        <w:pStyle w:val="Heading2"/>
      </w:pPr>
      <w:r>
        <w:rPr>
          <w:rFonts w:ascii="Arial" w:cs="Arial" w:eastAsia="Arial" w:hAnsi="Arial"/>
          <w:b/>
          <w:bCs/>
          <w:color w:val="333333"/>
          <w:sz w:val="26"/>
          <w:szCs w:val="26"/>
        </w:rPr>
        <w:t xml:space="preserve">1.1 Purpose</w:t>
      </w:r>
    </w:p>
    <w:p>
      <w:pPr>
        <w:spacing w:after="100"/>
      </w:pPr>
      <w:r>
        <w:rPr>
          <w:rFonts w:ascii="Arial" w:cs="Arial" w:eastAsia="Arial" w:hAnsi="Arial"/>
          <w:i/>
          <w:iCs/>
          <w:color w:val="888888"/>
          <w:sz w:val="20"/>
          <w:szCs w:val="20"/>
        </w:rPr>
        <w:t xml:space="preserve">This Construction Phase Plan (CPP) has been prepared in accordance with CDM 2015 Regulation 12 and Schedule 3. It sets out the arrangements for managing health and safety during the construction phase of the project. The plan must be prepared by the principal contractor before the construction phase begins and must be reviewed and updated throughout the project.</w:t>
      </w:r>
    </w:p>
    <w:p>
      <w:pPr>
        <w:pStyle w:val="Heading2"/>
      </w:pPr>
      <w:r>
        <w:rPr>
          <w:rFonts w:ascii="Arial" w:cs="Arial" w:eastAsia="Arial" w:hAnsi="Arial"/>
          <w:b/>
          <w:bCs/>
          <w:color w:val="333333"/>
          <w:sz w:val="26"/>
          <w:szCs w:val="26"/>
        </w:rPr>
        <w:t xml:space="preserve">1.2 Scope</w:t>
      </w:r>
    </w:p>
    <w:p>
      <w:pPr>
        <w:spacing w:after="100"/>
      </w:pPr>
      <w:r>
        <w:rPr>
          <w:rFonts w:ascii="Arial" w:cs="Arial" w:eastAsia="Arial" w:hAnsi="Arial"/>
          <w:i/>
          <w:iCs/>
          <w:color w:val="888888"/>
          <w:sz w:val="20"/>
          <w:szCs w:val="20"/>
        </w:rPr>
        <w:t xml:space="preserve">State the scope of works covered by this plan, including any phases or sections. Identify what is included and excluded.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scope of works covered by this Construction Phase Plan.</w:t>
            </w:r>
          </w:p>
        </w:tc>
      </w:tr>
    </w:tbl>
    <w:p>
      <w:pPr>
        <w:pStyle w:val="Heading2"/>
      </w:pPr>
      <w:r>
        <w:rPr>
          <w:rFonts w:ascii="Arial" w:cs="Arial" w:eastAsia="Arial" w:hAnsi="Arial"/>
          <w:b/>
          <w:bCs/>
          <w:color w:val="333333"/>
          <w:sz w:val="26"/>
          <w:szCs w:val="26"/>
        </w:rPr>
        <w:t xml:space="preserve">1.3 Legal Framework</w:t>
      </w:r>
    </w:p>
    <w:p>
      <w:pPr>
        <w:spacing w:after="100"/>
      </w:pPr>
      <w:r>
        <w:rPr>
          <w:rFonts w:ascii="Arial" w:cs="Arial" w:eastAsia="Arial" w:hAnsi="Arial"/>
          <w:i/>
          <w:iCs/>
          <w:color w:val="888888"/>
          <w:sz w:val="20"/>
          <w:szCs w:val="20"/>
        </w:rPr>
        <w:t xml:space="preserve">This plan has been prepared with reference to the following legislation and guidance:</w:t>
      </w:r>
    </w:p>
    <w:p>
      <w:pPr>
        <w:spacing w:after="100"/>
      </w:pPr>
      <w:r>
        <w:rPr>
          <w:rFonts w:ascii="Arial" w:cs="Arial" w:eastAsia="Arial" w:hAnsi="Arial"/>
          <w:i/>
          <w:iCs/>
          <w:color w:val="888888"/>
          <w:sz w:val="20"/>
          <w:szCs w:val="20"/>
        </w:rPr>
        <w:t xml:space="preserve">• Construction (Design and Management) Regulations 2015</w:t>
      </w:r>
    </w:p>
    <w:p>
      <w:pPr>
        <w:spacing w:after="100"/>
      </w:pPr>
      <w:r>
        <w:rPr>
          <w:rFonts w:ascii="Arial" w:cs="Arial" w:eastAsia="Arial" w:hAnsi="Arial"/>
          <w:i/>
          <w:iCs/>
          <w:color w:val="888888"/>
          <w:sz w:val="20"/>
          <w:szCs w:val="20"/>
        </w:rPr>
        <w:t xml:space="preserve">• Health and Safety at Work etc. Act 1974</w:t>
      </w:r>
    </w:p>
    <w:p>
      <w:pPr>
        <w:spacing w:after="100"/>
      </w:pPr>
      <w:r>
        <w:rPr>
          <w:rFonts w:ascii="Arial" w:cs="Arial" w:eastAsia="Arial" w:hAnsi="Arial"/>
          <w:i/>
          <w:iCs/>
          <w:color w:val="888888"/>
          <w:sz w:val="20"/>
          <w:szCs w:val="20"/>
        </w:rPr>
        <w:t xml:space="preserve">• Management of Health and Safety at Work Regulations 1999</w:t>
      </w:r>
    </w:p>
    <w:p>
      <w:pPr>
        <w:spacing w:after="100"/>
      </w:pPr>
      <w:r>
        <w:rPr>
          <w:rFonts w:ascii="Arial" w:cs="Arial" w:eastAsia="Arial" w:hAnsi="Arial"/>
          <w:i/>
          <w:iCs/>
          <w:color w:val="888888"/>
          <w:sz w:val="20"/>
          <w:szCs w:val="20"/>
        </w:rPr>
        <w:t xml:space="preserve">• HSE guidance L153 – Managing Health and Safety in Construction</w:t>
      </w:r>
    </w:p>
    <w:p>
      <w:pPr>
        <w:spacing w:after="100"/>
      </w:pPr>
      <w:r>
        <w:rPr>
          <w:rFonts w:ascii="Arial" w:cs="Arial" w:eastAsia="Arial" w:hAnsi="Arial"/>
          <w:i/>
          <w:iCs/>
          <w:color w:val="888888"/>
          <w:sz w:val="20"/>
          <w:szCs w:val="20"/>
        </w:rPr>
        <w:t xml:space="preserve">• PAS 1192-6:2018 – Specification for collaborative sharing of structured H&amp;S information</w:t>
      </w:r>
    </w:p>
    <w:p>
      <w:pPr>
        <w:spacing w:after="100" w:before="200"/>
      </w:pPr>
    </w:p>
    <w:p>
      <w:pPr>
        <w:pStyle w:val="Heading1"/>
      </w:pPr>
      <w:r>
        <w:rPr>
          <w:rFonts w:ascii="Arial" w:cs="Arial" w:eastAsia="Arial" w:hAnsi="Arial"/>
          <w:b/>
          <w:bCs/>
          <w:color w:val="1B2A4A"/>
          <w:sz w:val="32"/>
          <w:szCs w:val="32"/>
        </w:rPr>
        <w:t xml:space="preserve">2. Project Description</w:t>
      </w:r>
    </w:p>
    <w:p>
      <w:pPr>
        <w:pStyle w:val="Heading2"/>
      </w:pPr>
      <w:r>
        <w:rPr>
          <w:rFonts w:ascii="Arial" w:cs="Arial" w:eastAsia="Arial" w:hAnsi="Arial"/>
          <w:b/>
          <w:bCs/>
          <w:color w:val="333333"/>
          <w:sz w:val="26"/>
          <w:szCs w:val="26"/>
        </w:rPr>
        <w:t xml:space="preserve">2.1 Project Overview</w:t>
      </w:r>
    </w:p>
    <w:p>
      <w:pPr>
        <w:spacing w:after="100"/>
      </w:pPr>
      <w:r>
        <w:rPr>
          <w:rFonts w:ascii="Arial" w:cs="Arial" w:eastAsia="Arial" w:hAnsi="Arial"/>
          <w:i/>
          <w:iCs/>
          <w:color w:val="888888"/>
          <w:sz w:val="20"/>
          <w:szCs w:val="20"/>
        </w:rPr>
        <w:t xml:space="preserve">Provide a comprehensive description of the project including its purpose, key features, construction methods and end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project: nature of works, key features, construction methods, programme overview.</w:t>
            </w:r>
          </w:p>
        </w:tc>
      </w:tr>
    </w:tbl>
    <w:p>
      <w:pPr>
        <w:pStyle w:val="Heading2"/>
      </w:pPr>
      <w:r>
        <w:rPr>
          <w:rFonts w:ascii="Arial" w:cs="Arial" w:eastAsia="Arial" w:hAnsi="Arial"/>
          <w:b/>
          <w:bCs/>
          <w:color w:val="333333"/>
          <w:sz w:val="26"/>
          <w:szCs w:val="26"/>
        </w:rPr>
        <w:t xml:space="preserve">2.2 Site Description</w:t>
      </w:r>
    </w:p>
    <w:p>
      <w:pPr>
        <w:spacing w:after="100"/>
      </w:pPr>
      <w:r>
        <w:rPr>
          <w:rFonts w:ascii="Arial" w:cs="Arial" w:eastAsia="Arial" w:hAnsi="Arial"/>
          <w:i/>
          <w:iCs/>
          <w:color w:val="888888"/>
          <w:sz w:val="20"/>
          <w:szCs w:val="20"/>
        </w:rPr>
        <w:t xml:space="preserve">Describe the site including location, topography, ground conditions, existing structures, adjacent properties, access constraints and any known contamination or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site characteristics and any known constraints or hazards.</w:t>
            </w:r>
          </w:p>
        </w:tc>
      </w:tr>
    </w:tbl>
    <w:p>
      <w:pPr>
        <w:pStyle w:val="Heading2"/>
      </w:pPr>
      <w:r>
        <w:rPr>
          <w:rFonts w:ascii="Arial" w:cs="Arial" w:eastAsia="Arial" w:hAnsi="Arial"/>
          <w:b/>
          <w:bCs/>
          <w:color w:val="333333"/>
          <w:sz w:val="26"/>
          <w:szCs w:val="26"/>
        </w:rPr>
        <w:t xml:space="preserve">2.3 Key Project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Construction Start 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Construction End 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(weeks):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weeks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Peak Workforce: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number of workers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Contractors: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contractor organisations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F10 Notified: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 submitted:</w:t>
            </w:r>
          </w:p>
        </w:tc>
      </w:tr>
    </w:tbl>
    <w:p>
      <w:pPr>
        <w:spacing w:after="100" w:before="200"/>
      </w:pPr>
    </w:p>
    <w:p>
      <w:pPr>
        <w:pStyle w:val="Heading1"/>
      </w:pPr>
      <w:r>
        <w:rPr>
          <w:rFonts w:ascii="Arial" w:cs="Arial" w:eastAsia="Arial" w:hAnsi="Arial"/>
          <w:b/>
          <w:bCs/>
          <w:color w:val="1B2A4A"/>
          <w:sz w:val="32"/>
          <w:szCs w:val="32"/>
        </w:rPr>
        <w:t xml:space="preserve">3. Management Structure and Responsibilities</w:t>
      </w:r>
    </w:p>
    <w:p>
      <w:pPr>
        <w:pStyle w:val="Heading2"/>
      </w:pPr>
      <w:r>
        <w:rPr>
          <w:rFonts w:ascii="Arial" w:cs="Arial" w:eastAsia="Arial" w:hAnsi="Arial"/>
          <w:b/>
          <w:bCs/>
          <w:color w:val="333333"/>
          <w:sz w:val="26"/>
          <w:szCs w:val="26"/>
        </w:rPr>
        <w:t xml:space="preserve">3.1 Project Organisation</w:t>
      </w:r>
    </w:p>
    <w:p>
      <w:pPr>
        <w:spacing w:after="100"/>
      </w:pPr>
      <w:r>
        <w:rPr>
          <w:rFonts w:ascii="Arial" w:cs="Arial" w:eastAsia="Arial" w:hAnsi="Arial"/>
          <w:i/>
          <w:iCs/>
          <w:color w:val="888888"/>
          <w:sz w:val="20"/>
          <w:szCs w:val="20"/>
        </w:rPr>
        <w:t xml:space="preserve">Provide the project management structure showing CDM duty holders and key management roles.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6"/>
        <w:gridCol w:w="25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No.</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Designer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Construction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Coordinator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Operations Coordinator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3.2 CDM Duty Holder Responsibilities</w:t>
      </w:r>
    </w:p>
    <w:p>
      <w:pPr>
        <w:spacing w:after="100"/>
      </w:pPr>
      <w:r>
        <w:rPr>
          <w:rFonts w:ascii="Arial" w:cs="Arial" w:eastAsia="Arial" w:hAnsi="Arial"/>
          <w:i/>
          <w:iCs/>
          <w:color w:val="888888"/>
          <w:sz w:val="20"/>
          <w:szCs w:val="20"/>
        </w:rPr>
        <w:t xml:space="preserve">Summarise the key responsibilities of each CDM duty holder under CDM 2015. Reference the specific regulations.</w:t>
      </w:r>
    </w:p>
    <w:p>
      <w:pPr>
        <w:spacing w:after="100"/>
      </w:pPr>
      <w:r>
        <w:rPr>
          <w:rFonts w:ascii="Arial" w:cs="Arial" w:eastAsia="Arial" w:hAnsi="Arial"/>
          <w:i/>
          <w:iCs/>
          <w:color w:val="888888"/>
          <w:sz w:val="20"/>
          <w:szCs w:val="20"/>
        </w:rPr>
        <w:t xml:space="preserve">• Client (Regulations 4 and 5): Make suitable arrangements, provide pre-construction information, ensure appointments are made, ensure welfare facilities are provided.</w:t>
      </w:r>
    </w:p>
    <w:p>
      <w:pPr>
        <w:spacing w:after="100"/>
      </w:pPr>
      <w:r>
        <w:rPr>
          <w:rFonts w:ascii="Arial" w:cs="Arial" w:eastAsia="Arial" w:hAnsi="Arial"/>
          <w:i/>
          <w:iCs/>
          <w:color w:val="888888"/>
          <w:sz w:val="20"/>
          <w:szCs w:val="20"/>
        </w:rPr>
        <w:t xml:space="preserve">• Principal Designer (Regulations 9 and 11): Plan, manage and monitor pre-construction phase, identify and eliminate or control foreseeable risks, prepare Health and Safety File.</w:t>
      </w:r>
    </w:p>
    <w:p>
      <w:pPr>
        <w:spacing w:after="100"/>
      </w:pPr>
      <w:r>
        <w:rPr>
          <w:rFonts w:ascii="Arial" w:cs="Arial" w:eastAsia="Arial" w:hAnsi="Arial"/>
          <w:i/>
          <w:iCs/>
          <w:color w:val="888888"/>
          <w:sz w:val="20"/>
          <w:szCs w:val="20"/>
        </w:rPr>
        <w:t xml:space="preserve">• Principal Contractor (Regulations 12–14): Plan, manage and monitor construction phase, prepare and maintain this CPP, ensure cooperation and coordination, consult and engage with workers.</w:t>
      </w:r>
    </w:p>
    <w:p>
      <w:pPr>
        <w:spacing w:after="100"/>
      </w:pPr>
      <w:r>
        <w:rPr>
          <w:rFonts w:ascii="Arial" w:cs="Arial" w:eastAsia="Arial" w:hAnsi="Arial"/>
          <w:i/>
          <w:iCs/>
          <w:color w:val="888888"/>
          <w:sz w:val="20"/>
          <w:szCs w:val="20"/>
        </w:rPr>
        <w:t xml:space="preserve">• Contractors (Regulation 15): Plan, manage and monitor their own work, comply with directions of the PC, report anything likely to endanger health or safety.</w:t>
      </w:r>
    </w:p>
    <w:p>
      <w:pPr>
        <w:spacing w:after="100"/>
      </w:pPr>
      <w:r>
        <w:rPr>
          <w:rFonts w:ascii="Arial" w:cs="Arial" w:eastAsia="Arial" w:hAnsi="Arial"/>
          <w:i/>
          <w:iCs/>
          <w:color w:val="888888"/>
          <w:sz w:val="20"/>
          <w:szCs w:val="20"/>
        </w:rPr>
        <w:t xml:space="preserve">• Workers (Regulation 16): Report anything they are aware of that is likely to endanger health or safety.</w:t>
      </w:r>
    </w:p>
    <w:p>
      <w:pPr>
        <w:spacing w:after="100" w:before="200"/>
      </w:pPr>
    </w:p>
    <w:p>
      <w:pPr>
        <w:pStyle w:val="Heading1"/>
      </w:pPr>
      <w:r>
        <w:rPr>
          <w:rFonts w:ascii="Arial" w:cs="Arial" w:eastAsia="Arial" w:hAnsi="Arial"/>
          <w:b/>
          <w:bCs/>
          <w:color w:val="1B2A4A"/>
          <w:sz w:val="32"/>
          <w:szCs w:val="32"/>
        </w:rPr>
        <w:t xml:space="preserve">4. Arrangements for Managing Health and Safety</w:t>
      </w:r>
    </w:p>
    <w:p>
      <w:pPr>
        <w:pStyle w:val="Heading2"/>
      </w:pPr>
      <w:r>
        <w:rPr>
          <w:rFonts w:ascii="Arial" w:cs="Arial" w:eastAsia="Arial" w:hAnsi="Arial"/>
          <w:b/>
          <w:bCs/>
          <w:color w:val="333333"/>
          <w:sz w:val="26"/>
          <w:szCs w:val="26"/>
        </w:rPr>
        <w:t xml:space="preserve">4.1 Site Rules</w:t>
      </w:r>
    </w:p>
    <w:p>
      <w:pPr>
        <w:spacing w:after="100"/>
      </w:pPr>
      <w:r>
        <w:rPr>
          <w:rFonts w:ascii="Arial" w:cs="Arial" w:eastAsia="Arial" w:hAnsi="Arial"/>
          <w:i/>
          <w:iCs/>
          <w:color w:val="888888"/>
          <w:sz w:val="20"/>
          <w:szCs w:val="20"/>
        </w:rPr>
        <w:t xml:space="preserve">Describe the site rules applicable to all personnel on site. Reference the Site Rules Document. Key rules should include: mandatory PPE, drugs and alcohol policy, smoking/vaping areas, mobile phone use, working hours, speed limits, housekeeping standards.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Summarise the key site rules or reference the Site Rules Document.</w:t>
            </w:r>
          </w:p>
        </w:tc>
      </w:tr>
    </w:tbl>
    <w:p>
      <w:pPr>
        <w:pStyle w:val="Heading2"/>
      </w:pPr>
      <w:r>
        <w:rPr>
          <w:rFonts w:ascii="Arial" w:cs="Arial" w:eastAsia="Arial" w:hAnsi="Arial"/>
          <w:b/>
          <w:bCs/>
          <w:color w:val="333333"/>
          <w:sz w:val="26"/>
          <w:szCs w:val="26"/>
        </w:rPr>
        <w:t xml:space="preserve">4.2 Site Induction</w:t>
      </w:r>
    </w:p>
    <w:p>
      <w:pPr>
        <w:spacing w:after="100"/>
      </w:pPr>
      <w:r>
        <w:rPr>
          <w:rFonts w:ascii="Arial" w:cs="Arial" w:eastAsia="Arial" w:hAnsi="Arial"/>
          <w:i/>
          <w:iCs/>
          <w:color w:val="888888"/>
          <w:sz w:val="20"/>
          <w:szCs w:val="20"/>
        </w:rPr>
        <w:t xml:space="preserve">All personnel must complete a site induction before commencing work. Describe the induction process, content, record-keeping and re-induction arrangements for those returning after absence.</w:t>
      </w:r>
    </w:p>
    <w:p>
      <w:pPr>
        <w:pStyle w:val="Heading2"/>
      </w:pPr>
      <w:r>
        <w:rPr>
          <w:rFonts w:ascii="Arial" w:cs="Arial" w:eastAsia="Arial" w:hAnsi="Arial"/>
          <w:b/>
          <w:bCs/>
          <w:color w:val="333333"/>
          <w:sz w:val="26"/>
          <w:szCs w:val="26"/>
        </w:rPr>
        <w:t xml:space="preserve">4.3 Competence and Training</w:t>
      </w:r>
    </w:p>
    <w:p>
      <w:pPr>
        <w:spacing w:after="100"/>
      </w:pPr>
      <w:r>
        <w:rPr>
          <w:rFonts w:ascii="Arial" w:cs="Arial" w:eastAsia="Arial" w:hAnsi="Arial"/>
          <w:i/>
          <w:iCs/>
          <w:color w:val="888888"/>
          <w:sz w:val="20"/>
          <w:szCs w:val="20"/>
        </w:rPr>
        <w:t xml:space="preserve">Describe the arrangements for ensuring all workers are competent. Include requirements for CSCS cards, specific qualifications, training records and competence assessments.</w:t>
      </w:r>
    </w:p>
    <w:p>
      <w:pPr>
        <w:pStyle w:val="Heading2"/>
      </w:pPr>
      <w:r>
        <w:rPr>
          <w:rFonts w:ascii="Arial" w:cs="Arial" w:eastAsia="Arial" w:hAnsi="Arial"/>
          <w:b/>
          <w:bCs/>
          <w:color w:val="333333"/>
          <w:sz w:val="26"/>
          <w:szCs w:val="26"/>
        </w:rPr>
        <w:t xml:space="preserve">4.4 Communication and Consultation</w:t>
      </w:r>
    </w:p>
    <w:p>
      <w:pPr>
        <w:spacing w:after="100"/>
      </w:pPr>
      <w:r>
        <w:rPr>
          <w:rFonts w:ascii="Arial" w:cs="Arial" w:eastAsia="Arial" w:hAnsi="Arial"/>
          <w:i/>
          <w:iCs/>
          <w:color w:val="888888"/>
          <w:sz w:val="20"/>
          <w:szCs w:val="20"/>
        </w:rPr>
        <w:t xml:space="preserve">Describe how health and safety information will be communicated to the workforce. Include: toolbox talks, start-of-shift briefings, method statement briefings, notice boards, safety alerts, worker consultation arrangements.</w:t>
      </w:r>
    </w:p>
    <w:p>
      <w:pPr>
        <w:pStyle w:val="Heading2"/>
      </w:pPr>
      <w:r>
        <w:rPr>
          <w:rFonts w:ascii="Arial" w:cs="Arial" w:eastAsia="Arial" w:hAnsi="Arial"/>
          <w:b/>
          <w:bCs/>
          <w:color w:val="333333"/>
          <w:sz w:val="26"/>
          <w:szCs w:val="26"/>
        </w:rPr>
        <w:t xml:space="preserve">4.5 Cooperation and Coordination</w:t>
      </w:r>
    </w:p>
    <w:p>
      <w:pPr>
        <w:spacing w:after="100"/>
      </w:pPr>
      <w:r>
        <w:rPr>
          <w:rFonts w:ascii="Arial" w:cs="Arial" w:eastAsia="Arial" w:hAnsi="Arial"/>
          <w:i/>
          <w:iCs/>
          <w:color w:val="888888"/>
          <w:sz w:val="20"/>
          <w:szCs w:val="20"/>
        </w:rPr>
        <w:t xml:space="preserve">Describe the arrangements for ensuring cooperation between contractors. Include: coordination meetings, permit-to-work system, simultaneous operations management, interface management.</w:t>
      </w:r>
    </w:p>
    <w:p>
      <w:pPr>
        <w:spacing w:after="100" w:before="200"/>
      </w:pPr>
    </w:p>
    <w:p>
      <w:pPr>
        <w:pStyle w:val="Heading1"/>
      </w:pPr>
      <w:r>
        <w:rPr>
          <w:rFonts w:ascii="Arial" w:cs="Arial" w:eastAsia="Arial" w:hAnsi="Arial"/>
          <w:b/>
          <w:bCs/>
          <w:color w:val="1B2A4A"/>
          <w:sz w:val="32"/>
          <w:szCs w:val="32"/>
        </w:rPr>
        <w:t xml:space="preserve">5. Risk Assessment and Control</w:t>
      </w:r>
    </w:p>
    <w:p>
      <w:pPr>
        <w:pStyle w:val="Heading2"/>
      </w:pPr>
      <w:r>
        <w:rPr>
          <w:rFonts w:ascii="Arial" w:cs="Arial" w:eastAsia="Arial" w:hAnsi="Arial"/>
          <w:b/>
          <w:bCs/>
          <w:color w:val="333333"/>
          <w:sz w:val="26"/>
          <w:szCs w:val="26"/>
        </w:rPr>
        <w:t xml:space="preserve">5.1 Risk Assessment Process</w:t>
      </w:r>
    </w:p>
    <w:p>
      <w:pPr>
        <w:spacing w:after="100"/>
      </w:pPr>
      <w:r>
        <w:rPr>
          <w:rFonts w:ascii="Arial" w:cs="Arial" w:eastAsia="Arial" w:hAnsi="Arial"/>
          <w:i/>
          <w:iCs/>
          <w:color w:val="888888"/>
          <w:sz w:val="20"/>
          <w:szCs w:val="20"/>
        </w:rPr>
        <w:t xml:space="preserve">Describe the risk assessment process including generic and task-specific risk assessments, dynamic risk assessments, and the review and update procedure. Reference the hierarchy of control.</w:t>
      </w:r>
    </w:p>
    <w:p>
      <w:pPr>
        <w:pStyle w:val="Heading2"/>
      </w:pPr>
      <w:r>
        <w:rPr>
          <w:rFonts w:ascii="Arial" w:cs="Arial" w:eastAsia="Arial" w:hAnsi="Arial"/>
          <w:b/>
          <w:bCs/>
          <w:color w:val="333333"/>
          <w:sz w:val="26"/>
          <w:szCs w:val="26"/>
        </w:rPr>
        <w:t xml:space="preserve">5.2 Significant and Unusual Risks</w:t>
      </w:r>
    </w:p>
    <w:p>
      <w:pPr>
        <w:spacing w:after="100"/>
      </w:pPr>
      <w:r>
        <w:rPr>
          <w:rFonts w:ascii="Arial" w:cs="Arial" w:eastAsia="Arial" w:hAnsi="Arial"/>
          <w:i/>
          <w:iCs/>
          <w:color w:val="888888"/>
          <w:sz w:val="20"/>
          <w:szCs w:val="20"/>
        </w:rPr>
        <w:t xml:space="preserve">Identify the significant and unusual risks associated with this project. These should be drawn from the pre-construction information, design risk register and site investigations.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25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Significant Risk</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5.3 Method Statements</w:t>
      </w:r>
    </w:p>
    <w:p>
      <w:pPr>
        <w:spacing w:after="100"/>
      </w:pPr>
      <w:r>
        <w:rPr>
          <w:rFonts w:ascii="Arial" w:cs="Arial" w:eastAsia="Arial" w:hAnsi="Arial"/>
          <w:i/>
          <w:iCs/>
          <w:color w:val="888888"/>
          <w:sz w:val="20"/>
          <w:szCs w:val="20"/>
        </w:rPr>
        <w:t xml:space="preserve">Describe the method statement process: preparation, review, approval, briefing and record-keeping. All high-risk activities must have an approved method statement before work commences.</w:t>
      </w:r>
    </w:p>
    <w:p>
      <w:pPr>
        <w:spacing w:after="100" w:before="200"/>
      </w:pPr>
    </w:p>
    <w:p>
      <w:pPr>
        <w:pStyle w:val="Heading1"/>
      </w:pPr>
      <w:r>
        <w:rPr>
          <w:rFonts w:ascii="Arial" w:cs="Arial" w:eastAsia="Arial" w:hAnsi="Arial"/>
          <w:b/>
          <w:bCs/>
          <w:color w:val="1B2A4A"/>
          <w:sz w:val="32"/>
          <w:szCs w:val="32"/>
        </w:rPr>
        <w:t xml:space="preserve">6. Specific Safety Arrangements</w:t>
      </w:r>
    </w:p>
    <w:p>
      <w:pPr>
        <w:pStyle w:val="Heading2"/>
      </w:pPr>
      <w:r>
        <w:rPr>
          <w:rFonts w:ascii="Arial" w:cs="Arial" w:eastAsia="Arial" w:hAnsi="Arial"/>
          <w:b/>
          <w:bCs/>
          <w:color w:val="333333"/>
          <w:sz w:val="26"/>
          <w:szCs w:val="26"/>
        </w:rPr>
        <w:t xml:space="preserve">6.1 Working at Height</w:t>
      </w:r>
    </w:p>
    <w:p>
      <w:pPr>
        <w:spacing w:after="100"/>
      </w:pPr>
      <w:r>
        <w:rPr>
          <w:rFonts w:ascii="Arial" w:cs="Arial" w:eastAsia="Arial" w:hAnsi="Arial"/>
          <w:i/>
          <w:iCs/>
          <w:color w:val="888888"/>
          <w:sz w:val="20"/>
          <w:szCs w:val="20"/>
        </w:rPr>
        <w:t xml:space="preserve">Describe the arrangements for managing working at height in accordance with the Work at Height Regulations 2005. Include: hierarchy of control, scaffold management, MEWP use, edge protection, roof work, ladder policy, rescue plans.</w:t>
      </w:r>
    </w:p>
    <w:p>
      <w:pPr>
        <w:pStyle w:val="Heading2"/>
      </w:pPr>
      <w:r>
        <w:rPr>
          <w:rFonts w:ascii="Arial" w:cs="Arial" w:eastAsia="Arial" w:hAnsi="Arial"/>
          <w:b/>
          <w:bCs/>
          <w:color w:val="333333"/>
          <w:sz w:val="26"/>
          <w:szCs w:val="26"/>
        </w:rPr>
        <w:t xml:space="preserve">6.2 Excavations</w:t>
      </w:r>
    </w:p>
    <w:p>
      <w:pPr>
        <w:spacing w:after="100"/>
      </w:pPr>
      <w:r>
        <w:rPr>
          <w:rFonts w:ascii="Arial" w:cs="Arial" w:eastAsia="Arial" w:hAnsi="Arial"/>
          <w:i/>
          <w:iCs/>
          <w:color w:val="888888"/>
          <w:sz w:val="20"/>
          <w:szCs w:val="20"/>
        </w:rPr>
        <w:t xml:space="preserve">Describe arrangements for excavation safety in accordance with CDM 2015 Regulation 22. Include: service detection, support systems, edge protection, access/egress, inspection regime, permit to dig.</w:t>
      </w:r>
    </w:p>
    <w:p>
      <w:pPr>
        <w:pStyle w:val="Heading2"/>
      </w:pPr>
      <w:r>
        <w:rPr>
          <w:rFonts w:ascii="Arial" w:cs="Arial" w:eastAsia="Arial" w:hAnsi="Arial"/>
          <w:b/>
          <w:bCs/>
          <w:color w:val="333333"/>
          <w:sz w:val="26"/>
          <w:szCs w:val="26"/>
        </w:rPr>
        <w:t xml:space="preserve">6.3 Lifting Operations</w:t>
      </w:r>
    </w:p>
    <w:p>
      <w:pPr>
        <w:spacing w:after="100"/>
      </w:pPr>
      <w:r>
        <w:rPr>
          <w:rFonts w:ascii="Arial" w:cs="Arial" w:eastAsia="Arial" w:hAnsi="Arial"/>
          <w:i/>
          <w:iCs/>
          <w:color w:val="888888"/>
          <w:sz w:val="20"/>
          <w:szCs w:val="20"/>
        </w:rPr>
        <w:t xml:space="preserve">Describe lifting operations management in accordance with LOLER 1998. Include: appointed person role, lift planning, crane inspections, exclusion zones, communication systems, lifting accessories management.</w:t>
      </w:r>
    </w:p>
    <w:p>
      <w:pPr>
        <w:pStyle w:val="Heading2"/>
      </w:pPr>
      <w:r>
        <w:rPr>
          <w:rFonts w:ascii="Arial" w:cs="Arial" w:eastAsia="Arial" w:hAnsi="Arial"/>
          <w:b/>
          <w:bCs/>
          <w:color w:val="333333"/>
          <w:sz w:val="26"/>
          <w:szCs w:val="26"/>
        </w:rPr>
        <w:t xml:space="preserve">6.4 Temporary Works</w:t>
      </w:r>
    </w:p>
    <w:p>
      <w:pPr>
        <w:spacing w:after="100"/>
      </w:pPr>
      <w:r>
        <w:rPr>
          <w:rFonts w:ascii="Arial" w:cs="Arial" w:eastAsia="Arial" w:hAnsi="Arial"/>
          <w:i/>
          <w:iCs/>
          <w:color w:val="888888"/>
          <w:sz w:val="20"/>
          <w:szCs w:val="20"/>
        </w:rPr>
        <w:t xml:space="preserve">Describe temporary works management procedures. Include: temporary works coordinator role, design checking, register, inspection and sign-off. Reference BS 5975.</w:t>
      </w:r>
    </w:p>
    <w:p>
      <w:pPr>
        <w:pStyle w:val="Heading2"/>
      </w:pPr>
      <w:r>
        <w:rPr>
          <w:rFonts w:ascii="Arial" w:cs="Arial" w:eastAsia="Arial" w:hAnsi="Arial"/>
          <w:b/>
          <w:bCs/>
          <w:color w:val="333333"/>
          <w:sz w:val="26"/>
          <w:szCs w:val="26"/>
        </w:rPr>
        <w:t xml:space="preserve">6.5 Confined Spaces</w:t>
      </w:r>
    </w:p>
    <w:p>
      <w:pPr>
        <w:spacing w:after="100"/>
      </w:pPr>
      <w:r>
        <w:rPr>
          <w:rFonts w:ascii="Arial" w:cs="Arial" w:eastAsia="Arial" w:hAnsi="Arial"/>
          <w:i/>
          <w:iCs/>
          <w:color w:val="888888"/>
          <w:sz w:val="20"/>
          <w:szCs w:val="20"/>
        </w:rPr>
        <w:t xml:space="preserve">Describe confined space management in accordance with the Confined Spaces Regulations 1997. Include: identification, risk assessment, safe system of work, permits, atmospheric monitoring, rescue arrangements.</w:t>
      </w:r>
    </w:p>
    <w:p>
      <w:pPr>
        <w:pStyle w:val="Heading2"/>
      </w:pPr>
      <w:r>
        <w:rPr>
          <w:rFonts w:ascii="Arial" w:cs="Arial" w:eastAsia="Arial" w:hAnsi="Arial"/>
          <w:b/>
          <w:bCs/>
          <w:color w:val="333333"/>
          <w:sz w:val="26"/>
          <w:szCs w:val="26"/>
        </w:rPr>
        <w:t xml:space="preserve">6.6 Electrical Safety</w:t>
      </w:r>
    </w:p>
    <w:p>
      <w:pPr>
        <w:spacing w:after="100"/>
      </w:pPr>
      <w:r>
        <w:rPr>
          <w:rFonts w:ascii="Arial" w:cs="Arial" w:eastAsia="Arial" w:hAnsi="Arial"/>
          <w:i/>
          <w:iCs/>
          <w:color w:val="888888"/>
          <w:sz w:val="20"/>
          <w:szCs w:val="20"/>
        </w:rPr>
        <w:t xml:space="preserve">Describe electrical safety arrangements including temporary electrical installations, isolation procedures, lock-out/tag-out, overhead power lines, underground cables.</w:t>
      </w:r>
    </w:p>
    <w:p>
      <w:pPr>
        <w:pStyle w:val="Heading2"/>
      </w:pPr>
      <w:r>
        <w:rPr>
          <w:rFonts w:ascii="Arial" w:cs="Arial" w:eastAsia="Arial" w:hAnsi="Arial"/>
          <w:b/>
          <w:bCs/>
          <w:color w:val="333333"/>
          <w:sz w:val="26"/>
          <w:szCs w:val="26"/>
        </w:rPr>
        <w:t xml:space="preserve">6.7 Plant and Equipment</w:t>
      </w:r>
    </w:p>
    <w:p>
      <w:pPr>
        <w:spacing w:after="100"/>
      </w:pPr>
      <w:r>
        <w:rPr>
          <w:rFonts w:ascii="Arial" w:cs="Arial" w:eastAsia="Arial" w:hAnsi="Arial"/>
          <w:i/>
          <w:iCs/>
          <w:color w:val="888888"/>
          <w:sz w:val="20"/>
          <w:szCs w:val="20"/>
        </w:rPr>
        <w:t xml:space="preserve">Describe plant management including pre-use checks, maintenance, operator competence, plant segregation, reversing protocols. Reference PUWER 1998.</w:t>
      </w:r>
    </w:p>
    <w:p>
      <w:pPr>
        <w:pStyle w:val="Heading2"/>
      </w:pPr>
      <w:r>
        <w:rPr>
          <w:rFonts w:ascii="Arial" w:cs="Arial" w:eastAsia="Arial" w:hAnsi="Arial"/>
          <w:b/>
          <w:bCs/>
          <w:color w:val="333333"/>
          <w:sz w:val="26"/>
          <w:szCs w:val="26"/>
        </w:rPr>
        <w:t xml:space="preserve">6.8 Manual Handling</w:t>
      </w:r>
    </w:p>
    <w:p>
      <w:pPr>
        <w:spacing w:after="100"/>
      </w:pPr>
      <w:r>
        <w:rPr>
          <w:rFonts w:ascii="Arial" w:cs="Arial" w:eastAsia="Arial" w:hAnsi="Arial"/>
          <w:i/>
          <w:iCs/>
          <w:color w:val="888888"/>
          <w:sz w:val="20"/>
          <w:szCs w:val="20"/>
        </w:rPr>
        <w:t xml:space="preserve">Describe manual handling risk reduction measures in accordance with the Manual Handling Operations Regulations 1992.</w:t>
      </w:r>
    </w:p>
    <w:p>
      <w:pPr>
        <w:pStyle w:val="Heading2"/>
      </w:pPr>
      <w:r>
        <w:rPr>
          <w:rFonts w:ascii="Arial" w:cs="Arial" w:eastAsia="Arial" w:hAnsi="Arial"/>
          <w:b/>
          <w:bCs/>
          <w:color w:val="333333"/>
          <w:sz w:val="26"/>
          <w:szCs w:val="26"/>
        </w:rPr>
        <w:t xml:space="preserve">6.9 Hazardous Substances</w:t>
      </w:r>
    </w:p>
    <w:p>
      <w:pPr>
        <w:spacing w:after="100"/>
      </w:pPr>
      <w:r>
        <w:rPr>
          <w:rFonts w:ascii="Arial" w:cs="Arial" w:eastAsia="Arial" w:hAnsi="Arial"/>
          <w:i/>
          <w:iCs/>
          <w:color w:val="888888"/>
          <w:sz w:val="20"/>
          <w:szCs w:val="20"/>
        </w:rPr>
        <w:t xml:space="preserve">Describe COSHH management arrangements including substance inventory, assessments, controls, exposure monitoring, health surveillance. Reference COSHH 2002.</w:t>
      </w:r>
    </w:p>
    <w:p>
      <w:pPr>
        <w:pStyle w:val="Heading2"/>
      </w:pPr>
      <w:r>
        <w:rPr>
          <w:rFonts w:ascii="Arial" w:cs="Arial" w:eastAsia="Arial" w:hAnsi="Arial"/>
          <w:b/>
          <w:bCs/>
          <w:color w:val="333333"/>
          <w:sz w:val="26"/>
          <w:szCs w:val="26"/>
        </w:rPr>
        <w:t xml:space="preserve">6.10 Noise and Vibration</w:t>
      </w:r>
    </w:p>
    <w:p>
      <w:pPr>
        <w:spacing w:after="100"/>
      </w:pPr>
      <w:r>
        <w:rPr>
          <w:rFonts w:ascii="Arial" w:cs="Arial" w:eastAsia="Arial" w:hAnsi="Arial"/>
          <w:i/>
          <w:iCs/>
          <w:color w:val="888888"/>
          <w:sz w:val="20"/>
          <w:szCs w:val="20"/>
        </w:rPr>
        <w:t xml:space="preserve">Describe noise and vibration management in accordance with the Control of Noise at Work Regulations 2005 and the Control of Vibration at Work Regulations 2005.</w:t>
      </w:r>
    </w:p>
    <w:p>
      <w:pPr>
        <w:pStyle w:val="Heading2"/>
      </w:pPr>
      <w:r>
        <w:rPr>
          <w:rFonts w:ascii="Arial" w:cs="Arial" w:eastAsia="Arial" w:hAnsi="Arial"/>
          <w:b/>
          <w:bCs/>
          <w:color w:val="333333"/>
          <w:sz w:val="26"/>
          <w:szCs w:val="26"/>
        </w:rPr>
        <w:t xml:space="preserve">6.11 Asbestos</w:t>
      </w:r>
    </w:p>
    <w:p>
      <w:pPr>
        <w:spacing w:after="100"/>
      </w:pPr>
      <w:r>
        <w:rPr>
          <w:rFonts w:ascii="Arial" w:cs="Arial" w:eastAsia="Arial" w:hAnsi="Arial"/>
          <w:i/>
          <w:iCs/>
          <w:color w:val="888888"/>
          <w:sz w:val="20"/>
          <w:szCs w:val="20"/>
        </w:rPr>
        <w:t xml:space="preserve">Describe asbestos management arrangements if asbestos is present or suspected. Reference the Control of Asbestos Regulations 2012.</w:t>
      </w:r>
    </w:p>
    <w:p>
      <w:pPr>
        <w:spacing w:after="100" w:before="200"/>
      </w:pPr>
    </w:p>
    <w:p>
      <w:pPr>
        <w:pStyle w:val="Heading1"/>
      </w:pPr>
      <w:r>
        <w:rPr>
          <w:rFonts w:ascii="Arial" w:cs="Arial" w:eastAsia="Arial" w:hAnsi="Arial"/>
          <w:b/>
          <w:bCs/>
          <w:color w:val="1B2A4A"/>
          <w:sz w:val="32"/>
          <w:szCs w:val="32"/>
        </w:rPr>
        <w:t xml:space="preserve">7. Fire Prevention and Emergency Procedures</w:t>
      </w:r>
    </w:p>
    <w:p>
      <w:pPr>
        <w:pStyle w:val="Heading2"/>
      </w:pPr>
      <w:r>
        <w:rPr>
          <w:rFonts w:ascii="Arial" w:cs="Arial" w:eastAsia="Arial" w:hAnsi="Arial"/>
          <w:b/>
          <w:bCs/>
          <w:color w:val="333333"/>
          <w:sz w:val="26"/>
          <w:szCs w:val="26"/>
        </w:rPr>
        <w:t xml:space="preserve">7.1 Fire Prevention</w:t>
      </w:r>
    </w:p>
    <w:p>
      <w:pPr>
        <w:spacing w:after="100"/>
      </w:pPr>
      <w:r>
        <w:rPr>
          <w:rFonts w:ascii="Arial" w:cs="Arial" w:eastAsia="Arial" w:hAnsi="Arial"/>
          <w:i/>
          <w:iCs/>
          <w:color w:val="888888"/>
          <w:sz w:val="20"/>
          <w:szCs w:val="20"/>
        </w:rPr>
        <w:t xml:space="preserve">Describe fire prevention measures: hot works management, flammable storage, temporary electrical safety, housekeeping, fire risk assessment. Reference the Regulatory Reform (Fire Safety) Order 2005.</w:t>
      </w:r>
    </w:p>
    <w:p>
      <w:pPr>
        <w:pStyle w:val="Heading2"/>
      </w:pPr>
      <w:r>
        <w:rPr>
          <w:rFonts w:ascii="Arial" w:cs="Arial" w:eastAsia="Arial" w:hAnsi="Arial"/>
          <w:b/>
          <w:bCs/>
          <w:color w:val="333333"/>
          <w:sz w:val="26"/>
          <w:szCs w:val="26"/>
        </w:rPr>
        <w:t xml:space="preserve">7.2 Emergency Procedures</w:t>
      </w:r>
    </w:p>
    <w:p>
      <w:pPr>
        <w:spacing w:after="100"/>
      </w:pPr>
      <w:r>
        <w:rPr>
          <w:rFonts w:ascii="Arial" w:cs="Arial" w:eastAsia="Arial" w:hAnsi="Arial"/>
          <w:i/>
          <w:iCs/>
          <w:color w:val="888888"/>
          <w:sz w:val="20"/>
          <w:szCs w:val="20"/>
        </w:rPr>
        <w:t xml:space="preserve">Reference the Site Emergency Response Plan. Summarise: alarm system, evacuation routes, assembly points, first aid arrangements, emergency contacts, RIDDOR reporting, fire drill frequency.</w:t>
      </w:r>
    </w:p>
    <w:p>
      <w:pPr>
        <w:pStyle w:val="Heading2"/>
      </w:pPr>
      <w:r>
        <w:rPr>
          <w:rFonts w:ascii="Arial" w:cs="Arial" w:eastAsia="Arial" w:hAnsi="Arial"/>
          <w:b/>
          <w:bCs/>
          <w:color w:val="333333"/>
          <w:sz w:val="26"/>
          <w:szCs w:val="26"/>
        </w:rPr>
        <w:t xml:space="preserve">7.3 First Aid</w:t>
      </w:r>
    </w:p>
    <w:p>
      <w:pPr>
        <w:spacing w:after="100"/>
      </w:pPr>
      <w:r>
        <w:rPr>
          <w:rFonts w:ascii="Arial" w:cs="Arial" w:eastAsia="Arial" w:hAnsi="Arial"/>
          <w:i/>
          <w:iCs/>
          <w:color w:val="888888"/>
          <w:sz w:val="20"/>
          <w:szCs w:val="20"/>
        </w:rPr>
        <w:t xml:space="preserve">Describe first aid arrangements in accordance with the Health and Safety (First-Aid) Regulations 1981. Include: number and location of first aiders, first aid kits, AEDs, medical facilities.</w:t>
      </w:r>
    </w:p>
    <w:p>
      <w:pPr>
        <w:spacing w:after="100" w:before="200"/>
      </w:pPr>
    </w:p>
    <w:p>
      <w:pPr>
        <w:pStyle w:val="Heading1"/>
      </w:pPr>
      <w:r>
        <w:rPr>
          <w:rFonts w:ascii="Arial" w:cs="Arial" w:eastAsia="Arial" w:hAnsi="Arial"/>
          <w:b/>
          <w:bCs/>
          <w:color w:val="1B2A4A"/>
          <w:sz w:val="32"/>
          <w:szCs w:val="32"/>
        </w:rPr>
        <w:t xml:space="preserve">8. Traffic Management</w:t>
      </w:r>
    </w:p>
    <w:p>
      <w:pPr>
        <w:spacing w:after="100"/>
      </w:pPr>
      <w:r>
        <w:rPr>
          <w:rFonts w:ascii="Arial" w:cs="Arial" w:eastAsia="Arial" w:hAnsi="Arial"/>
          <w:i/>
          <w:iCs/>
          <w:color w:val="888888"/>
          <w:sz w:val="20"/>
          <w:szCs w:val="20"/>
        </w:rPr>
        <w:t xml:space="preserve">Describe the traffic management plan for the site: vehicle and pedestrian segregation, speed limits, one-way systems, banksman arrangements, reversing protocols, delivery management, abnormal loads.</w:t>
      </w:r>
    </w:p>
    <w:p>
      <w:pPr>
        <w:spacing w:after="100" w:before="200"/>
      </w:pPr>
    </w:p>
    <w:p>
      <w:pPr>
        <w:pStyle w:val="Heading1"/>
      </w:pPr>
      <w:r>
        <w:rPr>
          <w:rFonts w:ascii="Arial" w:cs="Arial" w:eastAsia="Arial" w:hAnsi="Arial"/>
          <w:b/>
          <w:bCs/>
          <w:color w:val="1B2A4A"/>
          <w:sz w:val="32"/>
          <w:szCs w:val="32"/>
        </w:rPr>
        <w:t xml:space="preserve">9. Welfare Facilities</w:t>
      </w:r>
    </w:p>
    <w:p>
      <w:pPr>
        <w:spacing w:after="100"/>
      </w:pPr>
      <w:r>
        <w:rPr>
          <w:rFonts w:ascii="Arial" w:cs="Arial" w:eastAsia="Arial" w:hAnsi="Arial"/>
          <w:i/>
          <w:iCs/>
          <w:color w:val="888888"/>
          <w:sz w:val="20"/>
          <w:szCs w:val="20"/>
        </w:rPr>
        <w:t xml:space="preserve">Describe welfare facilities in accordance with CDM 2015 Schedule 2. Include: toilets, washing facilities, changing rooms, rest areas, drinking water, drying rooms, storage for clothing. State locations and adequacy for the anticipated workforce numbers.</w:t>
      </w:r>
    </w:p>
    <w:p>
      <w:pPr>
        <w:spacing w:after="100" w:before="200"/>
      </w:pPr>
    </w:p>
    <w:p>
      <w:pPr>
        <w:pStyle w:val="Heading1"/>
      </w:pPr>
      <w:r>
        <w:rPr>
          <w:rFonts w:ascii="Arial" w:cs="Arial" w:eastAsia="Arial" w:hAnsi="Arial"/>
          <w:b/>
          <w:bCs/>
          <w:color w:val="1B2A4A"/>
          <w:sz w:val="32"/>
          <w:szCs w:val="32"/>
        </w:rPr>
        <w:t xml:space="preserve">10. Environmental Management</w:t>
      </w:r>
    </w:p>
    <w:p>
      <w:pPr>
        <w:spacing w:after="100"/>
      </w:pPr>
      <w:r>
        <w:rPr>
          <w:rFonts w:ascii="Arial" w:cs="Arial" w:eastAsia="Arial" w:hAnsi="Arial"/>
          <w:i/>
          <w:iCs/>
          <w:color w:val="888888"/>
          <w:sz w:val="20"/>
          <w:szCs w:val="20"/>
        </w:rPr>
        <w:t xml:space="preserve">Describe environmental management arrangements including: dust and noise control, water pollution prevention, waste management, ecology and biosecurity, sustainability measures. Reference any environmental permits or consents.</w:t>
      </w:r>
    </w:p>
    <w:p>
      <w:pPr>
        <w:spacing w:after="100" w:before="200"/>
      </w:pPr>
    </w:p>
    <w:p>
      <w:pPr>
        <w:pStyle w:val="Heading1"/>
      </w:pPr>
      <w:r>
        <w:rPr>
          <w:rFonts w:ascii="Arial" w:cs="Arial" w:eastAsia="Arial" w:hAnsi="Arial"/>
          <w:b/>
          <w:bCs/>
          <w:color w:val="1B2A4A"/>
          <w:sz w:val="32"/>
          <w:szCs w:val="32"/>
        </w:rPr>
        <w:t xml:space="preserve">11. Health and Safety Monitoring</w:t>
      </w:r>
    </w:p>
    <w:p>
      <w:pPr>
        <w:pStyle w:val="Heading2"/>
      </w:pPr>
      <w:r>
        <w:rPr>
          <w:rFonts w:ascii="Arial" w:cs="Arial" w:eastAsia="Arial" w:hAnsi="Arial"/>
          <w:b/>
          <w:bCs/>
          <w:color w:val="333333"/>
          <w:sz w:val="26"/>
          <w:szCs w:val="26"/>
        </w:rPr>
        <w:t xml:space="preserve">11.1 Inspections</w:t>
      </w:r>
    </w:p>
    <w:p>
      <w:pPr>
        <w:spacing w:after="100"/>
      </w:pPr>
      <w:r>
        <w:rPr>
          <w:rFonts w:ascii="Arial" w:cs="Arial" w:eastAsia="Arial" w:hAnsi="Arial"/>
          <w:i/>
          <w:iCs/>
          <w:color w:val="888888"/>
          <w:sz w:val="20"/>
          <w:szCs w:val="20"/>
        </w:rPr>
        <w:t xml:space="preserve">Describe the inspection regime: daily supervisor checks, weekly site inspections, scaffolding inspections, excavation inspections, lifting equipment inspections, environmental inspections. State frequency and responsibilities.</w:t>
      </w:r>
    </w:p>
    <w:p>
      <w:pPr>
        <w:pStyle w:val="Heading2"/>
      </w:pPr>
      <w:r>
        <w:rPr>
          <w:rFonts w:ascii="Arial" w:cs="Arial" w:eastAsia="Arial" w:hAnsi="Arial"/>
          <w:b/>
          <w:bCs/>
          <w:color w:val="333333"/>
          <w:sz w:val="26"/>
          <w:szCs w:val="26"/>
        </w:rPr>
        <w:t xml:space="preserve">11.2 Audits</w:t>
      </w:r>
    </w:p>
    <w:p>
      <w:pPr>
        <w:spacing w:after="100"/>
      </w:pPr>
      <w:r>
        <w:rPr>
          <w:rFonts w:ascii="Arial" w:cs="Arial" w:eastAsia="Arial" w:hAnsi="Arial"/>
          <w:i/>
          <w:iCs/>
          <w:color w:val="888888"/>
          <w:sz w:val="20"/>
          <w:szCs w:val="20"/>
        </w:rPr>
        <w:t xml:space="preserve">Describe the audit programme: internal audits, subcontractor audits, management system audits. State frequency and responsibilities.</w:t>
      </w:r>
    </w:p>
    <w:p>
      <w:pPr>
        <w:pStyle w:val="Heading2"/>
      </w:pPr>
      <w:r>
        <w:rPr>
          <w:rFonts w:ascii="Arial" w:cs="Arial" w:eastAsia="Arial" w:hAnsi="Arial"/>
          <w:b/>
          <w:bCs/>
          <w:color w:val="333333"/>
          <w:sz w:val="26"/>
          <w:szCs w:val="26"/>
        </w:rPr>
        <w:t xml:space="preserve">11.3 Accident and Incident Reporting</w:t>
      </w:r>
    </w:p>
    <w:p>
      <w:pPr>
        <w:spacing w:after="100"/>
      </w:pPr>
      <w:r>
        <w:rPr>
          <w:rFonts w:ascii="Arial" w:cs="Arial" w:eastAsia="Arial" w:hAnsi="Arial"/>
          <w:i/>
          <w:iCs/>
          <w:color w:val="888888"/>
          <w:sz w:val="20"/>
          <w:szCs w:val="20"/>
        </w:rPr>
        <w:t xml:space="preserve">Describe the accident and incident reporting and investigation process. Include: near miss reporting, RIDDOR reporting criteria, investigation procedure, lessons learned. Reference the Reporting of Injuries, Diseases and Dangerous Occurrences Regulations 2013.</w:t>
      </w:r>
    </w:p>
    <w:p>
      <w:pPr>
        <w:pStyle w:val="Heading2"/>
      </w:pPr>
      <w:r>
        <w:rPr>
          <w:rFonts w:ascii="Arial" w:cs="Arial" w:eastAsia="Arial" w:hAnsi="Arial"/>
          <w:b/>
          <w:bCs/>
          <w:color w:val="333333"/>
          <w:sz w:val="26"/>
          <w:szCs w:val="26"/>
        </w:rPr>
        <w:t xml:space="preserve">11.4 Performance Monitoring</w:t>
      </w:r>
    </w:p>
    <w:p>
      <w:pPr>
        <w:spacing w:after="100"/>
      </w:pPr>
      <w:r>
        <w:rPr>
          <w:rFonts w:ascii="Arial" w:cs="Arial" w:eastAsia="Arial" w:hAnsi="Arial"/>
          <w:i/>
          <w:iCs/>
          <w:color w:val="888888"/>
          <w:sz w:val="20"/>
          <w:szCs w:val="20"/>
        </w:rPr>
        <w:t xml:space="preserve">Describe how health and safety performance will be measured and reported. Include: leading indicators (inspections, observations, training), lagging indicators (accidents, incidents, RIDDOR reports), KPIs and targets.</w:t>
      </w:r>
    </w:p>
    <w:p>
      <w:pPr>
        <w:spacing w:after="100" w:before="200"/>
      </w:pPr>
    </w:p>
    <w:p>
      <w:pPr>
        <w:pStyle w:val="Heading1"/>
      </w:pPr>
      <w:r>
        <w:rPr>
          <w:rFonts w:ascii="Arial" w:cs="Arial" w:eastAsia="Arial" w:hAnsi="Arial"/>
          <w:b/>
          <w:bCs/>
          <w:color w:val="1B2A4A"/>
          <w:sz w:val="32"/>
          <w:szCs w:val="32"/>
        </w:rPr>
        <w:t xml:space="preserve">12. Health and Safety File</w:t>
      </w:r>
    </w:p>
    <w:p>
      <w:pPr>
        <w:spacing w:after="100"/>
      </w:pPr>
      <w:r>
        <w:rPr>
          <w:rFonts w:ascii="Arial" w:cs="Arial" w:eastAsia="Arial" w:hAnsi="Arial"/>
          <w:i/>
          <w:iCs/>
          <w:color w:val="888888"/>
          <w:sz w:val="20"/>
          <w:szCs w:val="20"/>
        </w:rPr>
        <w:t xml:space="preserve">Describe the arrangements for gathering information for the Health and Safety File in accordance with CDM 2015 Regulation 12(5). The principal contractor must provide information to the principal designer for inclusion in the file. Describe how as-built information, O&amp;M manuals, test certificates and other relevant documents will be collected and organised.</w:t>
      </w:r>
    </w:p>
    <w:p>
      <w:pPr>
        <w:spacing w:after="100" w:before="200"/>
      </w:pPr>
    </w:p>
    <w:p>
      <w:pPr>
        <w:pStyle w:val="Heading1"/>
      </w:pPr>
      <w:r>
        <w:rPr>
          <w:rFonts w:ascii="Arial" w:cs="Arial" w:eastAsia="Arial" w:hAnsi="Arial"/>
          <w:b/>
          <w:bCs/>
          <w:color w:val="1B2A4A"/>
          <w:sz w:val="32"/>
          <w:szCs w:val="32"/>
        </w:rPr>
        <w:t xml:space="preserve">13. Subcontractor Management</w:t>
      </w:r>
    </w:p>
    <w:p>
      <w:pPr>
        <w:spacing w:after="100"/>
      </w:pPr>
      <w:r>
        <w:rPr>
          <w:rFonts w:ascii="Arial" w:cs="Arial" w:eastAsia="Arial" w:hAnsi="Arial"/>
          <w:i/>
          <w:iCs/>
          <w:color w:val="888888"/>
          <w:sz w:val="20"/>
          <w:szCs w:val="20"/>
        </w:rPr>
        <w:t xml:space="preserve">Describe the arrangements for selecting, managing and monitoring subcontractors. Include: pre-qualification assessment, mobilisation process, RAMS review and approval, performance monitoring, non-compliance procedures.</w:t>
      </w:r>
    </w:p>
    <w:p>
      <w:pPr>
        <w:spacing w:after="100" w:before="200"/>
      </w:pPr>
    </w:p>
    <w:p>
      <w:pPr>
        <w:pStyle w:val="Heading1"/>
      </w:pPr>
      <w:r>
        <w:rPr>
          <w:rFonts w:ascii="Arial" w:cs="Arial" w:eastAsia="Arial" w:hAnsi="Arial"/>
          <w:b/>
          <w:bCs/>
          <w:color w:val="1B2A4A"/>
          <w:sz w:val="32"/>
          <w:szCs w:val="32"/>
        </w:rPr>
        <w:t xml:space="preserve">14. Occupational Health</w:t>
      </w:r>
    </w:p>
    <w:p>
      <w:pPr>
        <w:spacing w:after="100"/>
      </w:pPr>
      <w:r>
        <w:rPr>
          <w:rFonts w:ascii="Arial" w:cs="Arial" w:eastAsia="Arial" w:hAnsi="Arial"/>
          <w:i/>
          <w:iCs/>
          <w:color w:val="888888"/>
          <w:sz w:val="20"/>
          <w:szCs w:val="20"/>
        </w:rPr>
        <w:t xml:space="preserve">Describe occupational health arrangements: health surveillance programmes, occupational health assessments, drug and alcohol testing, mental health and wellbeing support, welfare checks.</w:t>
      </w:r>
    </w:p>
    <w:p>
      <w:pPr>
        <w:spacing w:after="100" w:before="200"/>
      </w:pPr>
    </w:p>
    <w:p>
      <w:pPr>
        <w:pStyle w:val="Heading1"/>
      </w:pPr>
      <w:r>
        <w:rPr>
          <w:rFonts w:ascii="Arial" w:cs="Arial" w:eastAsia="Arial" w:hAnsi="Arial"/>
          <w:b/>
          <w:bCs/>
          <w:color w:val="1B2A4A"/>
          <w:sz w:val="32"/>
          <w:szCs w:val="32"/>
        </w:rPr>
        <w:t xml:space="preserve">15. Design Changes During Construction</w:t>
      </w:r>
    </w:p>
    <w:p>
      <w:pPr>
        <w:spacing w:after="100"/>
      </w:pPr>
      <w:r>
        <w:rPr>
          <w:rFonts w:ascii="Arial" w:cs="Arial" w:eastAsia="Arial" w:hAnsi="Arial"/>
          <w:i/>
          <w:iCs/>
          <w:color w:val="888888"/>
          <w:sz w:val="20"/>
          <w:szCs w:val="20"/>
        </w:rPr>
        <w:t xml:space="preserve">Describe the process for managing design changes during the construction phase, including risk assessment of changes, communication to the workforce, and updating of method statements and risk assessments.</w:t>
      </w:r>
    </w:p>
    <w:p>
      <w:pPr>
        <w:spacing w:after="100" w:before="200"/>
      </w:pPr>
    </w:p>
    <w:p>
      <w:pPr>
        <w:pStyle w:val="Heading1"/>
      </w:pPr>
      <w:r>
        <w:rPr>
          <w:rFonts w:ascii="Arial" w:cs="Arial" w:eastAsia="Arial" w:hAnsi="Arial"/>
          <w:b/>
          <w:bCs/>
          <w:color w:val="1B2A4A"/>
          <w:sz w:val="32"/>
          <w:szCs w:val="32"/>
        </w:rPr>
        <w:t xml:space="preserve">16. Plan Review and Update</w:t>
      </w:r>
    </w:p>
    <w:p>
      <w:pPr>
        <w:spacing w:after="100"/>
      </w:pPr>
      <w:r>
        <w:rPr>
          <w:rFonts w:ascii="Arial" w:cs="Arial" w:eastAsia="Arial" w:hAnsi="Arial"/>
          <w:i/>
          <w:iCs/>
          <w:color w:val="888888"/>
          <w:sz w:val="20"/>
          <w:szCs w:val="20"/>
        </w:rPr>
        <w:t xml:space="preserve">This plan is a living document and must be reviewed and updated as the project progresses. Describe the review triggers and frequency. As a minimum, the plan should be reviewed monthly, following any significant incident, and when there are major changes to the scope of works or site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6"/>
        <w:gridCol w:w="3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 By</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Made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Review Date</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17. Appendices</w:t>
      </w:r>
    </w:p>
    <w:p>
      <w:pPr>
        <w:spacing w:after="100"/>
      </w:pPr>
      <w:r>
        <w:rPr>
          <w:rFonts w:ascii="Arial" w:cs="Arial" w:eastAsia="Arial" w:hAnsi="Arial"/>
          <w:i/>
          <w:iCs/>
          <w:color w:val="888888"/>
          <w:sz w:val="20"/>
          <w:szCs w:val="20"/>
        </w:rPr>
        <w:t xml:space="preserve">List and attach the following supporting documents as appendices to this plan:</w:t>
      </w:r>
    </w:p>
    <w:p>
      <w:pPr>
        <w:spacing w:after="100"/>
      </w:pPr>
      <w:r>
        <w:rPr>
          <w:rFonts w:ascii="Arial" w:cs="Arial" w:eastAsia="Arial" w:hAnsi="Arial"/>
          <w:i/>
          <w:iCs/>
          <w:color w:val="888888"/>
          <w:sz w:val="20"/>
          <w:szCs w:val="20"/>
        </w:rPr>
        <w:t xml:space="preserve">• Appendix A: Site layout plan</w:t>
      </w:r>
    </w:p>
    <w:p>
      <w:pPr>
        <w:spacing w:after="100"/>
      </w:pPr>
      <w:r>
        <w:rPr>
          <w:rFonts w:ascii="Arial" w:cs="Arial" w:eastAsia="Arial" w:hAnsi="Arial"/>
          <w:i/>
          <w:iCs/>
          <w:color w:val="888888"/>
          <w:sz w:val="20"/>
          <w:szCs w:val="20"/>
        </w:rPr>
        <w:t xml:space="preserve">• Appendix B: Project organisation chart</w:t>
      </w:r>
    </w:p>
    <w:p>
      <w:pPr>
        <w:spacing w:after="100"/>
      </w:pPr>
      <w:r>
        <w:rPr>
          <w:rFonts w:ascii="Arial" w:cs="Arial" w:eastAsia="Arial" w:hAnsi="Arial"/>
          <w:i/>
          <w:iCs/>
          <w:color w:val="888888"/>
          <w:sz w:val="20"/>
          <w:szCs w:val="20"/>
        </w:rPr>
        <w:t xml:space="preserve">• Appendix C: Emergency contact list</w:t>
      </w:r>
    </w:p>
    <w:p>
      <w:pPr>
        <w:spacing w:after="100"/>
      </w:pPr>
      <w:r>
        <w:rPr>
          <w:rFonts w:ascii="Arial" w:cs="Arial" w:eastAsia="Arial" w:hAnsi="Arial"/>
          <w:i/>
          <w:iCs/>
          <w:color w:val="888888"/>
          <w:sz w:val="20"/>
          <w:szCs w:val="20"/>
        </w:rPr>
        <w:t xml:space="preserve">• Appendix D: Site Emergency Response Plan</w:t>
      </w:r>
    </w:p>
    <w:p>
      <w:pPr>
        <w:spacing w:after="100"/>
      </w:pPr>
      <w:r>
        <w:rPr>
          <w:rFonts w:ascii="Arial" w:cs="Arial" w:eastAsia="Arial" w:hAnsi="Arial"/>
          <w:i/>
          <w:iCs/>
          <w:color w:val="888888"/>
          <w:sz w:val="20"/>
          <w:szCs w:val="20"/>
        </w:rPr>
        <w:t xml:space="preserve">• Appendix E: Traffic management plan</w:t>
      </w:r>
    </w:p>
    <w:p>
      <w:pPr>
        <w:spacing w:after="100"/>
      </w:pPr>
      <w:r>
        <w:rPr>
          <w:rFonts w:ascii="Arial" w:cs="Arial" w:eastAsia="Arial" w:hAnsi="Arial"/>
          <w:i/>
          <w:iCs/>
          <w:color w:val="888888"/>
          <w:sz w:val="20"/>
          <w:szCs w:val="20"/>
        </w:rPr>
        <w:t xml:space="preserve">• Appendix F: Fire plan</w:t>
      </w:r>
    </w:p>
    <w:p>
      <w:pPr>
        <w:spacing w:after="100"/>
      </w:pPr>
      <w:r>
        <w:rPr>
          <w:rFonts w:ascii="Arial" w:cs="Arial" w:eastAsia="Arial" w:hAnsi="Arial"/>
          <w:i/>
          <w:iCs/>
          <w:color w:val="888888"/>
          <w:sz w:val="20"/>
          <w:szCs w:val="20"/>
        </w:rPr>
        <w:t xml:space="preserve">• Appendix G: Significant risks register</w:t>
      </w:r>
    </w:p>
    <w:p>
      <w:pPr>
        <w:spacing w:after="100"/>
      </w:pPr>
      <w:r>
        <w:rPr>
          <w:rFonts w:ascii="Arial" w:cs="Arial" w:eastAsia="Arial" w:hAnsi="Arial"/>
          <w:i/>
          <w:iCs/>
          <w:color w:val="888888"/>
          <w:sz w:val="20"/>
          <w:szCs w:val="20"/>
        </w:rPr>
        <w:t xml:space="preserve">• Appendix H: Welfare facilities plan</w:t>
      </w:r>
    </w:p>
    <w:p>
      <w:pPr>
        <w:spacing w:after="100"/>
      </w:pPr>
      <w:r>
        <w:rPr>
          <w:rFonts w:ascii="Arial" w:cs="Arial" w:eastAsia="Arial" w:hAnsi="Arial"/>
          <w:i/>
          <w:iCs/>
          <w:color w:val="888888"/>
          <w:sz w:val="20"/>
          <w:szCs w:val="20"/>
        </w:rPr>
        <w:t xml:space="preserve">• Appendix I: Subcontractor register</w:t>
      </w:r>
    </w:p>
    <w:p>
      <w:pPr>
        <w:spacing w:after="100"/>
      </w:pPr>
      <w:r>
        <w:rPr>
          <w:rFonts w:ascii="Arial" w:cs="Arial" w:eastAsia="Arial" w:hAnsi="Arial"/>
          <w:i/>
          <w:iCs/>
          <w:color w:val="888888"/>
          <w:sz w:val="20"/>
          <w:szCs w:val="20"/>
        </w:rPr>
        <w:t xml:space="preserve">• Appendix J: F10 notification (if applicable)</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Construction Phase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Phase Plan</dc:title>
  <dc:subject>UK Construction Template</dc:subject>
  <dc:creator>ebrora.com</dc:creator>
  <cp:keywords>construction, template, UK, construction phase plan, CPP, CDM 2015, Regulation 12, principal contractor, health and safety</cp:keywords>
  <dc:description>Free UK construction template by Ebrora. Download more at ebrora.com</dc:description>
  <cp:lastModifiedBy>ebrora.com</cp:lastModifiedBy>
  <cp:revision>1</cp:revision>
  <dcterms:created xsi:type="dcterms:W3CDTF">2026-04-02T10:10:14.287Z</dcterms:created>
  <dcterms:modified xsi:type="dcterms:W3CDTF">2026-04-02T10:10:14.288Z</dcterms:modified>
</cp:coreProperties>
</file>

<file path=docProps/custom.xml><?xml version="1.0" encoding="utf-8"?>
<Properties xmlns="http://schemas.openxmlformats.org/officeDocument/2006/custom-properties" xmlns:vt="http://schemas.openxmlformats.org/officeDocument/2006/docPropsVTypes"/>
</file>