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Hand-Arm Vibration Syndrome Questionnaire</w:t>
      </w:r>
    </w:p>
    <w:p>
      <w:pPr>
        <w:pBdr>
          <w:bottom w:val="single" w:color="2E75B6" w:sz="8" w:space="6"/>
        </w:pBdr>
        <w:spacing w:after="200"/>
      </w:pPr>
      <w:r>
        <w:rPr>
          <w:rFonts w:ascii="Arial" w:cs="Arial" w:eastAsia="Arial" w:hAnsi="Arial"/>
          <w:color w:val="2E75B6"/>
          <w:sz w:val="24"/>
          <w:szCs w:val="24"/>
        </w:rPr>
        <w:t xml:space="preserve">Health &amp; Safety – Occupational Health</w:t>
      </w:r>
    </w:p>
    <w:p>
      <w:pPr>
        <w:spacing w:after="200"/>
      </w:pPr>
      <w:r>
        <w:rPr>
          <w:rFonts w:ascii="Arial" w:cs="Arial" w:eastAsia="Arial" w:hAnsi="Arial"/>
          <w:i/>
          <w:iCs/>
          <w:color w:val="333333"/>
          <w:sz w:val="20"/>
          <w:szCs w:val="20"/>
        </w:rPr>
        <w:t xml:space="preserve">This questionnaire is used as part of HAVS health surveillance under the Control of Vibration at Work Regulations 2005. It covers the vascular (white finger) and sensorineural (tingling, numbness, reduced grip) components of HAVS. It should be completed at initial assessment and at each annual review. Answer all questions honestly – early detection allows early intervention.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bl>
    <w:p>
      <w:pPr>
        <w:spacing w:after="100" w:before="200"/>
      </w:pPr>
    </w:p>
    <w:p>
      <w:pPr>
        <w:pStyle w:val="Heading1"/>
      </w:pPr>
      <w:r>
        <w:rPr>
          <w:rFonts w:ascii="Arial" w:cs="Arial" w:eastAsia="Arial" w:hAnsi="Arial"/>
          <w:b/>
          <w:bCs/>
          <w:color w:val="1B2A4A"/>
          <w:sz w:val="32"/>
          <w:szCs w:val="32"/>
        </w:rPr>
        <w:t xml:space="preserve">Worker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Full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Birth:</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Employee / CSCS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Employer / Company: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Job Title / Trade: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Groundworker, steel fixer, demolition operative, road worker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Years Using Vibrating Tools: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years across all employment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 Daily Vibration Exposure: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A(8) = 3.2 m/s² (from vibration exposure assessment)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Tools Currently Used: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Breaker, grinder, drill, compactor, needle gun, chipping hammer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Assessment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Initial / Annual / Follow-up</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Last Assessment: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or ‘First assessment’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Previous Outcome: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Fit, fit with restrictions, referred to Tier 3, not previously assessed</w:t>
            </w:r>
          </w:p>
        </w:tc>
      </w:tr>
    </w:tbl>
    <w:p>
      <w:pPr>
        <w:spacing w:after="100" w:before="200"/>
      </w:pPr>
    </w:p>
    <w:p>
      <w:pPr>
        <w:pStyle w:val="Heading1"/>
      </w:pPr>
      <w:r>
        <w:rPr>
          <w:rFonts w:ascii="Arial" w:cs="Arial" w:eastAsia="Arial" w:hAnsi="Arial"/>
          <w:b/>
          <w:bCs/>
          <w:color w:val="1B2A4A"/>
          <w:sz w:val="32"/>
          <w:szCs w:val="32"/>
        </w:rPr>
        <w:t xml:space="preserve">Vibration Exposure History</w:t>
      </w:r>
    </w:p>
    <w:p>
      <w:pPr>
        <w:spacing w:after="100"/>
      </w:pPr>
      <w:r>
        <w:rPr>
          <w:rFonts w:ascii="Arial" w:cs="Arial" w:eastAsia="Arial" w:hAnsi="Arial"/>
          <w:i/>
          <w:iCs/>
          <w:color w:val="333333"/>
          <w:sz w:val="20"/>
          <w:szCs w:val="20"/>
        </w:rPr>
        <w:t xml:space="preserve">List the vibrating tools/equipment you have used regularly in your career. Include previous employers.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6"/>
        <w:gridCol w:w="1500"/>
        <w:gridCol w:w="15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Tool / Equipment</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Employer</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Years Used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Hours / Day</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Days / Week</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General Health Questions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706"/>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 / No</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smoke? If yes, how many per day?</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take any regular medication? If yes, please list.</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been diagnosed with Raynaud’s disease or phenomenon?</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been diagnosed with carpal tunnel syndrome?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been diagnosed with diabetes?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been diagnosed with arthritis in your hands or wrists?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had any hand, wrist or arm injuries or surgery?</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have any circulatory conditions?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Vascular Symptoms (White Finger)</w:t>
      </w:r>
    </w:p>
    <w:p>
      <w:pPr>
        <w:spacing w:after="100"/>
      </w:pPr>
      <w:r>
        <w:rPr>
          <w:rFonts w:ascii="Arial" w:cs="Arial" w:eastAsia="Arial" w:hAnsi="Arial"/>
          <w:i/>
          <w:iCs/>
          <w:color w:val="333333"/>
          <w:sz w:val="20"/>
          <w:szCs w:val="20"/>
        </w:rPr>
        <w:t xml:space="preserve">These questions relate to blanching (whitening) of the fingers – the vascular component of HAVS.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706"/>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any of your fingers go white (blanch) when exposed to cold?</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yes, which fingers are affected? (List by hand and finger name)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How far does the blanching extend? (tip only / middle phalanx / whole finger)</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How often do attacks of blanching occur? (daily / weekly / monthly / rarely)</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attacks occur only in cold weather, or also in warm weather?</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How long does an attack typically last? (minutes / hours)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After the blanching, do your fingers go blue and then red? (the colour change sequence)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blanching painful?</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your fingers feel numb during an attack?</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have difficulty using your fingers during or after an attack?</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the attacks become more frequent or more severe over time?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Did you experience blanching BEFORE you started using vibrating tools? (to identify pre-existing Raynaud’s)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Sensorineural Symptoms (Numbness, Tingling, Grip)</w:t>
      </w:r>
    </w:p>
    <w:p>
      <w:pPr>
        <w:spacing w:after="100"/>
      </w:pPr>
      <w:r>
        <w:rPr>
          <w:rFonts w:ascii="Arial" w:cs="Arial" w:eastAsia="Arial" w:hAnsi="Arial"/>
          <w:i/>
          <w:iCs/>
          <w:color w:val="333333"/>
          <w:sz w:val="20"/>
          <w:szCs w:val="20"/>
        </w:rPr>
        <w:t xml:space="preserve">These questions relate to nerve damage – the sensorineural component of HAVS.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706"/>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experience tingling in your fingers or hands?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yes, is the tingling intermittent or constant?</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experience numbness in your fingers or hands?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wake at night with tingling or numbness in your hands?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have difficulty picking up small objects (screws, coins, buttons)?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have difficulty fastening buttons or zips?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drop things more than you used to?</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have reduced feeling in your fingertips?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your grip strength reduced compared to previously?</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have difficulty using hand tools that require a precise grip?</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your hands feel clumsy or awkward?</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experience pain or aching in your hands, wrists or forearms?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Impact on Work and Daily Life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706"/>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your symptoms affect your ability to carry out your work?</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had to change your work duties because of hand/finger symptoms?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your symptoms affect your daily life outside work (hobbies, driving, DIY)?</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had time off work because of hand/finger symptoms? If yes, how many days in the last 12 months?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consulted your GP about these symptoms? If yes, what was the outcome?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your symptoms getting worse, staying the same, or getting better?</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Stockholm Workshop Staging (Assessor Use)</w:t>
      </w:r>
    </w:p>
    <w:p>
      <w:pPr>
        <w:spacing w:after="100"/>
      </w:pPr>
      <w:r>
        <w:rPr>
          <w:rFonts w:ascii="Arial" w:cs="Arial" w:eastAsia="Arial" w:hAnsi="Arial"/>
          <w:i/>
          <w:iCs/>
          <w:color w:val="333333"/>
          <w:sz w:val="20"/>
          <w:szCs w:val="20"/>
        </w:rPr>
        <w:t xml:space="preserve">Based on the responses above, the assessor should provisionally stage the symptoms using the Stockholm Workshop scales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506"/>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2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Vascular (SWS-V)</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0</w:t>
            </w:r>
          </w:p>
        </w:tc>
        <w:tc>
          <w:tcPr>
            <w:tcW w:type="dxa" w:w="28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attacks</w:t>
            </w:r>
          </w:p>
        </w:tc>
        <w:tc>
          <w:tcPr>
            <w:tcW w:type="dxa" w:w="55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blanching of fingers</w:t>
            </w:r>
          </w:p>
        </w:tc>
      </w:tr>
      <w:tr>
        <w:tc>
          <w:tcPr>
            <w:tcW w:type="dxa" w:w="1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 Mild</w:t>
            </w:r>
          </w:p>
        </w:tc>
        <w:tc>
          <w:tcPr>
            <w:tcW w:type="dxa" w:w="28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Occasional attacks</w:t>
            </w:r>
          </w:p>
        </w:tc>
        <w:tc>
          <w:tcPr>
            <w:tcW w:type="dxa" w:w="55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Blanching of tips of one or more fingers, with or without numbness</w:t>
            </w:r>
          </w:p>
        </w:tc>
      </w:tr>
      <w:tr>
        <w:tc>
          <w:tcPr>
            <w:tcW w:type="dxa" w:w="12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2 Moderate</w:t>
            </w:r>
          </w:p>
        </w:tc>
        <w:tc>
          <w:tcPr>
            <w:tcW w:type="dxa" w:w="28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More than occasional</w:t>
            </w:r>
          </w:p>
        </w:tc>
        <w:tc>
          <w:tcPr>
            <w:tcW w:type="dxa" w:w="5506"/>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Blanching of distal and middle phalanges. Numbness in winter.</w:t>
            </w:r>
          </w:p>
        </w:tc>
      </w:tr>
      <w:tr>
        <w:tc>
          <w:tcPr>
            <w:tcW w:type="dxa" w:w="1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3 Severe</w:t>
            </w:r>
          </w:p>
        </w:tc>
        <w:tc>
          <w:tcPr>
            <w:tcW w:type="dxa" w:w="28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Frequent attacks</w:t>
            </w:r>
          </w:p>
        </w:tc>
        <w:tc>
          <w:tcPr>
            <w:tcW w:type="dxa" w:w="55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Extensive blanching. All phalanges of most fingers affected. Attacks in summer.</w:t>
            </w:r>
          </w:p>
        </w:tc>
      </w:tr>
      <w:tr>
        <w:tc>
          <w:tcPr>
            <w:tcW w:type="dxa" w:w="1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4 Very Severe</w:t>
            </w:r>
          </w:p>
        </w:tc>
        <w:tc>
          <w:tcPr>
            <w:tcW w:type="dxa" w:w="28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Very frequent</w:t>
            </w:r>
          </w:p>
        </w:tc>
        <w:tc>
          <w:tcPr>
            <w:tcW w:type="dxa" w:w="55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 Stage 3 with trophic skin changes (ulceration, gangrene) in fingertips.</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506"/>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2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Sensorineural (SWS-SN)</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0SN</w:t>
            </w:r>
          </w:p>
        </w:tc>
        <w:tc>
          <w:tcPr>
            <w:tcW w:type="dxa" w:w="28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symptoms</w:t>
            </w:r>
          </w:p>
        </w:tc>
        <w:tc>
          <w:tcPr>
            <w:tcW w:type="dxa" w:w="55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Vibration exposed, no symptoms</w:t>
            </w:r>
          </w:p>
        </w:tc>
      </w:tr>
      <w:tr>
        <w:tc>
          <w:tcPr>
            <w:tcW w:type="dxa" w:w="1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1SN</w:t>
            </w:r>
          </w:p>
        </w:tc>
        <w:tc>
          <w:tcPr>
            <w:tcW w:type="dxa" w:w="28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Intermittent numbness/tingling</w:t>
            </w:r>
          </w:p>
        </w:tc>
        <w:tc>
          <w:tcPr>
            <w:tcW w:type="dxa" w:w="55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Intermittent or occasional numbness with or without tingling</w:t>
            </w:r>
          </w:p>
        </w:tc>
      </w:tr>
      <w:tr>
        <w:tc>
          <w:tcPr>
            <w:tcW w:type="dxa" w:w="12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2SN</w:t>
            </w:r>
          </w:p>
        </w:tc>
        <w:tc>
          <w:tcPr>
            <w:tcW w:type="dxa" w:w="28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Reduced sensory perception</w:t>
            </w:r>
          </w:p>
        </w:tc>
        <w:tc>
          <w:tcPr>
            <w:tcW w:type="dxa" w:w="5506"/>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Intermittent or persistent numbness. Reduced sensory perception.</w:t>
            </w:r>
          </w:p>
        </w:tc>
      </w:tr>
      <w:tr>
        <w:tc>
          <w:tcPr>
            <w:tcW w:type="dxa" w:w="1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3SN</w:t>
            </w:r>
          </w:p>
        </w:tc>
        <w:tc>
          <w:tcPr>
            <w:tcW w:type="dxa" w:w="28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Advanced</w:t>
            </w:r>
          </w:p>
        </w:tc>
        <w:tc>
          <w:tcPr>
            <w:tcW w:type="dxa" w:w="55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Persistent numbness. Reduced tactile discrimination and manipulative dexterity.</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Provisional Vascular Stage: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Provisional SN Stage: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Assessment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FIT – No symptoms. Continue current duties. Reassess in 12 months.</w:t>
            </w:r>
          </w:p>
          <w:p>
            <w:pPr>
              <w:spacing w:after="80"/>
            </w:pPr>
            <w:r>
              <w:rPr>
                <w:rFonts w:ascii="Arial" w:cs="Arial" w:eastAsia="Arial" w:hAnsi="Arial"/>
                <w:b/>
                <w:bCs/>
                <w:sz w:val="20"/>
                <w:szCs w:val="20"/>
              </w:rPr>
              <w:t xml:space="preserve">□  FIT WITH RESTRICTIONS – Mild symptoms. Reduce vibration exposure. Increase monitoring. Reassess in 6 months.</w:t>
            </w:r>
          </w:p>
          <w:p>
            <w:pPr>
              <w:spacing w:after="80"/>
            </w:pPr>
            <w:r>
              <w:rPr>
                <w:rFonts w:ascii="Arial" w:cs="Arial" w:eastAsia="Arial" w:hAnsi="Arial"/>
                <w:b/>
                <w:bCs/>
                <w:sz w:val="20"/>
                <w:szCs w:val="20"/>
              </w:rPr>
              <w:t xml:space="preserve">□  REFER TO TIER 3 – Symptoms require clinical assessment by OH professional.</w:t>
            </w:r>
          </w:p>
          <w:p>
            <w:r>
              <w:rPr>
                <w:rFonts w:ascii="Arial" w:cs="Arial" w:eastAsia="Arial" w:hAnsi="Arial"/>
                <w:b/>
                <w:bCs/>
                <w:color w:val="C00000"/>
                <w:sz w:val="20"/>
                <w:szCs w:val="20"/>
              </w:rPr>
              <w:t xml:space="preserve">□  UNFIT FOR VIBRATION EXPOSURE – Remove from vibrating tool work pending OH review.</w:t>
            </w:r>
          </w:p>
        </w:tc>
      </w:tr>
    </w:tbl>
    <w:p>
      <w:pPr>
        <w:spacing w:after="100" w:before="200"/>
      </w:pPr>
    </w:p>
    <w:p>
      <w:pPr>
        <w:pStyle w:val="Heading1"/>
      </w:pPr>
      <w:r>
        <w:rPr>
          <w:rFonts w:ascii="Arial" w:cs="Arial" w:eastAsia="Arial" w:hAnsi="Arial"/>
          <w:b/>
          <w:bCs/>
          <w:color w:val="1B2A4A"/>
          <w:sz w:val="32"/>
          <w:szCs w:val="32"/>
        </w:rPr>
        <w:t xml:space="preserve">Worker Declaration</w:t>
      </w:r>
    </w:p>
    <w:p>
      <w:pPr>
        <w:spacing w:after="200"/>
      </w:pPr>
      <w:r>
        <w:rPr>
          <w:rFonts w:ascii="Arial" w:cs="Arial" w:eastAsia="Arial" w:hAnsi="Arial"/>
          <w:sz w:val="20"/>
          <w:szCs w:val="20"/>
        </w:rPr>
        <w:t xml:space="preserve">I confirm that I have answered all questions honestly and to the best of my knowledge. I will report any new or worsening symptoms to my supervisor or occupational health immediately.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Assessor:</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Qualifications:</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Next Assessment Due: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Confidentiality Notice</w:t>
      </w:r>
    </w:p>
    <w:p>
      <w:pPr>
        <w:spacing w:after="200"/>
      </w:pPr>
      <w:r>
        <w:rPr>
          <w:rFonts w:ascii="Arial" w:cs="Arial" w:eastAsia="Arial" w:hAnsi="Arial"/>
          <w:color w:val="333333"/>
          <w:sz w:val="20"/>
          <w:szCs w:val="20"/>
        </w:rPr>
        <w:t xml:space="preserve">This form contains personal health information and must be stored securely in accordance with UK GDPR and the Data Protection Act 2018.</w:t>
      </w: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HAVS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Hand-Arm Vibration Syndrome Questionnaire</dc:title>
  <dc:subject>UK Construction Template</dc:subject>
  <dc:creator>ebrora.com</dc:creator>
  <cp:keywords>construction, template, UK, HAVS, hand-arm vibration, questionnaire, white finger, Raynauds, health surveillance, vibration at work 2005</cp:keywords>
  <dc:description>Free UK construction template by Ebrora. Download more at ebrora.com</dc:description>
  <cp:lastModifiedBy>ebrora.com</cp:lastModifiedBy>
  <cp:revision>1</cp:revision>
  <dcterms:created xsi:type="dcterms:W3CDTF">2026-04-02T14:08:56.277Z</dcterms:created>
  <dcterms:modified xsi:type="dcterms:W3CDTF">2026-04-02T14:08:56.277Z</dcterms:modified>
</cp:coreProperties>
</file>

<file path=docProps/custom.xml><?xml version="1.0" encoding="utf-8"?>
<Properties xmlns="http://schemas.openxmlformats.org/officeDocument/2006/custom-properties" xmlns:vt="http://schemas.openxmlformats.org/officeDocument/2006/docPropsVTypes"/>
</file>