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Final Waste Removal and Disposal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all final waste removals from site at project completion. Documents waste types, quantities, carriers, destinations, and waste transfer notes / consignment notes. Ensures compliance with the Environmental Protection Act 1990, Waste (England and Wales) Regulations 2011, and duty of care requirements.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Carrier Licence Nos.: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 each carrier used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Waste Removal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Type 1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mixed construction waste, timber, metals, WEEE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EWC Code: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European Waste Catalogue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 (tonnes or 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Carrier: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waste carrier name and licence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receiving facility name and permit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WTN / Consignment Note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reference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Type 2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second waste 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EWC Code: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Carrier: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WTN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Hazardous Waste: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consignment note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Waste Removed (tonnes):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cumulative total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Recycling Rate Achieved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percentage diverted from landfill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WTNs Filed: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confirm filed in environmental records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 Carrier (acknowledgement)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Final Waste Removal and Disposal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Waste Removal and Disposal Record</dc:title>
  <dc:subject>UK Construction Template</dc:subject>
  <dc:creator>ebrora.com</dc:creator>
  <cp:keywords>construction, template, UK, waste, removal, disposal, WTN, consignment note, duty of care, EPA 1990, demobilisation</cp:keywords>
  <dc:description>Free UK construction template by Ebrora. Download more at ebrora.com</dc:description>
  <cp:lastModifiedBy>ebrora.com</cp:lastModifiedBy>
  <cp:revision>1</cp:revision>
  <dcterms:created xsi:type="dcterms:W3CDTF">2026-03-26T16:46:35.270Z</dcterms:created>
  <dcterms:modified xsi:type="dcterms:W3CDTF">2026-03-26T16:46:35.270Z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