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52"/>
                <w:szCs w:val="52"/>
              </w:rPr>
              <w:t xml:space="preserve">WASTE TRANSFER NOTE LOG</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Site Address:</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site address and postcode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Waste Producer SIC Code: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41.20 (Construction of buildings) / 42.xx (Civil engineering)</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log tracks all non-hazardous waste transfers from site. Waste Transfer Notes (WTNs) must be completed for every transfer of non-hazardous waste and retained for a minimum of 2 years. This is a duty of care requirement under the Environmental Protection Act 1990 (Section 34) and the Waste (England and Wales) Regulations 2011. For hazardous waste, use the Hazardous Waste Consignment Note Tracker instead.</w:t>
      </w:r>
    </w:p>
    <w:p>
      <w:pPr>
        <w:sectPr>
          <w:headerReference w:type="default" r:id="rId7"/>
          <w:footerReference w:type="default" r:id="rId8"/>
          <w:pgSz w:w="11906" w:h="16838" w:orient="portrait"/>
          <w:pgMar w:top="1440" w:right="1200" w:bottom="1440" w:left="1200" w:header="708" w:footer="708" w:gutter="0"/>
          <w:pgNumType/>
          <w:docGrid w:linePitch="360"/>
        </w:sectPr>
      </w:pPr>
    </w:p>
    <w:p>
      <w:pPr>
        <w:spacing w:after="120" w:before="300"/>
      </w:pPr>
      <w:r>
        <w:rPr>
          <w:rFonts w:ascii="Arial" w:cs="Arial" w:eastAsia="Arial" w:hAnsi="Arial"/>
          <w:b/>
          <w:bCs/>
          <w:color w:val="333333"/>
          <w:sz w:val="26"/>
          <w:szCs w:val="26"/>
        </w:rPr>
        <w:t xml:space="preserve">1. Waste Transfer Note Register</w:t>
      </w:r>
    </w:p>
    <w:p>
      <w:pPr>
        <w:spacing w:after="60" w:before="60"/>
      </w:pPr>
      <w:r>
        <w:rPr>
          <w:rFonts w:ascii="Arial" w:cs="Arial" w:eastAsia="Arial" w:hAnsi="Arial"/>
          <w:i/>
          <w:iCs/>
          <w:color w:val="333333"/>
          <w:sz w:val="22"/>
          <w:szCs w:val="22"/>
        </w:rPr>
        <w:t xml:space="preserve">Record every non-hazardous waste transfer. Ensure carrier holds a valid waste carrier licence. Verify destination facility holds the appropriate environmental permit.</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1200"/>
        <w:gridCol w:w="1600"/>
        <w:gridCol w:w="1000"/>
        <w:gridCol w:w="1000"/>
        <w:gridCol w:w="1200"/>
        <w:gridCol w:w="1238"/>
        <w:gridCol w:w="1200"/>
        <w:gridCol w:w="1200"/>
        <w:gridCol w:w="1200"/>
        <w:gridCol w:w="1200"/>
      </w:tblGrid>
      <w:tr>
        <w:tc>
          <w:tcPr>
            <w:tcW w:type="dxa" w:w="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WTN Ref</w:t>
            </w:r>
          </w:p>
        </w:tc>
        <w:tc>
          <w:tcPr>
            <w:tcW w:type="dxa" w:w="16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Waste Description</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EWC Code</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Qty (tonnes)</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Container</w:t>
            </w:r>
          </w:p>
        </w:tc>
        <w:tc>
          <w:tcPr>
            <w:tcW w:type="dxa" w:w="12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Carrier Name</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Carrier Licence</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Destination</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Permit No.</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Signed</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4</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5</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6</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7</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8</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9</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10</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11</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12</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13</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14</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15</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16</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17</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18</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19</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20</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21</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22</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23</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24</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25</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26</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27</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28</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29</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30</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r>
        <w:br w:type="page"/>
      </w:r>
    </w:p>
    <w:p>
      <w:pPr>
        <w:spacing w:after="120" w:before="300"/>
      </w:pPr>
      <w:r>
        <w:rPr>
          <w:rFonts w:ascii="Arial" w:cs="Arial" w:eastAsia="Arial" w:hAnsi="Arial"/>
          <w:b/>
          <w:bCs/>
          <w:color w:val="333333"/>
          <w:sz w:val="26"/>
          <w:szCs w:val="26"/>
        </w:rPr>
        <w:t xml:space="preserve">2. Common EWC Codes (Construction Waste)</w:t>
      </w:r>
    </w:p>
    <w:p>
      <w:pPr>
        <w:spacing w:after="60" w:before="60"/>
      </w:pPr>
      <w:r>
        <w:rPr>
          <w:rFonts w:ascii="Arial" w:cs="Arial" w:eastAsia="Arial" w:hAnsi="Arial"/>
          <w:i/>
          <w:iCs/>
          <w:color w:val="333333"/>
          <w:sz w:val="22"/>
          <w:szCs w:val="22"/>
        </w:rPr>
        <w:t xml:space="preserve">Reference table of common European Waste Catalogue (EWC) codes for construction waste. Codes marked * are hazardous and require consignment notes instead of WTNs.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2000"/>
        <w:gridCol w:w="8438"/>
        <w:gridCol w:w="4000"/>
      </w:tblGrid>
      <w:tr>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EWC Code</w:t>
            </w:r>
          </w:p>
        </w:tc>
        <w:tc>
          <w:tcPr>
            <w:tcW w:type="dxa" w:w="84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Waste Description</w:t>
            </w:r>
          </w:p>
        </w:tc>
        <w:tc>
          <w:tcPr>
            <w:tcW w:type="dxa" w:w="4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Category</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000000"/>
                <w:sz w:val="16"/>
                <w:szCs w:val="16"/>
              </w:rPr>
              <w:t xml:space="preserve">17 01 01</w:t>
            </w:r>
          </w:p>
        </w:tc>
        <w:tc>
          <w:tcPr>
            <w:tcW w:type="dxa" w:w="8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Concrete</w:t>
            </w:r>
          </w:p>
        </w:tc>
        <w:tc>
          <w:tcPr>
            <w:tcW w:type="dxa" w:w="4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000000"/>
                <w:sz w:val="16"/>
                <w:szCs w:val="16"/>
              </w:rPr>
              <w:t xml:space="preserve">Non-hazardous</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color w:val="000000"/>
                <w:sz w:val="16"/>
                <w:szCs w:val="16"/>
              </w:rPr>
              <w:t xml:space="preserve">17 01 02</w:t>
            </w:r>
          </w:p>
        </w:tc>
        <w:tc>
          <w:tcPr>
            <w:tcW w:type="dxa" w:w="8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Bricks</w:t>
            </w:r>
          </w:p>
        </w:tc>
        <w:tc>
          <w:tcPr>
            <w:tcW w:type="dxa" w:w="4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color w:val="000000"/>
                <w:sz w:val="16"/>
                <w:szCs w:val="16"/>
              </w:rPr>
              <w:t xml:space="preserve">Non-hazardous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000000"/>
                <w:sz w:val="16"/>
                <w:szCs w:val="16"/>
              </w:rPr>
              <w:t xml:space="preserve">17 01 07</w:t>
            </w:r>
          </w:p>
        </w:tc>
        <w:tc>
          <w:tcPr>
            <w:tcW w:type="dxa" w:w="8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Mixtures of concrete, bricks, tiles</w:t>
            </w:r>
          </w:p>
        </w:tc>
        <w:tc>
          <w:tcPr>
            <w:tcW w:type="dxa" w:w="4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000000"/>
                <w:sz w:val="16"/>
                <w:szCs w:val="16"/>
              </w:rPr>
              <w:t xml:space="preserve">Non-hazardous</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color w:val="000000"/>
                <w:sz w:val="16"/>
                <w:szCs w:val="16"/>
              </w:rPr>
              <w:t xml:space="preserve">17 02 01</w:t>
            </w:r>
          </w:p>
        </w:tc>
        <w:tc>
          <w:tcPr>
            <w:tcW w:type="dxa" w:w="8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Wood</w:t>
            </w:r>
          </w:p>
        </w:tc>
        <w:tc>
          <w:tcPr>
            <w:tcW w:type="dxa" w:w="4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color w:val="000000"/>
                <w:sz w:val="16"/>
                <w:szCs w:val="16"/>
              </w:rPr>
              <w:t xml:space="preserve">Non-hazardous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000000"/>
                <w:sz w:val="16"/>
                <w:szCs w:val="16"/>
              </w:rPr>
              <w:t xml:space="preserve">17 02 02</w:t>
            </w:r>
          </w:p>
        </w:tc>
        <w:tc>
          <w:tcPr>
            <w:tcW w:type="dxa" w:w="8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Glass</w:t>
            </w:r>
          </w:p>
        </w:tc>
        <w:tc>
          <w:tcPr>
            <w:tcW w:type="dxa" w:w="4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000000"/>
                <w:sz w:val="16"/>
                <w:szCs w:val="16"/>
              </w:rPr>
              <w:t xml:space="preserve">Non-hazardous</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color w:val="000000"/>
                <w:sz w:val="16"/>
                <w:szCs w:val="16"/>
              </w:rPr>
              <w:t xml:space="preserve">17 02 03</w:t>
            </w:r>
          </w:p>
        </w:tc>
        <w:tc>
          <w:tcPr>
            <w:tcW w:type="dxa" w:w="8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Plastic</w:t>
            </w:r>
          </w:p>
        </w:tc>
        <w:tc>
          <w:tcPr>
            <w:tcW w:type="dxa" w:w="4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color w:val="000000"/>
                <w:sz w:val="16"/>
                <w:szCs w:val="16"/>
              </w:rPr>
              <w:t xml:space="preserve">Non-hazardous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000000"/>
                <w:sz w:val="16"/>
                <w:szCs w:val="16"/>
              </w:rPr>
              <w:t xml:space="preserve">17 03 02</w:t>
            </w:r>
          </w:p>
        </w:tc>
        <w:tc>
          <w:tcPr>
            <w:tcW w:type="dxa" w:w="8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Bituminous mixtures (not containing tar)</w:t>
            </w:r>
          </w:p>
        </w:tc>
        <w:tc>
          <w:tcPr>
            <w:tcW w:type="dxa" w:w="4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000000"/>
                <w:sz w:val="16"/>
                <w:szCs w:val="16"/>
              </w:rPr>
              <w:t xml:space="preserve">Non-hazardous</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color w:val="000000"/>
                <w:sz w:val="16"/>
                <w:szCs w:val="16"/>
              </w:rPr>
              <w:t xml:space="preserve">17 04 05</w:t>
            </w:r>
          </w:p>
        </w:tc>
        <w:tc>
          <w:tcPr>
            <w:tcW w:type="dxa" w:w="8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Iron and steel</w:t>
            </w:r>
          </w:p>
        </w:tc>
        <w:tc>
          <w:tcPr>
            <w:tcW w:type="dxa" w:w="4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color w:val="000000"/>
                <w:sz w:val="16"/>
                <w:szCs w:val="16"/>
              </w:rPr>
              <w:t xml:space="preserve">Non-hazardous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000000"/>
                <w:sz w:val="16"/>
                <w:szCs w:val="16"/>
              </w:rPr>
              <w:t xml:space="preserve">17 04 07</w:t>
            </w:r>
          </w:p>
        </w:tc>
        <w:tc>
          <w:tcPr>
            <w:tcW w:type="dxa" w:w="8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Mixed metals</w:t>
            </w:r>
          </w:p>
        </w:tc>
        <w:tc>
          <w:tcPr>
            <w:tcW w:type="dxa" w:w="4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000000"/>
                <w:sz w:val="16"/>
                <w:szCs w:val="16"/>
              </w:rPr>
              <w:t xml:space="preserve">Non-hazardous</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color w:val="000000"/>
                <w:sz w:val="16"/>
                <w:szCs w:val="16"/>
              </w:rPr>
              <w:t xml:space="preserve">17 05 04</w:t>
            </w:r>
          </w:p>
        </w:tc>
        <w:tc>
          <w:tcPr>
            <w:tcW w:type="dxa" w:w="8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Soil and stones (not contaminated)</w:t>
            </w:r>
          </w:p>
        </w:tc>
        <w:tc>
          <w:tcPr>
            <w:tcW w:type="dxa" w:w="4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color w:val="000000"/>
                <w:sz w:val="16"/>
                <w:szCs w:val="16"/>
              </w:rPr>
              <w:t xml:space="preserve">Non-hazardous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000000"/>
                <w:sz w:val="16"/>
                <w:szCs w:val="16"/>
              </w:rPr>
              <w:t xml:space="preserve">17 06 04</w:t>
            </w:r>
          </w:p>
        </w:tc>
        <w:tc>
          <w:tcPr>
            <w:tcW w:type="dxa" w:w="8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Insulation materials (not asbestos)</w:t>
            </w:r>
          </w:p>
        </w:tc>
        <w:tc>
          <w:tcPr>
            <w:tcW w:type="dxa" w:w="4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000000"/>
                <w:sz w:val="16"/>
                <w:szCs w:val="16"/>
              </w:rPr>
              <w:t xml:space="preserve">Non-hazardous</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color w:val="000000"/>
                <w:sz w:val="16"/>
                <w:szCs w:val="16"/>
              </w:rPr>
              <w:t xml:space="preserve">17 09 04</w:t>
            </w:r>
          </w:p>
        </w:tc>
        <w:tc>
          <w:tcPr>
            <w:tcW w:type="dxa" w:w="8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Mixed construction waste</w:t>
            </w:r>
          </w:p>
        </w:tc>
        <w:tc>
          <w:tcPr>
            <w:tcW w:type="dxa" w:w="4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color w:val="000000"/>
                <w:sz w:val="16"/>
                <w:szCs w:val="16"/>
              </w:rPr>
              <w:t xml:space="preserve">Non-hazardous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17 06 01*</w:t>
            </w:r>
          </w:p>
        </w:tc>
        <w:tc>
          <w:tcPr>
            <w:tcW w:type="dxa" w:w="8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Insulation materials containing asbestos</w:t>
            </w:r>
          </w:p>
        </w:tc>
        <w:tc>
          <w:tcPr>
            <w:tcW w:type="dxa" w:w="4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16"/>
                <w:szCs w:val="16"/>
              </w:rPr>
              <w:t xml:space="preserve">Hazardous</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17 06 05*</w:t>
            </w:r>
          </w:p>
        </w:tc>
        <w:tc>
          <w:tcPr>
            <w:tcW w:type="dxa" w:w="8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Construction materials containing asbestos</w:t>
            </w:r>
          </w:p>
        </w:tc>
        <w:tc>
          <w:tcPr>
            <w:tcW w:type="dxa" w:w="4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color w:val="000000"/>
                <w:sz w:val="16"/>
                <w:szCs w:val="16"/>
              </w:rPr>
              <w:t xml:space="preserve">Hazardous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17 05 03*</w:t>
            </w:r>
          </w:p>
        </w:tc>
        <w:tc>
          <w:tcPr>
            <w:tcW w:type="dxa" w:w="8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Soil and stones containing hazardous substances</w:t>
            </w:r>
          </w:p>
        </w:tc>
        <w:tc>
          <w:tcPr>
            <w:tcW w:type="dxa" w:w="4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16"/>
                <w:szCs w:val="16"/>
              </w:rPr>
              <w:t xml:space="preserve">Hazardous</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17 02 04*</w:t>
            </w:r>
          </w:p>
        </w:tc>
        <w:tc>
          <w:tcPr>
            <w:tcW w:type="dxa" w:w="8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Wood, glass, plastic containing hazardous substances</w:t>
            </w:r>
          </w:p>
        </w:tc>
        <w:tc>
          <w:tcPr>
            <w:tcW w:type="dxa" w:w="4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color w:val="000000"/>
                <w:sz w:val="16"/>
                <w:szCs w:val="16"/>
              </w:rPr>
              <w:t xml:space="preserve">Hazardous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000000"/>
                <w:sz w:val="16"/>
                <w:szCs w:val="16"/>
              </w:rPr>
              <w:t xml:space="preserve">20 03 01</w:t>
            </w:r>
          </w:p>
        </w:tc>
        <w:tc>
          <w:tcPr>
            <w:tcW w:type="dxa" w:w="8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Mixed municipal waste (office waste)</w:t>
            </w:r>
          </w:p>
        </w:tc>
        <w:tc>
          <w:tcPr>
            <w:tcW w:type="dxa" w:w="4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000000"/>
                <w:sz w:val="16"/>
                <w:szCs w:val="16"/>
              </w:rPr>
              <w:t xml:space="preserve">Non-hazardous</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color w:val="000000"/>
                <w:sz w:val="16"/>
                <w:szCs w:val="16"/>
              </w:rPr>
              <w:t xml:space="preserve">15 01 06</w:t>
            </w:r>
          </w:p>
        </w:tc>
        <w:tc>
          <w:tcPr>
            <w:tcW w:type="dxa" w:w="8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Mixed packaging</w:t>
            </w:r>
          </w:p>
        </w:tc>
        <w:tc>
          <w:tcPr>
            <w:tcW w:type="dxa" w:w="4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color w:val="000000"/>
                <w:sz w:val="16"/>
                <w:szCs w:val="16"/>
              </w:rPr>
              <w:t xml:space="preserve">Non-hazardous</w:t>
            </w:r>
          </w:p>
        </w:tc>
      </w:tr>
    </w:tbl>
    <w:p>
      <w:pPr>
        <w:spacing w:after="120" w:before="300"/>
      </w:pPr>
      <w:r>
        <w:rPr>
          <w:rFonts w:ascii="Arial" w:cs="Arial" w:eastAsia="Arial" w:hAnsi="Arial"/>
          <w:b/>
          <w:bCs/>
          <w:color w:val="333333"/>
          <w:sz w:val="26"/>
          <w:szCs w:val="26"/>
        </w:rPr>
        <w:t xml:space="preserve">3. 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000"/>
        <w:gridCol w:w="3638"/>
        <w:gridCol w:w="3800"/>
        <w:gridCol w:w="4000"/>
      </w:tblGrid>
      <w:tr>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Role</w:t>
            </w:r>
          </w:p>
        </w:tc>
        <w:tc>
          <w:tcPr>
            <w:tcW w:type="dxa" w:w="36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Print Name</w:t>
            </w:r>
          </w:p>
        </w:tc>
        <w:tc>
          <w:tcPr>
            <w:tcW w:type="dxa" w:w="3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Signature</w:t>
            </w:r>
          </w:p>
        </w:tc>
        <w:tc>
          <w:tcPr>
            <w:tcW w:type="dxa" w:w="4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Site Manager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Environmental Manager / Coordinator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after="120" w:before="300"/>
      </w:pPr>
      <w:r>
        <w:rPr>
          <w:rFonts w:ascii="Arial" w:cs="Arial" w:eastAsia="Arial" w:hAnsi="Arial"/>
          <w:b/>
          <w:bCs/>
          <w:color w:val="333333"/>
          <w:sz w:val="26"/>
          <w:szCs w:val="26"/>
        </w:rPr>
        <w:t xml:space="preserve">4. 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938"/>
        <w:gridCol w:w="2500"/>
        <w:gridCol w:w="2500"/>
      </w:tblGrid>
      <w:tr>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Rev</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c>
          <w:tcPr>
            <w:tcW w:type="dxa" w:w="59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 of Change</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Author</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Approved By</w:t>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before="300"/>
      </w:pPr>
      <w:r>
        <w:rPr>
          <w:rFonts w:ascii="Arial" w:cs="Arial" w:eastAsia="Arial" w:hAnsi="Arial"/>
          <w:i/>
          <w:iCs/>
          <w:color w:val="888888"/>
          <w:sz w:val="18"/>
          <w:szCs w:val="18"/>
        </w:rPr>
        <w:t xml:space="preserve">References: Environmental Protection Act 1990 (Section 34), Waste (England and Wales) Regulations 2011, List of Wastes (England) Regulations 2005 (EWC), EA Public Register (waste carrier licence check), CDM 2015</w:t>
      </w:r>
    </w:p>
    <w:sectPr>
      <w:headerReference w:type="default" r:id="rId9"/>
      <w:footerReference w:type="default" r:id="rId10"/>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Waste Transfer Note Log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Waste Transfer Note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Waste Transfer Note Log</dc:title>
  <dc:subject>UK Construction Template</dc:subject>
  <dc:creator>ebrora.com</dc:creator>
  <cp:keywords>construction, template, UK, waste transfer note, WTN, EWC, duty of care, waste carrier, non-hazardous, environmental</cp:keywords>
  <dc:description>Free UK construction template by Ebrora. Download more at ebrora.com</dc:description>
  <cp:lastModifiedBy>ebrora.com</cp:lastModifiedBy>
  <cp:revision>1</cp:revision>
  <dcterms:created xsi:type="dcterms:W3CDTF">2026-03-26T04:14:34.629Z</dcterms:created>
  <dcterms:modified xsi:type="dcterms:W3CDTF">2026-03-26T04:14:34.630Z</dcterms:modified>
</cp:coreProperties>
</file>

<file path=docProps/custom.xml><?xml version="1.0" encoding="utf-8"?>
<Properties xmlns="http://schemas.openxmlformats.org/officeDocument/2006/custom-properties" xmlns:vt="http://schemas.openxmlformats.org/officeDocument/2006/docPropsVTypes"/>
</file>