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WATER DISCHARGE MONITORING RECORD</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site address</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Discharge Permit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EA environmental permit or exemption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Discharge Point(s):</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Describe outfall location(s) and NGR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Receiving Watercourse: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and classification</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logs all water quality monitoring at discharge points on site. Monitoring must be carried out at the frequency specified in the environmental permit or discharge consent. Any exceedance of consent limits must be reported to the Environment Agency immediately. It is an offence to cause or knowingly permit a water discharge activity without an environmental permit under the Environmental Permitting Regulations 2016.</w:t>
      </w:r>
    </w:p>
    <w:p>
      <w:pPr>
        <w:spacing w:after="120" w:before="300"/>
      </w:pPr>
      <w:r>
        <w:rPr>
          <w:rFonts w:ascii="Arial" w:cs="Arial" w:eastAsia="Arial" w:hAnsi="Arial"/>
          <w:b/>
          <w:bCs/>
          <w:color w:val="333333"/>
          <w:sz w:val="26"/>
          <w:szCs w:val="26"/>
        </w:rPr>
        <w:t xml:space="preserve">1. Consent / Permit Limits</w:t>
      </w:r>
    </w:p>
    <w:p>
      <w:pPr>
        <w:spacing w:after="60" w:before="60"/>
      </w:pPr>
      <w:r>
        <w:rPr>
          <w:rFonts w:ascii="Arial" w:cs="Arial" w:eastAsia="Arial" w:hAnsi="Arial"/>
          <w:i/>
          <w:iCs/>
          <w:color w:val="333333"/>
          <w:sz w:val="22"/>
          <w:szCs w:val="22"/>
        </w:rPr>
        <w:t xml:space="preserve">Enter the consent limits from the environmental permit. Set trigger and action levels below consent limits to allow early intervention.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1751"/>
        <w:gridCol w:w="1751"/>
        <w:gridCol w:w="1748"/>
        <w:gridCol w:w="1750"/>
      </w:tblGrid>
      <w:tr>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Parameter</w:t>
            </w:r>
          </w:p>
        </w:tc>
        <w:tc>
          <w:tcPr>
            <w:tcW w:type="dxa" w:w="1751"/>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Unit</w:t>
            </w:r>
          </w:p>
        </w:tc>
        <w:tc>
          <w:tcPr>
            <w:tcW w:type="dxa" w:w="1751"/>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Consent Limit</w:t>
            </w:r>
          </w:p>
        </w:tc>
        <w:tc>
          <w:tcPr>
            <w:tcW w:type="dxa" w:w="174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Trigger Level</w:t>
            </w:r>
          </w:p>
        </w:tc>
        <w:tc>
          <w:tcPr>
            <w:tcW w:type="dxa" w:w="17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Action Level</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pH</w:t>
            </w:r>
          </w:p>
        </w:tc>
        <w:tc>
          <w:tcPr>
            <w:tcW w:type="dxa" w:w="175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pH units</w:t>
            </w:r>
          </w:p>
        </w:tc>
        <w:tc>
          <w:tcPr>
            <w:tcW w:type="dxa" w:w="175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6.0 – 9.0</w:t>
            </w:r>
          </w:p>
        </w:tc>
        <w:tc>
          <w:tcPr>
            <w:tcW w:type="dxa" w:w="174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Suspended Solids (SS)</w:t>
            </w:r>
          </w:p>
        </w:tc>
        <w:tc>
          <w:tcPr>
            <w:tcW w:type="dxa" w:w="175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mg/l</w:t>
            </w:r>
          </w:p>
        </w:tc>
        <w:tc>
          <w:tcPr>
            <w:tcW w:type="dxa" w:w="175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4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Total Petroleum Hydrocarbons (TPH)</w:t>
            </w:r>
          </w:p>
        </w:tc>
        <w:tc>
          <w:tcPr>
            <w:tcW w:type="dxa" w:w="175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mg/l</w:t>
            </w:r>
          </w:p>
        </w:tc>
        <w:tc>
          <w:tcPr>
            <w:tcW w:type="dxa" w:w="175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4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Dissolved Oxygen (DO)</w:t>
            </w:r>
          </w:p>
        </w:tc>
        <w:tc>
          <w:tcPr>
            <w:tcW w:type="dxa" w:w="175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mg/l</w:t>
            </w:r>
          </w:p>
        </w:tc>
        <w:tc>
          <w:tcPr>
            <w:tcW w:type="dxa" w:w="175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4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Temperature</w:t>
            </w:r>
          </w:p>
        </w:tc>
        <w:tc>
          <w:tcPr>
            <w:tcW w:type="dxa" w:w="175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°C</w:t>
            </w:r>
          </w:p>
        </w:tc>
        <w:tc>
          <w:tcPr>
            <w:tcW w:type="dxa" w:w="175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4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Biochemical Oxygen Demand (BOD)</w:t>
            </w:r>
          </w:p>
        </w:tc>
        <w:tc>
          <w:tcPr>
            <w:tcW w:type="dxa" w:w="175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mg/l</w:t>
            </w:r>
          </w:p>
        </w:tc>
        <w:tc>
          <w:tcPr>
            <w:tcW w:type="dxa" w:w="175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4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Chemical Oxygen Demand (COD)</w:t>
            </w:r>
          </w:p>
        </w:tc>
        <w:tc>
          <w:tcPr>
            <w:tcW w:type="dxa" w:w="175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mg/l</w:t>
            </w:r>
          </w:p>
        </w:tc>
        <w:tc>
          <w:tcPr>
            <w:tcW w:type="dxa" w:w="175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4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Turbidity</w:t>
            </w:r>
          </w:p>
        </w:tc>
        <w:tc>
          <w:tcPr>
            <w:tcW w:type="dxa" w:w="175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NTU</w:t>
            </w:r>
          </w:p>
        </w:tc>
        <w:tc>
          <w:tcPr>
            <w:tcW w:type="dxa" w:w="175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4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Flow Rate</w:t>
            </w:r>
          </w:p>
        </w:tc>
        <w:tc>
          <w:tcPr>
            <w:tcW w:type="dxa" w:w="175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l/s</w:t>
            </w:r>
          </w:p>
        </w:tc>
        <w:tc>
          <w:tcPr>
            <w:tcW w:type="dxa" w:w="175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4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16"/>
                <w:szCs w:val="16"/>
              </w:rPr>
              <w:t xml:space="preserve">Oil and Grease (visual)</w:t>
            </w:r>
          </w:p>
        </w:tc>
        <w:tc>
          <w:tcPr>
            <w:tcW w:type="dxa" w:w="175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Pass/Fail</w:t>
            </w:r>
          </w:p>
        </w:tc>
        <w:tc>
          <w:tcPr>
            <w:tcW w:type="dxa" w:w="175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No visible sheen</w:t>
            </w:r>
          </w:p>
        </w:tc>
        <w:tc>
          <w:tcPr>
            <w:tcW w:type="dxa" w:w="174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2. Discharge Monitoring Log</w:t>
      </w:r>
    </w:p>
    <w:p>
      <w:pPr>
        <w:spacing w:after="60" w:before="60"/>
      </w:pPr>
      <w:r>
        <w:rPr>
          <w:rFonts w:ascii="Arial" w:cs="Arial" w:eastAsia="Arial" w:hAnsi="Arial"/>
          <w:i/>
          <w:iCs/>
          <w:color w:val="333333"/>
          <w:sz w:val="22"/>
          <w:szCs w:val="22"/>
        </w:rPr>
        <w:t xml:space="preserve">Record all monitoring results. Highlight any readings exceeding trigger or action levels.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200"/>
        <w:gridCol w:w="1000"/>
        <w:gridCol w:w="1000"/>
        <w:gridCol w:w="1038"/>
        <w:gridCol w:w="1000"/>
        <w:gridCol w:w="1000"/>
        <w:gridCol w:w="1000"/>
        <w:gridCol w:w="1000"/>
        <w:gridCol w:w="1000"/>
        <w:gridCol w:w="1000"/>
        <w:gridCol w:w="1000"/>
        <w:gridCol w:w="1200"/>
      </w:tblGrid>
      <w:tr>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Time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Sampler</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Point</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pH</w:t>
            </w:r>
          </w:p>
        </w:tc>
        <w:tc>
          <w:tcPr>
            <w:tcW w:type="dxa" w:w="1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SS (mg/l)</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TPH</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Temp (°C)</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Turbidity</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Oil Visual</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Flow (l/s)</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Weather</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Action Taken</w:t>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3. Exceedance Log</w:t>
      </w:r>
    </w:p>
    <w:p>
      <w:pPr>
        <w:spacing w:after="60" w:before="60"/>
      </w:pPr>
      <w:r>
        <w:rPr>
          <w:rFonts w:ascii="Arial" w:cs="Arial" w:eastAsia="Arial" w:hAnsi="Arial"/>
          <w:i/>
          <w:iCs/>
          <w:color w:val="333333"/>
          <w:sz w:val="22"/>
          <w:szCs w:val="22"/>
        </w:rPr>
        <w:t xml:space="preserve">Record any exceedance of consent, trigger or action levels. Describe cause and corrective actions.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2238"/>
        <w:gridCol w:w="2000"/>
        <w:gridCol w:w="2000"/>
        <w:gridCol w:w="2000"/>
        <w:gridCol w:w="2200"/>
      </w:tblGrid>
      <w:tr>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Parameter</w:t>
            </w:r>
          </w:p>
        </w:tc>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Reading</w:t>
            </w:r>
          </w:p>
        </w:tc>
        <w:tc>
          <w:tcPr>
            <w:tcW w:type="dxa" w:w="22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Consent Limit</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Cause</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Action Taken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EA Notified</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Sign-Off</w:t>
            </w:r>
          </w:p>
        </w:tc>
      </w:tr>
      <w:tr>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4.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Environmental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Site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5.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 of Change</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 By</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Environmental Permitting Regulations 2016, Water Resources Act 1991, EA GPP 5 (Works and Maintenance Near Water), CIRIA C532, C648, C753</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Water Discharge Monitoring Record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Water Discharge Monitoring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Discharge Monitoring Record</dc:title>
  <dc:subject>UK Construction Template</dc:subject>
  <dc:creator>ebrora.com</dc:creator>
  <cp:keywords>construction, template, UK, water discharge, monitoring, pH, suspended solids, EA permit, dewatering, environmental</cp:keywords>
  <dc:description>Free UK construction template by Ebrora. Download more at ebrora.com</dc:description>
  <cp:lastModifiedBy>ebrora.com</cp:lastModifiedBy>
  <cp:revision>1</cp:revision>
  <dcterms:created xsi:type="dcterms:W3CDTF">2026-03-26T04:19:30.338Z</dcterms:created>
  <dcterms:modified xsi:type="dcterms:W3CDTF">2026-03-26T04:19:30.339Z</dcterms:modified>
</cp:coreProperties>
</file>

<file path=docProps/custom.xml><?xml version="1.0" encoding="utf-8"?>
<Properties xmlns="http://schemas.openxmlformats.org/officeDocument/2006/custom-properties" xmlns:vt="http://schemas.openxmlformats.org/officeDocument/2006/docPropsVTypes"/>
</file>