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Programme Narrative Report</w:t>
      </w:r>
    </w:p>
    <w:p>
      <w:pPr>
        <w:spacing w:after="200"/>
      </w:pPr>
      <w:r>
        <w:rPr>
          <w:rFonts w:ascii="Arial" w:cs="Arial" w:eastAsia="Arial" w:hAnsi="Arial"/>
          <w:i/>
          <w:iCs/>
          <w:color w:val="333333"/>
          <w:sz w:val="20"/>
          <w:szCs w:val="20"/>
        </w:rPr>
        <w:t xml:space="preserve">Companion narrative to the construction programme / Gantt chart, explaining the scheduling logic, methodology, assumptions, and critical path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PROG-NAR-001</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Programme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programme file name and revision (e.g., P6 or Asta Powerproject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Programme Software: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e.g., Primavera P6, Asta Powerproject, MS Project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Data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bl>
    <w:p>
      <w:pPr>
        <w:spacing w:after="120"/>
      </w:pPr>
    </w:p>
    <w:p>
      <w:pPr>
        <w:spacing w:after="120" w:before="240"/>
      </w:pPr>
      <w:r>
        <w:rPr>
          <w:rFonts w:ascii="Arial" w:cs="Arial" w:eastAsia="Arial" w:hAnsi="Arial"/>
          <w:b/>
          <w:bCs/>
          <w:color w:val="1B2A4A"/>
          <w:sz w:val="26"/>
          <w:szCs w:val="26"/>
        </w:rPr>
        <w:t xml:space="preserve">1. Programme Overview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Provide an overview of the construction programme including: project scope, key phases of work, overall contract duration, and the relationship of this programme to other project programmes (e.g., design programme, procurement programme, commissioning programme). State the contract completion date and any sectional completion dates.</w:t>
            </w:r>
          </w:p>
        </w:tc>
      </w:tr>
    </w:tbl>
    <w:p>
      <w:pPr>
        <w:spacing w:after="120"/>
      </w:pPr>
    </w:p>
    <w:p>
      <w:pPr>
        <w:spacing w:after="120" w:before="240"/>
      </w:pPr>
      <w:r>
        <w:rPr>
          <w:rFonts w:ascii="Arial" w:cs="Arial" w:eastAsia="Arial" w:hAnsi="Arial"/>
          <w:b/>
          <w:bCs/>
          <w:color w:val="1B2A4A"/>
          <w:sz w:val="26"/>
          <w:szCs w:val="26"/>
        </w:rPr>
        <w:t xml:space="preserve">2. Key Dates and Milestones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1500"/>
        <w:gridCol w:w="1500"/>
        <w:gridCol w:w="20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 / Key Date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Planned Date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Actual / Forecast</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 / Notes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Contract Award / NTP</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Site Mobilisation</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Enabling Works Commencement</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Main Works Commencement</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Structural Frame Complete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Watertight Envelope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M&amp;E First Fix Complete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M&amp;E Second Fix Complete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External Works Complete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Testing and Commissioning Start</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Sectional Completion 1</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Practical Completion</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Defects Liability Period End</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r>
        <w:br w:type="page"/>
      </w:r>
    </w:p>
    <w:p>
      <w:pPr>
        <w:spacing w:after="120" w:before="240"/>
      </w:pPr>
      <w:r>
        <w:rPr>
          <w:rFonts w:ascii="Arial" w:cs="Arial" w:eastAsia="Arial" w:hAnsi="Arial"/>
          <w:b/>
          <w:bCs/>
          <w:color w:val="1B2A4A"/>
          <w:sz w:val="26"/>
          <w:szCs w:val="26"/>
        </w:rPr>
        <w:t xml:space="preserve">3. Scheduling Methodology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scheduling methodology used: critical path method (CPM), resource levelling, calendars applied (5-day, 6-day, 7-day weeks), working hours, non-working periods (Christmas shutdown, bank holidays), weather allowances, and any other scheduling assumptions. State the WBS (Work Breakdown Structure) hierarchy used.</w:t>
            </w:r>
          </w:p>
        </w:tc>
      </w:tr>
    </w:tbl>
    <w:p>
      <w:pPr>
        <w:spacing w:after="120"/>
      </w:pPr>
    </w:p>
    <w:p>
      <w:pPr>
        <w:spacing w:after="120" w:before="240"/>
      </w:pPr>
      <w:r>
        <w:rPr>
          <w:rFonts w:ascii="Arial" w:cs="Arial" w:eastAsia="Arial" w:hAnsi="Arial"/>
          <w:b/>
          <w:bCs/>
          <w:color w:val="1B2A4A"/>
          <w:sz w:val="26"/>
          <w:szCs w:val="26"/>
        </w:rPr>
        <w:t xml:space="preserve">4. Critical Path Description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critical path through the programme. Identify the sequence of activities that determines the earliest possible completion date. Highlight key critical path activities by name, duration, and dependencies. State the total float on the critical path (should be zero) and identify near-critical paths with low float.</w:t>
            </w:r>
          </w:p>
        </w:tc>
      </w:tr>
    </w:tbl>
    <w:p>
      <w:pPr>
        <w:spacing w:after="120"/>
      </w:pPr>
    </w:p>
    <w:p>
      <w:pPr>
        <w:spacing w:after="120" w:before="240"/>
      </w:pPr>
      <w:r>
        <w:rPr>
          <w:rFonts w:ascii="Arial" w:cs="Arial" w:eastAsia="Arial" w:hAnsi="Arial"/>
          <w:b/>
          <w:bCs/>
          <w:color w:val="1B2A4A"/>
          <w:sz w:val="26"/>
          <w:szCs w:val="26"/>
        </w:rPr>
        <w:t xml:space="preserve">5. Phase / Work Package Descriptions</w:t>
      </w:r>
    </w:p>
    <w:p>
      <w:pPr>
        <w:spacing w:after="100"/>
      </w:pPr>
      <w:r>
        <w:rPr>
          <w:rFonts w:ascii="Arial" w:cs="Arial" w:eastAsia="Arial" w:hAnsi="Arial"/>
          <w:color w:val="333333"/>
          <w:sz w:val="20"/>
          <w:szCs w:val="20"/>
        </w:rPr>
        <w:t xml:space="preserve">For each major phase or work package in the programme, provide a narrative description of the planned sequence, logic, durations, and key dependencies.</w:t>
      </w:r>
    </w:p>
    <w:p>
      <w:pPr>
        <w:spacing w:after="60" w:before="160"/>
      </w:pPr>
      <w:r>
        <w:rPr>
          <w:rFonts w:ascii="Arial" w:cs="Arial" w:eastAsia="Arial" w:hAnsi="Arial"/>
          <w:b/>
          <w:bCs/>
          <w:color w:val="333333"/>
          <w:sz w:val="22"/>
          <w:szCs w:val="22"/>
        </w:rPr>
        <w:t xml:space="preserve">5.1 Enabling Works and Site Preparation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planned sequence of work for this phase. Include: start/finish dates, duration, key activities, logic links (predecessors and successors), resource assumptions, and any constraints or risks specific to this phase.</w:t>
            </w:r>
          </w:p>
        </w:tc>
      </w:tr>
    </w:tbl>
    <w:p>
      <w:pPr>
        <w:spacing w:after="60"/>
      </w:pPr>
    </w:p>
    <w:p>
      <w:pPr>
        <w:spacing w:after="60" w:before="160"/>
      </w:pPr>
      <w:r>
        <w:rPr>
          <w:rFonts w:ascii="Arial" w:cs="Arial" w:eastAsia="Arial" w:hAnsi="Arial"/>
          <w:b/>
          <w:bCs/>
          <w:color w:val="333333"/>
          <w:sz w:val="22"/>
          <w:szCs w:val="22"/>
        </w:rPr>
        <w:t xml:space="preserve">5.2 Substructure / Foundations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planned sequence of work for this phase. Include: start/finish dates, duration, key activities, logic links (predecessors and successors), resource assumptions, and any constraints or risks specific to this phase.</w:t>
            </w:r>
          </w:p>
        </w:tc>
      </w:tr>
    </w:tbl>
    <w:p>
      <w:pPr>
        <w:spacing w:after="60"/>
      </w:pPr>
    </w:p>
    <w:p>
      <w:pPr>
        <w:spacing w:after="60" w:before="160"/>
      </w:pPr>
      <w:r>
        <w:rPr>
          <w:rFonts w:ascii="Arial" w:cs="Arial" w:eastAsia="Arial" w:hAnsi="Arial"/>
          <w:b/>
          <w:bCs/>
          <w:color w:val="333333"/>
          <w:sz w:val="22"/>
          <w:szCs w:val="22"/>
        </w:rPr>
        <w:t xml:space="preserve">5.3 Superstructure / Frame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planned sequence of work for this phase. Include: start/finish dates, duration, key activities, logic links (predecessors and successors), resource assumptions, and any constraints or risks specific to this phase.</w:t>
            </w:r>
          </w:p>
        </w:tc>
      </w:tr>
    </w:tbl>
    <w:p>
      <w:pPr>
        <w:spacing w:after="60"/>
      </w:pPr>
    </w:p>
    <w:p>
      <w:pPr>
        <w:spacing w:after="60" w:before="160"/>
      </w:pPr>
      <w:r>
        <w:rPr>
          <w:rFonts w:ascii="Arial" w:cs="Arial" w:eastAsia="Arial" w:hAnsi="Arial"/>
          <w:b/>
          <w:bCs/>
          <w:color w:val="333333"/>
          <w:sz w:val="22"/>
          <w:szCs w:val="22"/>
        </w:rPr>
        <w:t xml:space="preserve">5.4 Building Envelope / Cladding / Roofing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planned sequence of work for this phase. Include: start/finish dates, duration, key activities, logic links (predecessors and successors), resource assumptions, and any constraints or risks specific to this phase.</w:t>
            </w:r>
          </w:p>
        </w:tc>
      </w:tr>
    </w:tbl>
    <w:p>
      <w:pPr>
        <w:spacing w:after="60"/>
      </w:pPr>
    </w:p>
    <w:p>
      <w:pPr>
        <w:spacing w:after="60" w:before="160"/>
      </w:pPr>
      <w:r>
        <w:rPr>
          <w:rFonts w:ascii="Arial" w:cs="Arial" w:eastAsia="Arial" w:hAnsi="Arial"/>
          <w:b/>
          <w:bCs/>
          <w:color w:val="333333"/>
          <w:sz w:val="22"/>
          <w:szCs w:val="22"/>
        </w:rPr>
        <w:t xml:space="preserve">5.5 Mechanical and Electrical Installation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planned sequence of work for this phase. Include: start/finish dates, duration, key activities, logic links (predecessors and successors), resource assumptions, and any constraints or risks specific to this phase.</w:t>
            </w:r>
          </w:p>
        </w:tc>
      </w:tr>
    </w:tbl>
    <w:p>
      <w:pPr>
        <w:spacing w:after="60"/>
      </w:pPr>
    </w:p>
    <w:p>
      <w:pPr>
        <w:spacing w:after="60" w:before="160"/>
      </w:pPr>
      <w:r>
        <w:rPr>
          <w:rFonts w:ascii="Arial" w:cs="Arial" w:eastAsia="Arial" w:hAnsi="Arial"/>
          <w:b/>
          <w:bCs/>
          <w:color w:val="333333"/>
          <w:sz w:val="22"/>
          <w:szCs w:val="22"/>
        </w:rPr>
        <w:t xml:space="preserve">5.6 Internal Fit-Out and Finishes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planned sequence of work for this phase. Include: start/finish dates, duration, key activities, logic links (predecessors and successors), resource assumptions, and any constraints or risks specific to this phase.</w:t>
            </w:r>
          </w:p>
        </w:tc>
      </w:tr>
    </w:tbl>
    <w:p>
      <w:pPr>
        <w:spacing w:after="60"/>
      </w:pPr>
    </w:p>
    <w:p>
      <w:pPr>
        <w:spacing w:after="60" w:before="160"/>
      </w:pPr>
      <w:r>
        <w:rPr>
          <w:rFonts w:ascii="Arial" w:cs="Arial" w:eastAsia="Arial" w:hAnsi="Arial"/>
          <w:b/>
          <w:bCs/>
          <w:color w:val="333333"/>
          <w:sz w:val="22"/>
          <w:szCs w:val="22"/>
        </w:rPr>
        <w:t xml:space="preserve">5.7 External Works and Landscaping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planned sequence of work for this phase. Include: start/finish dates, duration, key activities, logic links (predecessors and successors), resource assumptions, and any constraints or risks specific to this phase.</w:t>
            </w:r>
          </w:p>
        </w:tc>
      </w:tr>
    </w:tbl>
    <w:p>
      <w:pPr>
        <w:spacing w:after="60"/>
      </w:pPr>
    </w:p>
    <w:p>
      <w:pPr>
        <w:spacing w:after="60" w:before="160"/>
      </w:pPr>
      <w:r>
        <w:rPr>
          <w:rFonts w:ascii="Arial" w:cs="Arial" w:eastAsia="Arial" w:hAnsi="Arial"/>
          <w:b/>
          <w:bCs/>
          <w:color w:val="333333"/>
          <w:sz w:val="22"/>
          <w:szCs w:val="22"/>
        </w:rPr>
        <w:t xml:space="preserve">5.8 Testing, Commissioning, and Handover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planned sequence of work for this phase. Include: start/finish dates, duration, key activities, logic links (predecessors and successors), resource assumptions, and any constraints or risks specific to this phase.</w:t>
            </w:r>
          </w:p>
        </w:tc>
      </w:tr>
    </w:tbl>
    <w:p>
      <w:pPr>
        <w:spacing w:after="60"/>
      </w:pPr>
    </w:p>
    <w:p>
      <w:r>
        <w:br w:type="page"/>
      </w:r>
    </w:p>
    <w:p>
      <w:pPr>
        <w:spacing w:after="120" w:before="240"/>
      </w:pPr>
      <w:r>
        <w:rPr>
          <w:rFonts w:ascii="Arial" w:cs="Arial" w:eastAsia="Arial" w:hAnsi="Arial"/>
          <w:b/>
          <w:bCs/>
          <w:color w:val="1B2A4A"/>
          <w:sz w:val="26"/>
          <w:szCs w:val="26"/>
        </w:rPr>
        <w:t xml:space="preserve">6. Constraints and Assumptions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List all constraints and assumptions that have been built into the programme. Examples: design information delivery dates, procurement lead times, planning conditions, access restrictions, working hour limitations (Section 61 consent), resource availability, subcontractor mobilisation periods, plant availability, seasonal weather allowances, utility connection dates, road closure permits.</w:t>
            </w:r>
          </w:p>
        </w:tc>
      </w:tr>
    </w:tbl>
    <w:p>
      <w:pPr>
        <w:spacing w:after="120"/>
      </w:pPr>
    </w:p>
    <w:p>
      <w:pPr>
        <w:spacing w:after="120" w:before="240"/>
      </w:pPr>
      <w:r>
        <w:rPr>
          <w:rFonts w:ascii="Arial" w:cs="Arial" w:eastAsia="Arial" w:hAnsi="Arial"/>
          <w:b/>
          <w:bCs/>
          <w:color w:val="1B2A4A"/>
          <w:sz w:val="26"/>
          <w:szCs w:val="26"/>
        </w:rPr>
        <w:t xml:space="preserve">7. Resource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000"/>
        <w:gridCol w:w="1000"/>
        <w:gridCol w:w="1000"/>
        <w:gridCol w:w="1506"/>
      </w:tblGrid>
      <w:tr>
        <w:trPr>
          <w:tblHeader/>
        </w:trPr>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Resource / Trade</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 1</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 2</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 3</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 4</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 5</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 6</w:t>
            </w:r>
          </w:p>
        </w:tc>
        <w:tc>
          <w:tcPr>
            <w:tcW w:type="dxa" w:w="1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Peak No.</w:t>
            </w:r>
          </w:p>
        </w:tc>
      </w:tr>
      <w:tr>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Site Management</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General Operatives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Groundworkers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Steel Erectors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Bricklayers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Carpenters / Joiners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M&amp;E Operatives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Finishing Trades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Plant Operators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bCs/>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bCs/>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bCs/>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bCs/>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bCs/>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bCs/>
                <w:sz w:val="20"/>
                <w:szCs w:val="20"/>
              </w:rPr>
              <w:t xml:space="preserve"/>
            </w:r>
          </w:p>
        </w:tc>
        <w:tc>
          <w:tcPr>
            <w:tcW w:type="dxa" w:w="1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b/>
                <w:bCs/>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8. Programme Risk and Float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programme risk profile. Identify: total float on the critical path, near-critical activities with float less than 10 days, key programme risks (design delays, planning conditions, procurement, weather, labour shortages), and mitigation measures. State whether programme risk has been assessed using quantitative schedule risk analysis (QSRA) and reference the risk register.</w:t>
            </w:r>
          </w:p>
        </w:tc>
      </w:tr>
    </w:tbl>
    <w:p>
      <w:pPr>
        <w:spacing w:after="120"/>
      </w:pPr>
    </w:p>
    <w:p>
      <w:pPr>
        <w:spacing w:after="120" w:before="240"/>
      </w:pPr>
      <w:r>
        <w:rPr>
          <w:rFonts w:ascii="Arial" w:cs="Arial" w:eastAsia="Arial" w:hAnsi="Arial"/>
          <w:b/>
          <w:bCs/>
          <w:color w:val="1B2A4A"/>
          <w:sz w:val="26"/>
          <w:szCs w:val="26"/>
        </w:rPr>
        <w:t xml:space="preserve">9. Programme Change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106"/>
        <w:gridCol w:w="1500"/>
        <w:gridCol w:w="20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on Completion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4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Baseline programme issued</w:t>
            </w:r>
          </w:p>
        </w:tc>
        <w:tc>
          <w:tcPr>
            <w:tcW w:type="dxa" w:w="1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N/A</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4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4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4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4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4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Planner / Programmer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Construction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 (Acceptance)</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 — Baseline programme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Programme Narrative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Narrative Report</dc:title>
  <dc:subject>UK Construction Template</dc:subject>
  <dc:creator>ebrora.com</dc:creator>
  <cp:keywords>construction, template, UK, programme narrative, Gantt chart, schedule, critical path, float, NEC, planning, progress</cp:keywords>
  <dc:description>Free UK construction template by Ebrora. Download more at ebrora.com</dc:description>
  <cp:lastModifiedBy>ebrora.com</cp:lastModifiedBy>
  <cp:revision>1</cp:revision>
  <dcterms:created xsi:type="dcterms:W3CDTF">2026-03-26T22:00:03.439Z</dcterms:created>
  <dcterms:modified xsi:type="dcterms:W3CDTF">2026-03-26T22:00:03.469Z</dcterms:modified>
</cp:coreProperties>
</file>

<file path=docProps/custom.xml><?xml version="1.0" encoding="utf-8"?>
<Properties xmlns="http://schemas.openxmlformats.org/officeDocument/2006/custom-properties" xmlns:vt="http://schemas.openxmlformats.org/officeDocument/2006/docPropsVTypes"/>
</file>