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Contamination Screening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Preliminary Contamination Risk Screening — Desktop and Site Walkover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Site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Grid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TQ 123 456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Area (ha):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Land Use: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brownfield, greenfield, industrial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Proposed Land Use: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residential, commercial, infrastructure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Desk Study Information Sources Reviewed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Desktop Information Sources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Ordnance Survey maps reviewed (all available epochs)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data report obtained (e.g., Landmark Envirocheck, Groundsure)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 / NRW public register data reviewed (waste, discharge consents, pollution incidents)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British Geological Survey (BGS) mapping and borehole records reviewed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authority contaminated land register consulted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Planning history and previous site investigation reports reviewed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HSE COMAH / Seveso site proximity checked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Coal Authority mining data reviewed (where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Aerial and satellite imagery reviewed for site features / changes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Unexploded ordnance (UXO) risk assessment obtained (where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Historical and Current Land Use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Land Use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historically used for industrial purposes (factories, works, processing)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historically used for waste disposal (landfill, tip, infilled quarry)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fuel storage (above-ground or underground tanks, bunds)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chemical storage or handling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Former gasworks, power station, or railway land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Former military use (MOD land, ranges, depots)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Former mining or quarrying activity on or adjacent to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Agricultural use with potential for pesticide / fertiliser contamination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or historic above-ground or underground storage tanks (ASTs / USTs)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Adjacent land uses with potential to affect site (off-site migration)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Site Walkover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Visual and Olfactory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Discoloured or stained soils observed during walkover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Visible fill materials, made ground, or waste deposits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Unusual odours detected (hydrocarbons, solvents, organic decay, hydrogen sulphide)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water discolouration, sheens, or oily films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Distressed, discoloured, or absent vegetation indicating phytotoxic contamination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asbestos-containing materials (ACMs) on or near surface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Drums, containers, or waste materials present on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fly-tipping or uncontrolled waste deposition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Visible leachate seepage from slopes or embankments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Ground gas indicators (bubbling in standing water, odours from manholes)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monitoring wells, boreholes, or piezometers on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below-ground structures (basements, tanks, pits, cellars)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Potential Contaminants of Concern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the desk study and walkover, identify potential contaminants associated with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6"/>
        <w:gridCol w:w="600"/>
        <w:gridCol w:w="1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Contaminant Group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Substances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Heavy metals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e.g., lead, arsenic, cadmium, chromium, mercury, nickel, zinc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Petroleum hydrocarbons (TPH)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e.g., diesel, petrol, oils, lubricants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Polycyclic aromatic hydrocarbons (PAHs)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Coal tar, creosote, combustion residues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Volatile organic compounds (VOCs)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e.g., benzene, toluene, xylene (BTEX), TCE, PCE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Asbestos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Chrysotile, amosite, crocidolite fibres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Polychlorinated biphenyls (PCBs)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Transformer oils, capacitors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Pesticides / herbicides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Organochlorines, organophosphates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Sulphates / sulphides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Aggressive ground conditions for concrete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Cyanide compounds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Former gasworks, metal finishing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Radioactive materials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e.g., radium dial paint, medical / industrial sources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Ground gases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Methane, carbon dioxide, radon, hydrogen sulphide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Unexploded ordnance (UXO)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Bombs, shells, munitions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Potential Receptors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Receptors Identified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health — site workers (construction phase)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health — future site users (end use: residential, commercial, open space)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health — off-site residents or neighbouring occupiers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Controlled waters — shallow groundwater (principal or secondary aquifer)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Controlled waters — surface water (rivers, streams, ponds within 250m)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Controlled waters — Source Protection Zone (SPZ) designation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Ecological receptors — designated sites (SSSI, SAC, SPA, Ramsar within 500m)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Ecological receptors — protected species or habitats on or adjacent to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 structures — foundations, services, buried concrete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— damage to buildings from ground gases or aggressive ground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Potential Pathways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Exposure Pathways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contact — dermal contact with contaminated soils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Ingestion — accidental ingestion of soil or dust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Inhalation — dust, fibres (asbestos), or volatile vapours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Leaching — contaminant migration to groundwater via infiltration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water run-off — contaminated surface water discharge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Lateral migration — contaminant plume movement through permeable strata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 migration — ground gas movement through permeable ground into enclosed spaces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Uptake — plant uptake of contaminants (phytotoxicity, food chain)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chemical attack — aggressive ground conditions on concrete / services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Preliminary Conceptual Site Model (CSM)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Summarise the source-pathway-receptor (SPR) linkages identified and assign a preliminary risk level.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2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Linkage Active?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Recommendations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Intrusive site investigation required: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 of investigation: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trial pits, boreholes, groundwater monitoring, gas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Analytical suite recommended: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metals, TPH, PAH, VOCs, asbestos, pH, sulphate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assessment standard: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LCRM (Land Contamination Risk Management), BS 10175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Precautionary measures for site workers: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PPE, monitoring, hygiene facilities, exclusion zones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Watching brief required during earthworks: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Additional comments: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Screening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checklist provides a preliminary contamination screening only and does not constitute a detailed risk assessment. Findings should be reviewed by a suitably qualified contaminated land specialist (SiLC, SQP, or equivalent).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photograph references, or appendices.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Contamination Screening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Contamination Screening Checklist</dc:title>
  <dc:subject>UK Construction Template</dc:subject>
  <dc:creator>ebrora.com</dc:creator>
  <cp:keywords>construction, template, UK, contamination, screening, contaminated land, Part 2A, site investigation, preliminary risk assessment</cp:keywords>
  <dc:description>Free UK construction template by Ebrora. Download more at ebrora.com</dc:description>
  <cp:lastModifiedBy>ebrora.com</cp:lastModifiedBy>
  <cp:revision>1</cp:revision>
  <dcterms:created xsi:type="dcterms:W3CDTF">2026-03-27T15:13:49.724Z</dcterms:created>
  <dcterms:modified xsi:type="dcterms:W3CDTF">2026-03-27T15:13:49.725Z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