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Site Traffic Management Plan</w:t>
      </w:r>
    </w:p>
    <w:p>
      <w:pPr>
        <w:spacing w:after="200"/>
      </w:pPr>
      <w:r>
        <w:rPr>
          <w:rFonts w:ascii="Arial" w:cs="Arial" w:eastAsia="Arial" w:hAnsi="Arial"/>
          <w:i/>
          <w:iCs/>
          <w:color w:val="333333"/>
          <w:sz w:val="20"/>
          <w:szCs w:val="20"/>
        </w:rPr>
        <w:t xml:space="preserve">For managing the safe movement of vehicles, plant, and pedestrians on construction sites in accordance with CDM 2015 and HSE guidance HSG144</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Document Reference: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TMP-001</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Revision: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0</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Number: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contract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Address: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full site address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Speed Limit: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mph</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Peak Workforce: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persons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Peak Vehicle Movements/Day: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estimated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Prepared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role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Approved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role</w:t>
            </w:r>
          </w:p>
        </w:tc>
      </w:tr>
    </w:tbl>
    <w:p>
      <w:pPr>
        <w:spacing w:after="120"/>
      </w:pPr>
    </w:p>
    <w:p>
      <w:pPr>
        <w:spacing w:after="120" w:before="240"/>
      </w:pPr>
      <w:r>
        <w:rPr>
          <w:rFonts w:ascii="Arial" w:cs="Arial" w:eastAsia="Arial" w:hAnsi="Arial"/>
          <w:b/>
          <w:bCs/>
          <w:color w:val="1B2A4A"/>
          <w:sz w:val="26"/>
          <w:szCs w:val="26"/>
        </w:rPr>
        <w:t xml:space="preserve">1. Site Description and Context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site location, boundaries, adjacent roads, public footpaths, neighbouring properties, schools, hospitals, or other sensitive receptors. Identify the access point(s) from the public highway, any restrictions on vehicle types or hours, and planning conditions affecting traffic management.</w:t>
            </w:r>
          </w:p>
        </w:tc>
      </w:tr>
    </w:tbl>
    <w:p>
      <w:pPr>
        <w:spacing w:after="120"/>
      </w:pPr>
    </w:p>
    <w:p>
      <w:pPr>
        <w:spacing w:after="120" w:before="240"/>
      </w:pPr>
      <w:r>
        <w:rPr>
          <w:rFonts w:ascii="Arial" w:cs="Arial" w:eastAsia="Arial" w:hAnsi="Arial"/>
          <w:b/>
          <w:bCs/>
          <w:color w:val="1B2A4A"/>
          <w:sz w:val="26"/>
          <w:szCs w:val="26"/>
        </w:rPr>
        <w:t xml:space="preserve">2. Traffic Management Drawing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8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Reference the traffic management drawing number and revision. The drawing should show: site boundary, vehicle access/egress, one-way system, pedestrian routes, crossing points, speed limits, banksman positions, delivery/unloading areas, car parking, exclusion zones, and emergency vehicle access. Attach the drawing to this plan.</w:t>
            </w:r>
          </w:p>
        </w:tc>
      </w:tr>
    </w:tbl>
    <w:p>
      <w:pPr>
        <w:spacing w:after="120"/>
      </w:pPr>
    </w:p>
    <w:p>
      <w:pPr>
        <w:spacing w:after="120" w:before="240"/>
      </w:pPr>
      <w:r>
        <w:rPr>
          <w:rFonts w:ascii="Arial" w:cs="Arial" w:eastAsia="Arial" w:hAnsi="Arial"/>
          <w:b/>
          <w:bCs/>
          <w:color w:val="1B2A4A"/>
          <w:sz w:val="26"/>
          <w:szCs w:val="26"/>
        </w:rPr>
        <w:t xml:space="preserve">3. Vehicle Routes and Controls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106"/>
        <w:gridCol w:w="900"/>
        <w:gridCol w:w="900"/>
        <w:gridCol w:w="900"/>
        <w:gridCol w:w="12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1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Vehicle Management Control</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One-way traffic system established where practicable to avoid reversing</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Vehicle routes clearly defined, signed, and maintained (compacted stone, hardstanding)</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Speed limits established and signed: typically 5–10 mph within site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Speed reduction measures installed (speed bumps, chicanes, rumble strips) where appropriate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Vehicle access and egress points designed with adequate visibility for joining public highway</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Turning areas provided for HGVs and articulated vehicles to avoid reversing onto public roads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Vehicle routes adequate width for two-way traffic or passing places provided</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Gradient, camber, and surface condition of haul routes regularly inspected and maintained</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Vehicle holding / waiting area provided to prevent queuing on public highway</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Reversing areas minimised; where reversing is unavoidable, banksman deployed</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All vehicles fitted with reversing alarms, cameras, and beacons as minimum standard</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Vehicle pre-use checks conducted daily by drivers/operators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20"/>
      </w:pPr>
    </w:p>
    <w:p>
      <w:r>
        <w:br w:type="page"/>
      </w:r>
    </w:p>
    <w:p>
      <w:pPr>
        <w:spacing w:after="120" w:before="240"/>
      </w:pPr>
      <w:r>
        <w:rPr>
          <w:rFonts w:ascii="Arial" w:cs="Arial" w:eastAsia="Arial" w:hAnsi="Arial"/>
          <w:b/>
          <w:bCs/>
          <w:color w:val="1B2A4A"/>
          <w:sz w:val="26"/>
          <w:szCs w:val="26"/>
        </w:rPr>
        <w:t xml:space="preserve">4. Pedestrian Routes and Segregation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106"/>
        <w:gridCol w:w="900"/>
        <w:gridCol w:w="900"/>
        <w:gridCol w:w="900"/>
        <w:gridCol w:w="12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1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Pedestrian Management Control</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Pedestrian routes physically separated from vehicle routes using barriers, fencing, or kerbs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Designated pedestrian crossing points established where routes intersect vehicle routes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Crossing points clearly signed and marked (painted lines, signage, raised platforms)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Pedestrian walkways minimum 1.0m wide (1.5m preferred), maintained clear of obstructions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Pedestrian routes well-lit for working during reduced daylight hours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High-visibility clothing mandatory for all pedestrians on site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Pedestrian access from car park to compound separated from delivery routes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pedestrian short-cuts through active vehicle or plant operating areas permitted</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5. Delivery Management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106"/>
        <w:gridCol w:w="900"/>
        <w:gridCol w:w="900"/>
        <w:gridCol w:w="900"/>
        <w:gridCol w:w="12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1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Delivery Management Control</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Delivery management / booking system in place to control vehicle arrivals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Delivery drivers briefed on site rules, routes, speed limits, and unloading procedures at gate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Designated delivery / unloading areas established away from pedestrian zones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Banksman available for all delivery vehicle manoeuvres within the site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Wheel wash or road sweeper arrangements in place to prevent mud on public highway</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Vehicle size and weight restrictions communicated to suppliers in advance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Overhead height restrictions identified and signed (power lines, structures, temporary works)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Delivery hours restricted to avoid peak traffic periods on adjacent roads (where required by conditions)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20"/>
      </w:pPr>
    </w:p>
    <w:p>
      <w:r>
        <w:br w:type="page"/>
      </w:r>
    </w:p>
    <w:p>
      <w:pPr>
        <w:spacing w:after="120" w:before="240"/>
      </w:pPr>
      <w:r>
        <w:rPr>
          <w:rFonts w:ascii="Arial" w:cs="Arial" w:eastAsia="Arial" w:hAnsi="Arial"/>
          <w:b/>
          <w:bCs/>
          <w:color w:val="1B2A4A"/>
          <w:sz w:val="26"/>
          <w:szCs w:val="26"/>
        </w:rPr>
        <w:t xml:space="preserve">6. Plant and Mobile Equipment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106"/>
        <w:gridCol w:w="900"/>
        <w:gridCol w:w="900"/>
        <w:gridCol w:w="900"/>
        <w:gridCol w:w="12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1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Plant Movement Control</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Plant operating areas demarcated with exclusion zones for unauthorised personnel</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Banksman / signaller requirements defined for each plant type and activity</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Plant operators hold valid competence cards (CPCS, NPORS) for the specific machine category</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Seatbelts mandatory for all plant operators in enclosed cabs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Plant movements controlled at intersections with pedestrian or vehicle routes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Crane operations: slew radius barriered, road / footpath closures arranged where boom oversails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Forklift / telehandler traffic routes defined, separated from pedestrian areas where practicable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7. Emergency Vehicle Access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Emergency Access Route: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Describe the route emergency vehicles will use to access site (must be maintained clear at all times)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Minimum Access Width:</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3.7m clear width for fire appliance (or as agreed with fire service)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Gate / Barrier Arrangements: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How will emergency vehicles gain rapid access? (key/code/manned gate)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Turning Area:</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Turning area available for emergency vehicles within site</w:t>
            </w:r>
          </w:p>
        </w:tc>
      </w:tr>
    </w:tbl>
    <w:p>
      <w:pPr>
        <w:spacing w:after="120"/>
      </w:pPr>
    </w:p>
    <w:p>
      <w:pPr>
        <w:spacing w:after="120" w:before="240"/>
      </w:pPr>
      <w:r>
        <w:rPr>
          <w:rFonts w:ascii="Arial" w:cs="Arial" w:eastAsia="Arial" w:hAnsi="Arial"/>
          <w:b/>
          <w:bCs/>
          <w:color w:val="1B2A4A"/>
          <w:sz w:val="26"/>
          <w:szCs w:val="26"/>
        </w:rPr>
        <w:t xml:space="preserve">8. Monitoring and Review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0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how the traffic management plan will be monitored and reviewed: frequency of TMP inspections, responsibility for maintaining routes and signage, trigger for review (change in site layout, new phase, incident, complaint), and how changes will be communicated to the workforce and delivery drivers.</w:t>
            </w:r>
          </w:p>
        </w:tc>
      </w:tr>
    </w:tbl>
    <w:p>
      <w:pPr>
        <w:spacing w:after="120"/>
      </w:pPr>
    </w:p>
    <w:p>
      <w:pPr>
        <w:spacing w:after="120" w:before="240"/>
      </w:pPr>
      <w:r>
        <w:rPr>
          <w:rFonts w:ascii="Arial" w:cs="Arial" w:eastAsia="Arial" w:hAnsi="Arial"/>
          <w:b/>
          <w:bCs/>
          <w:color w:val="1B2A4A"/>
          <w:sz w:val="26"/>
          <w:szCs w:val="26"/>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0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comments. Attach traffic management drawing.</w:t>
            </w:r>
          </w:p>
        </w:tc>
      </w:tr>
    </w:tbl>
    <w:p>
      <w:pPr>
        <w:spacing w:after="120"/>
      </w:pPr>
    </w:p>
    <w:p>
      <w:pPr>
        <w:spacing w:after="120" w:before="240"/>
      </w:pPr>
      <w:r>
        <w:rPr>
          <w:rFonts w:ascii="Arial" w:cs="Arial" w:eastAsia="Arial" w:hAnsi="Arial"/>
          <w:b/>
          <w:bCs/>
          <w:color w:val="1B2A4A"/>
          <w:sz w:val="26"/>
          <w:szCs w:val="26"/>
        </w:rPr>
        <w:t xml:space="preserve">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000"/>
        <w:gridCol w:w="2353"/>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Prepared By</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H&amp;S Manager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(if required)</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bl>
    <w:p>
      <w:pPr>
        <w:spacing w:after="120"/>
      </w:pPr>
    </w:p>
    <w:p>
      <w:pPr>
        <w:spacing w:after="120" w:before="24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5506"/>
      </w:tblGrid>
      <w:tr>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5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1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DD/MM/YYYY</w:t>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Initial issue</w:t>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333333"/>
        <w:sz w:val="14"/>
        <w:szCs w:val="14"/>
      </w:rPr>
      <w:t xml:space="preserve">Free Construction Template — Download more at ebrora.com</w:t>
    </w:r>
    <w: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80"/>
    </w:pPr>
    <w:r>
      <w:rPr>
        <w:rFonts w:ascii="Arial" w:cs="Arial" w:eastAsia="Arial" w:hAnsi="Arial"/>
        <w:b/>
        <w:bCs/>
        <w:color w:val="2E75B6"/>
        <w:sz w:val="16"/>
        <w:szCs w:val="16"/>
      </w:rPr>
      <w:t xml:space="preserve">ebrora.com</w:t>
    </w:r>
    <w:r>
      <w:t xml:space="preserve">	</w:t>
    </w:r>
    <w:r>
      <w:rPr>
        <w:rFonts w:ascii="Arial" w:cs="Arial" w:eastAsia="Arial" w:hAnsi="Arial"/>
        <w:i/>
        <w:iCs/>
        <w:color w:val="333333"/>
        <w:sz w:val="16"/>
        <w:szCs w:val="16"/>
      </w:rPr>
      <w:t xml:space="preserve">Site Traffic Management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Traffic Management Plan</dc:title>
  <dc:subject>UK Construction Template</dc:subject>
  <dc:creator>ebrora.com</dc:creator>
  <cp:keywords>construction, template, UK, traffic management plan, TMP, vehicle, pedestrian, segregation, banksman, delivery, HSE, CDM 2015</cp:keywords>
  <dc:description>Free UK construction template by Ebrora. Download more at ebrora.com</dc:description>
  <cp:lastModifiedBy>ebrora.com</cp:lastModifiedBy>
  <cp:revision>1</cp:revision>
  <dcterms:created xsi:type="dcterms:W3CDTF">2026-03-27T13:37:19.942Z</dcterms:created>
  <dcterms:modified xsi:type="dcterms:W3CDTF">2026-03-27T13:37:19.943Z</dcterms:modified>
</cp:coreProperties>
</file>

<file path=docProps/custom.xml><?xml version="1.0" encoding="utf-8"?>
<Properties xmlns="http://schemas.openxmlformats.org/officeDocument/2006/custom-properties" xmlns:vt="http://schemas.openxmlformats.org/officeDocument/2006/docPropsVTypes"/>
</file>